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AA850" w14:textId="77777777" w:rsidR="006C3D93" w:rsidRPr="005F350E" w:rsidRDefault="006C3D93" w:rsidP="005F350E">
      <w:pPr>
        <w:spacing w:before="0" w:after="0"/>
        <w:jc w:val="center"/>
        <w:rPr>
          <w:b/>
          <w:sz w:val="20"/>
          <w:lang w:val="en-NZ"/>
        </w:rPr>
      </w:pPr>
      <w:bookmarkStart w:id="0" w:name="_Toc42517041"/>
    </w:p>
    <w:p w14:paraId="546A7857" w14:textId="77777777" w:rsidR="00E00EFF" w:rsidRDefault="00DE7F8F" w:rsidP="00E00EFF">
      <w:pPr>
        <w:pStyle w:val="PageTitle"/>
        <w:spacing w:before="240"/>
        <w:jc w:val="center"/>
        <w:rPr>
          <w:sz w:val="30"/>
          <w:szCs w:val="30"/>
        </w:rPr>
      </w:pPr>
      <w:bookmarkStart w:id="1" w:name="_Toc51854775"/>
      <w:bookmarkStart w:id="2" w:name="_Toc51854958"/>
      <w:bookmarkStart w:id="3" w:name="_Toc52181735"/>
      <w:r w:rsidRPr="00E00EFF">
        <w:rPr>
          <w:sz w:val="30"/>
          <w:szCs w:val="30"/>
        </w:rPr>
        <w:t xml:space="preserve">Developing </w:t>
      </w:r>
      <w:r w:rsidR="00E00EFF" w:rsidRPr="00E00EFF">
        <w:rPr>
          <w:sz w:val="30"/>
          <w:szCs w:val="30"/>
        </w:rPr>
        <w:t>the He Ara Oranga wellbeing outcomes framework</w:t>
      </w:r>
      <w:bookmarkEnd w:id="0"/>
      <w:bookmarkEnd w:id="1"/>
      <w:bookmarkEnd w:id="2"/>
      <w:bookmarkEnd w:id="3"/>
      <w:r w:rsidR="00EE3401" w:rsidRPr="00E00EFF">
        <w:rPr>
          <w:sz w:val="30"/>
          <w:szCs w:val="30"/>
        </w:rPr>
        <w:t xml:space="preserve"> </w:t>
      </w:r>
    </w:p>
    <w:p w14:paraId="10D2A07C" w14:textId="2F922A56" w:rsidR="00DE7F8F" w:rsidRDefault="00DE7F8F" w:rsidP="00E00EFF">
      <w:pPr>
        <w:pStyle w:val="PageTitle"/>
        <w:spacing w:before="240"/>
        <w:jc w:val="center"/>
        <w:rPr>
          <w:sz w:val="24"/>
          <w:szCs w:val="30"/>
        </w:rPr>
      </w:pPr>
      <w:bookmarkStart w:id="4" w:name="_Toc51854776"/>
      <w:bookmarkStart w:id="5" w:name="_Toc51854959"/>
      <w:bookmarkStart w:id="6" w:name="_Toc52181736"/>
      <w:r w:rsidRPr="00E00EFF">
        <w:rPr>
          <w:sz w:val="24"/>
          <w:szCs w:val="30"/>
        </w:rPr>
        <w:t>Summary of what we h</w:t>
      </w:r>
      <w:bookmarkStart w:id="7" w:name="_GoBack"/>
      <w:bookmarkEnd w:id="7"/>
      <w:r w:rsidRPr="00E00EFF">
        <w:rPr>
          <w:sz w:val="24"/>
          <w:szCs w:val="30"/>
        </w:rPr>
        <w:t xml:space="preserve">eard through the </w:t>
      </w:r>
      <w:r w:rsidR="002E4F6E" w:rsidRPr="00E00EFF">
        <w:rPr>
          <w:sz w:val="24"/>
          <w:szCs w:val="30"/>
        </w:rPr>
        <w:t xml:space="preserve">conceptual </w:t>
      </w:r>
      <w:r w:rsidRPr="00E00EFF">
        <w:rPr>
          <w:sz w:val="24"/>
          <w:szCs w:val="30"/>
        </w:rPr>
        <w:t>p</w:t>
      </w:r>
      <w:r w:rsidR="004C142F" w:rsidRPr="00E00EFF">
        <w:rPr>
          <w:sz w:val="24"/>
          <w:szCs w:val="30"/>
        </w:rPr>
        <w:t>hase</w:t>
      </w:r>
      <w:r w:rsidR="00E00EFF" w:rsidRPr="00E00EFF">
        <w:rPr>
          <w:sz w:val="24"/>
          <w:szCs w:val="30"/>
        </w:rPr>
        <w:t xml:space="preserve"> consultation</w:t>
      </w:r>
      <w:bookmarkEnd w:id="4"/>
      <w:bookmarkEnd w:id="5"/>
      <w:bookmarkEnd w:id="6"/>
    </w:p>
    <w:p w14:paraId="156EF39F" w14:textId="082A478A" w:rsidR="00447429" w:rsidRDefault="00447429" w:rsidP="00E00EFF">
      <w:pPr>
        <w:pStyle w:val="PageTitle"/>
        <w:spacing w:before="240"/>
        <w:jc w:val="center"/>
        <w:rPr>
          <w:sz w:val="24"/>
          <w:szCs w:val="30"/>
        </w:rPr>
      </w:pPr>
      <w:r w:rsidRPr="00447429">
        <w:rPr>
          <w:sz w:val="24"/>
          <w:szCs w:val="30"/>
        </w:rPr>
        <w:t xml:space="preserve">17 August </w:t>
      </w:r>
      <w:r>
        <w:rPr>
          <w:sz w:val="24"/>
          <w:szCs w:val="30"/>
        </w:rPr>
        <w:t>to</w:t>
      </w:r>
      <w:r w:rsidRPr="00447429">
        <w:rPr>
          <w:sz w:val="24"/>
          <w:szCs w:val="30"/>
        </w:rPr>
        <w:t xml:space="preserve"> 11 September 2020</w:t>
      </w:r>
    </w:p>
    <w:p w14:paraId="4DE99D53" w14:textId="77777777" w:rsidR="00EB1476" w:rsidRDefault="00EB1476">
      <w:pPr>
        <w:spacing w:before="0" w:after="160" w:line="259" w:lineRule="auto"/>
        <w:rPr>
          <w:rFonts w:eastAsiaTheme="majorEastAsia" w:cs="Arial"/>
          <w:b/>
          <w:sz w:val="28"/>
          <w:szCs w:val="26"/>
        </w:rPr>
      </w:pPr>
      <w:bookmarkStart w:id="8" w:name="_Toc44926243"/>
      <w:bookmarkStart w:id="9" w:name="_Toc51854777"/>
      <w:bookmarkStart w:id="10" w:name="_Toc51854960"/>
      <w:bookmarkStart w:id="11" w:name="_Toc52181737"/>
      <w:r>
        <w:br w:type="page"/>
      </w:r>
    </w:p>
    <w:p w14:paraId="33C6A3B6" w14:textId="43D28D3F" w:rsidR="0061513F" w:rsidRDefault="0061513F" w:rsidP="0061513F">
      <w:bookmarkStart w:id="12" w:name="_Toc52181738"/>
      <w:bookmarkStart w:id="13" w:name="_Toc51854961"/>
      <w:bookmarkStart w:id="14" w:name="_Toc51854778"/>
      <w:bookmarkEnd w:id="8"/>
      <w:bookmarkEnd w:id="9"/>
      <w:bookmarkEnd w:id="10"/>
      <w:bookmarkEnd w:id="11"/>
      <w:r>
        <w:lastRenderedPageBreak/>
        <w:t>[Blank page]</w:t>
      </w:r>
    </w:p>
    <w:sdt>
      <w:sdtPr>
        <w:rPr>
          <w:rFonts w:eastAsiaTheme="minorHAnsi" w:cstheme="minorBidi"/>
          <w:b w:val="0"/>
          <w:caps/>
          <w:sz w:val="22"/>
          <w:szCs w:val="22"/>
        </w:rPr>
        <w:id w:val="2092662653"/>
        <w:docPartObj>
          <w:docPartGallery w:val="Table of Contents"/>
          <w:docPartUnique/>
        </w:docPartObj>
      </w:sdtPr>
      <w:sdtEndPr>
        <w:rPr>
          <w:bCs/>
          <w:caps w:val="0"/>
          <w:noProof/>
        </w:rPr>
      </w:sdtEndPr>
      <w:sdtContent>
        <w:p w14:paraId="709CA614" w14:textId="7F1DC2C9" w:rsidR="00EB1476" w:rsidRDefault="00EB1476" w:rsidP="0061513F">
          <w:pPr>
            <w:pStyle w:val="Heading2"/>
            <w:rPr>
              <w:caps/>
            </w:rPr>
          </w:pPr>
          <w:r>
            <w:rPr>
              <w:caps/>
            </w:rPr>
            <w:br w:type="page"/>
          </w:r>
        </w:p>
        <w:p w14:paraId="5595183F" w14:textId="77777777" w:rsidR="0061513F" w:rsidRDefault="004C142F" w:rsidP="005F388D">
          <w:pPr>
            <w:rPr>
              <w:noProof/>
            </w:rPr>
          </w:pPr>
          <w:bookmarkStart w:id="15" w:name="_Toc53472578"/>
          <w:bookmarkStart w:id="16" w:name="_Toc53472807"/>
          <w:bookmarkStart w:id="17" w:name="_Toc53472896"/>
          <w:bookmarkStart w:id="18" w:name="_Toc53473465"/>
          <w:bookmarkStart w:id="19" w:name="_Toc56063526"/>
          <w:r w:rsidRPr="00654D22">
            <w:rPr>
              <w:rStyle w:val="Heading1Char"/>
              <w:rFonts w:eastAsiaTheme="minorHAnsi" w:cstheme="minorBidi"/>
            </w:rPr>
            <w:lastRenderedPageBreak/>
            <w:t>Contents</w:t>
          </w:r>
          <w:bookmarkEnd w:id="12"/>
          <w:bookmarkEnd w:id="13"/>
          <w:bookmarkEnd w:id="15"/>
          <w:bookmarkEnd w:id="16"/>
          <w:bookmarkEnd w:id="17"/>
          <w:bookmarkEnd w:id="18"/>
          <w:bookmarkEnd w:id="19"/>
          <w:r w:rsidR="005F388D">
            <w:fldChar w:fldCharType="begin"/>
          </w:r>
          <w:r w:rsidR="005F388D">
            <w:instrText xml:space="preserve"> TOC \o "2-2" \h \z \u \t "Heading 1,1" </w:instrText>
          </w:r>
          <w:r w:rsidR="005F388D">
            <w:fldChar w:fldCharType="separate"/>
          </w:r>
        </w:p>
        <w:p w14:paraId="53D01B14" w14:textId="2911E6A1" w:rsidR="0061513F" w:rsidRDefault="001F3C94">
          <w:pPr>
            <w:pStyle w:val="TOC1"/>
            <w:rPr>
              <w:rFonts w:asciiTheme="minorHAnsi" w:eastAsiaTheme="minorEastAsia" w:hAnsiTheme="minorHAnsi"/>
              <w:noProof/>
              <w:lang w:val="en-NZ" w:eastAsia="en-NZ"/>
            </w:rPr>
          </w:pPr>
          <w:hyperlink w:anchor="_Toc56063526" w:history="1">
            <w:r w:rsidR="0061513F" w:rsidRPr="00960DA1">
              <w:rPr>
                <w:rStyle w:val="Hyperlink"/>
                <w:noProof/>
              </w:rPr>
              <w:t>Contents</w:t>
            </w:r>
            <w:r w:rsidR="0061513F">
              <w:rPr>
                <w:noProof/>
                <w:webHidden/>
              </w:rPr>
              <w:tab/>
            </w:r>
            <w:r w:rsidR="0061513F">
              <w:rPr>
                <w:noProof/>
                <w:webHidden/>
              </w:rPr>
              <w:fldChar w:fldCharType="begin"/>
            </w:r>
            <w:r w:rsidR="0061513F">
              <w:rPr>
                <w:noProof/>
                <w:webHidden/>
              </w:rPr>
              <w:instrText xml:space="preserve"> PAGEREF _Toc56063526 \h </w:instrText>
            </w:r>
            <w:r w:rsidR="0061513F">
              <w:rPr>
                <w:noProof/>
                <w:webHidden/>
              </w:rPr>
            </w:r>
            <w:r w:rsidR="0061513F">
              <w:rPr>
                <w:noProof/>
                <w:webHidden/>
              </w:rPr>
              <w:fldChar w:fldCharType="separate"/>
            </w:r>
            <w:r w:rsidR="002512BA">
              <w:rPr>
                <w:noProof/>
                <w:webHidden/>
              </w:rPr>
              <w:t>3</w:t>
            </w:r>
            <w:r w:rsidR="0061513F">
              <w:rPr>
                <w:noProof/>
                <w:webHidden/>
              </w:rPr>
              <w:fldChar w:fldCharType="end"/>
            </w:r>
          </w:hyperlink>
        </w:p>
        <w:p w14:paraId="71ABA135" w14:textId="0496CF28" w:rsidR="0061513F" w:rsidRDefault="001F3C94">
          <w:pPr>
            <w:pStyle w:val="TOC1"/>
            <w:rPr>
              <w:rFonts w:asciiTheme="minorHAnsi" w:eastAsiaTheme="minorEastAsia" w:hAnsiTheme="minorHAnsi"/>
              <w:noProof/>
              <w:lang w:val="en-NZ" w:eastAsia="en-NZ"/>
            </w:rPr>
          </w:pPr>
          <w:hyperlink w:anchor="_Toc56063527" w:history="1">
            <w:r w:rsidR="0061513F" w:rsidRPr="00960DA1">
              <w:rPr>
                <w:rStyle w:val="Hyperlink"/>
                <w:noProof/>
              </w:rPr>
              <w:t>Purpose of this report</w:t>
            </w:r>
            <w:r w:rsidR="0061513F">
              <w:rPr>
                <w:noProof/>
                <w:webHidden/>
              </w:rPr>
              <w:tab/>
            </w:r>
            <w:r w:rsidR="0061513F">
              <w:rPr>
                <w:noProof/>
                <w:webHidden/>
              </w:rPr>
              <w:fldChar w:fldCharType="begin"/>
            </w:r>
            <w:r w:rsidR="0061513F">
              <w:rPr>
                <w:noProof/>
                <w:webHidden/>
              </w:rPr>
              <w:instrText xml:space="preserve"> PAGEREF _Toc56063527 \h </w:instrText>
            </w:r>
            <w:r w:rsidR="0061513F">
              <w:rPr>
                <w:noProof/>
                <w:webHidden/>
              </w:rPr>
            </w:r>
            <w:r w:rsidR="0061513F">
              <w:rPr>
                <w:noProof/>
                <w:webHidden/>
              </w:rPr>
              <w:fldChar w:fldCharType="separate"/>
            </w:r>
            <w:r w:rsidR="002512BA">
              <w:rPr>
                <w:noProof/>
                <w:webHidden/>
              </w:rPr>
              <w:t>4</w:t>
            </w:r>
            <w:r w:rsidR="0061513F">
              <w:rPr>
                <w:noProof/>
                <w:webHidden/>
              </w:rPr>
              <w:fldChar w:fldCharType="end"/>
            </w:r>
          </w:hyperlink>
        </w:p>
        <w:p w14:paraId="60547160" w14:textId="1A3D06DE" w:rsidR="0061513F" w:rsidRDefault="001F3C94">
          <w:pPr>
            <w:pStyle w:val="TOC1"/>
            <w:rPr>
              <w:rFonts w:asciiTheme="minorHAnsi" w:eastAsiaTheme="minorEastAsia" w:hAnsiTheme="minorHAnsi"/>
              <w:noProof/>
              <w:lang w:val="en-NZ" w:eastAsia="en-NZ"/>
            </w:rPr>
          </w:pPr>
          <w:hyperlink w:anchor="_Toc56063528" w:history="1">
            <w:r w:rsidR="0061513F" w:rsidRPr="00960DA1">
              <w:rPr>
                <w:rStyle w:val="Hyperlink"/>
                <w:noProof/>
              </w:rPr>
              <w:t>Section 1: Summary of the feedback</w:t>
            </w:r>
            <w:r w:rsidR="0061513F">
              <w:rPr>
                <w:noProof/>
                <w:webHidden/>
              </w:rPr>
              <w:tab/>
            </w:r>
            <w:r w:rsidR="0061513F">
              <w:rPr>
                <w:noProof/>
                <w:webHidden/>
              </w:rPr>
              <w:fldChar w:fldCharType="begin"/>
            </w:r>
            <w:r w:rsidR="0061513F">
              <w:rPr>
                <w:noProof/>
                <w:webHidden/>
              </w:rPr>
              <w:instrText xml:space="preserve"> PAGEREF _Toc56063528 \h </w:instrText>
            </w:r>
            <w:r w:rsidR="0061513F">
              <w:rPr>
                <w:noProof/>
                <w:webHidden/>
              </w:rPr>
            </w:r>
            <w:r w:rsidR="0061513F">
              <w:rPr>
                <w:noProof/>
                <w:webHidden/>
              </w:rPr>
              <w:fldChar w:fldCharType="separate"/>
            </w:r>
            <w:r w:rsidR="002512BA">
              <w:rPr>
                <w:noProof/>
                <w:webHidden/>
              </w:rPr>
              <w:t>5</w:t>
            </w:r>
            <w:r w:rsidR="0061513F">
              <w:rPr>
                <w:noProof/>
                <w:webHidden/>
              </w:rPr>
              <w:fldChar w:fldCharType="end"/>
            </w:r>
          </w:hyperlink>
        </w:p>
        <w:p w14:paraId="228E6B49" w14:textId="6E56F205" w:rsidR="0061513F" w:rsidRDefault="001F3C94">
          <w:pPr>
            <w:pStyle w:val="TOC1"/>
            <w:rPr>
              <w:rFonts w:asciiTheme="minorHAnsi" w:eastAsiaTheme="minorEastAsia" w:hAnsiTheme="minorHAnsi"/>
              <w:noProof/>
              <w:lang w:val="en-NZ" w:eastAsia="en-NZ"/>
            </w:rPr>
          </w:pPr>
          <w:hyperlink w:anchor="_Toc56063529" w:history="1">
            <w:r w:rsidR="0061513F" w:rsidRPr="00960DA1">
              <w:rPr>
                <w:rStyle w:val="Hyperlink"/>
                <w:noProof/>
              </w:rPr>
              <w:t>Section 2: About the consultation</w:t>
            </w:r>
            <w:r w:rsidR="0061513F">
              <w:rPr>
                <w:noProof/>
                <w:webHidden/>
              </w:rPr>
              <w:tab/>
            </w:r>
            <w:r w:rsidR="0061513F">
              <w:rPr>
                <w:noProof/>
                <w:webHidden/>
              </w:rPr>
              <w:fldChar w:fldCharType="begin"/>
            </w:r>
            <w:r w:rsidR="0061513F">
              <w:rPr>
                <w:noProof/>
                <w:webHidden/>
              </w:rPr>
              <w:instrText xml:space="preserve"> PAGEREF _Toc56063529 \h </w:instrText>
            </w:r>
            <w:r w:rsidR="0061513F">
              <w:rPr>
                <w:noProof/>
                <w:webHidden/>
              </w:rPr>
            </w:r>
            <w:r w:rsidR="0061513F">
              <w:rPr>
                <w:noProof/>
                <w:webHidden/>
              </w:rPr>
              <w:fldChar w:fldCharType="separate"/>
            </w:r>
            <w:r w:rsidR="002512BA">
              <w:rPr>
                <w:noProof/>
                <w:webHidden/>
              </w:rPr>
              <w:t>7</w:t>
            </w:r>
            <w:r w:rsidR="0061513F">
              <w:rPr>
                <w:noProof/>
                <w:webHidden/>
              </w:rPr>
              <w:fldChar w:fldCharType="end"/>
            </w:r>
          </w:hyperlink>
        </w:p>
        <w:p w14:paraId="4CB68937" w14:textId="5807AFC1" w:rsidR="0061513F" w:rsidRDefault="001F3C94">
          <w:pPr>
            <w:pStyle w:val="TOC2"/>
            <w:tabs>
              <w:tab w:val="right" w:leader="dot" w:pos="9016"/>
            </w:tabs>
            <w:rPr>
              <w:rFonts w:asciiTheme="minorHAnsi" w:eastAsiaTheme="minorEastAsia" w:hAnsiTheme="minorHAnsi"/>
              <w:noProof/>
              <w:lang w:val="en-NZ" w:eastAsia="en-NZ"/>
            </w:rPr>
          </w:pPr>
          <w:hyperlink w:anchor="_Toc56063530" w:history="1">
            <w:r w:rsidR="0061513F" w:rsidRPr="00960DA1">
              <w:rPr>
                <w:rStyle w:val="Hyperlink"/>
                <w:noProof/>
              </w:rPr>
              <w:t>Context</w:t>
            </w:r>
            <w:r w:rsidR="0061513F" w:rsidRPr="00960DA1">
              <w:rPr>
                <w:rStyle w:val="Hyperlink"/>
                <w:noProof/>
                <w:lang w:val="en-NZ"/>
              </w:rPr>
              <w:t xml:space="preserve"> – the Initial Mental Health and Wellbeing Commission</w:t>
            </w:r>
            <w:r w:rsidR="0061513F">
              <w:rPr>
                <w:noProof/>
                <w:webHidden/>
              </w:rPr>
              <w:tab/>
            </w:r>
            <w:r w:rsidR="0061513F">
              <w:rPr>
                <w:noProof/>
                <w:webHidden/>
              </w:rPr>
              <w:fldChar w:fldCharType="begin"/>
            </w:r>
            <w:r w:rsidR="0061513F">
              <w:rPr>
                <w:noProof/>
                <w:webHidden/>
              </w:rPr>
              <w:instrText xml:space="preserve"> PAGEREF _Toc56063530 \h </w:instrText>
            </w:r>
            <w:r w:rsidR="0061513F">
              <w:rPr>
                <w:noProof/>
                <w:webHidden/>
              </w:rPr>
            </w:r>
            <w:r w:rsidR="0061513F">
              <w:rPr>
                <w:noProof/>
                <w:webHidden/>
              </w:rPr>
              <w:fldChar w:fldCharType="separate"/>
            </w:r>
            <w:r w:rsidR="002512BA">
              <w:rPr>
                <w:noProof/>
                <w:webHidden/>
              </w:rPr>
              <w:t>7</w:t>
            </w:r>
            <w:r w:rsidR="0061513F">
              <w:rPr>
                <w:noProof/>
                <w:webHidden/>
              </w:rPr>
              <w:fldChar w:fldCharType="end"/>
            </w:r>
          </w:hyperlink>
        </w:p>
        <w:p w14:paraId="11BAD794" w14:textId="0B389364" w:rsidR="0061513F" w:rsidRDefault="001F3C94">
          <w:pPr>
            <w:pStyle w:val="TOC2"/>
            <w:tabs>
              <w:tab w:val="right" w:leader="dot" w:pos="9016"/>
            </w:tabs>
            <w:rPr>
              <w:rFonts w:asciiTheme="minorHAnsi" w:eastAsiaTheme="minorEastAsia" w:hAnsiTheme="minorHAnsi"/>
              <w:noProof/>
              <w:lang w:val="en-NZ" w:eastAsia="en-NZ"/>
            </w:rPr>
          </w:pPr>
          <w:hyperlink w:anchor="_Toc56063531" w:history="1">
            <w:r w:rsidR="0061513F" w:rsidRPr="00960DA1">
              <w:rPr>
                <w:rStyle w:val="Hyperlink"/>
                <w:noProof/>
                <w:lang w:val="en-NZ"/>
              </w:rPr>
              <w:t xml:space="preserve">The consultation approach for the </w:t>
            </w:r>
            <w:r w:rsidR="0061513F" w:rsidRPr="00960DA1">
              <w:rPr>
                <w:rStyle w:val="Hyperlink"/>
                <w:noProof/>
              </w:rPr>
              <w:t>conceptual phase</w:t>
            </w:r>
            <w:r w:rsidR="0061513F">
              <w:rPr>
                <w:noProof/>
                <w:webHidden/>
              </w:rPr>
              <w:tab/>
            </w:r>
            <w:r w:rsidR="0061513F">
              <w:rPr>
                <w:noProof/>
                <w:webHidden/>
              </w:rPr>
              <w:fldChar w:fldCharType="begin"/>
            </w:r>
            <w:r w:rsidR="0061513F">
              <w:rPr>
                <w:noProof/>
                <w:webHidden/>
              </w:rPr>
              <w:instrText xml:space="preserve"> PAGEREF _Toc56063531 \h </w:instrText>
            </w:r>
            <w:r w:rsidR="0061513F">
              <w:rPr>
                <w:noProof/>
                <w:webHidden/>
              </w:rPr>
            </w:r>
            <w:r w:rsidR="0061513F">
              <w:rPr>
                <w:noProof/>
                <w:webHidden/>
              </w:rPr>
              <w:fldChar w:fldCharType="separate"/>
            </w:r>
            <w:r w:rsidR="002512BA">
              <w:rPr>
                <w:noProof/>
                <w:webHidden/>
              </w:rPr>
              <w:t>8</w:t>
            </w:r>
            <w:r w:rsidR="0061513F">
              <w:rPr>
                <w:noProof/>
                <w:webHidden/>
              </w:rPr>
              <w:fldChar w:fldCharType="end"/>
            </w:r>
          </w:hyperlink>
        </w:p>
        <w:p w14:paraId="47ECFF03" w14:textId="4F29E566" w:rsidR="0061513F" w:rsidRDefault="001F3C94">
          <w:pPr>
            <w:pStyle w:val="TOC2"/>
            <w:tabs>
              <w:tab w:val="right" w:leader="dot" w:pos="9016"/>
            </w:tabs>
            <w:rPr>
              <w:rFonts w:asciiTheme="minorHAnsi" w:eastAsiaTheme="minorEastAsia" w:hAnsiTheme="minorHAnsi"/>
              <w:noProof/>
              <w:lang w:val="en-NZ" w:eastAsia="en-NZ"/>
            </w:rPr>
          </w:pPr>
          <w:hyperlink w:anchor="_Toc56063532" w:history="1">
            <w:r w:rsidR="0061513F" w:rsidRPr="00960DA1">
              <w:rPr>
                <w:rStyle w:val="Hyperlink"/>
                <w:noProof/>
                <w:lang w:val="en-NZ"/>
              </w:rPr>
              <w:t>Who we heard from as part of the conceptual phase</w:t>
            </w:r>
            <w:r w:rsidR="0061513F">
              <w:rPr>
                <w:noProof/>
                <w:webHidden/>
              </w:rPr>
              <w:tab/>
            </w:r>
            <w:r w:rsidR="0061513F">
              <w:rPr>
                <w:noProof/>
                <w:webHidden/>
              </w:rPr>
              <w:fldChar w:fldCharType="begin"/>
            </w:r>
            <w:r w:rsidR="0061513F">
              <w:rPr>
                <w:noProof/>
                <w:webHidden/>
              </w:rPr>
              <w:instrText xml:space="preserve"> PAGEREF _Toc56063532 \h </w:instrText>
            </w:r>
            <w:r w:rsidR="0061513F">
              <w:rPr>
                <w:noProof/>
                <w:webHidden/>
              </w:rPr>
            </w:r>
            <w:r w:rsidR="0061513F">
              <w:rPr>
                <w:noProof/>
                <w:webHidden/>
              </w:rPr>
              <w:fldChar w:fldCharType="separate"/>
            </w:r>
            <w:r w:rsidR="002512BA">
              <w:rPr>
                <w:noProof/>
                <w:webHidden/>
              </w:rPr>
              <w:t>9</w:t>
            </w:r>
            <w:r w:rsidR="0061513F">
              <w:rPr>
                <w:noProof/>
                <w:webHidden/>
              </w:rPr>
              <w:fldChar w:fldCharType="end"/>
            </w:r>
          </w:hyperlink>
        </w:p>
        <w:p w14:paraId="6A000368" w14:textId="126C29BD" w:rsidR="0061513F" w:rsidRDefault="001F3C94">
          <w:pPr>
            <w:pStyle w:val="TOC1"/>
            <w:rPr>
              <w:rFonts w:asciiTheme="minorHAnsi" w:eastAsiaTheme="minorEastAsia" w:hAnsiTheme="minorHAnsi"/>
              <w:noProof/>
              <w:lang w:val="en-NZ" w:eastAsia="en-NZ"/>
            </w:rPr>
          </w:pPr>
          <w:hyperlink w:anchor="_Toc56063533" w:history="1">
            <w:r w:rsidR="0061513F" w:rsidRPr="00960DA1">
              <w:rPr>
                <w:rStyle w:val="Hyperlink"/>
                <w:noProof/>
                <w:lang w:val="en-NZ"/>
              </w:rPr>
              <w:t>Section 3: Feedback on the draft outcomes framework</w:t>
            </w:r>
            <w:r w:rsidR="0061513F">
              <w:rPr>
                <w:noProof/>
                <w:webHidden/>
              </w:rPr>
              <w:tab/>
            </w:r>
            <w:r w:rsidR="0061513F">
              <w:rPr>
                <w:noProof/>
                <w:webHidden/>
              </w:rPr>
              <w:fldChar w:fldCharType="begin"/>
            </w:r>
            <w:r w:rsidR="0061513F">
              <w:rPr>
                <w:noProof/>
                <w:webHidden/>
              </w:rPr>
              <w:instrText xml:space="preserve"> PAGEREF _Toc56063533 \h </w:instrText>
            </w:r>
            <w:r w:rsidR="0061513F">
              <w:rPr>
                <w:noProof/>
                <w:webHidden/>
              </w:rPr>
            </w:r>
            <w:r w:rsidR="0061513F">
              <w:rPr>
                <w:noProof/>
                <w:webHidden/>
              </w:rPr>
              <w:fldChar w:fldCharType="separate"/>
            </w:r>
            <w:r w:rsidR="002512BA">
              <w:rPr>
                <w:noProof/>
                <w:webHidden/>
              </w:rPr>
              <w:t>13</w:t>
            </w:r>
            <w:r w:rsidR="0061513F">
              <w:rPr>
                <w:noProof/>
                <w:webHidden/>
              </w:rPr>
              <w:fldChar w:fldCharType="end"/>
            </w:r>
          </w:hyperlink>
        </w:p>
        <w:p w14:paraId="1D8FAD83" w14:textId="775F1746" w:rsidR="0061513F" w:rsidRDefault="001F3C94">
          <w:pPr>
            <w:pStyle w:val="TOC2"/>
            <w:tabs>
              <w:tab w:val="right" w:leader="dot" w:pos="9016"/>
            </w:tabs>
            <w:rPr>
              <w:rFonts w:asciiTheme="minorHAnsi" w:eastAsiaTheme="minorEastAsia" w:hAnsiTheme="minorHAnsi"/>
              <w:noProof/>
              <w:lang w:val="en-NZ" w:eastAsia="en-NZ"/>
            </w:rPr>
          </w:pPr>
          <w:hyperlink w:anchor="_Toc56063534" w:history="1">
            <w:r w:rsidR="0061513F" w:rsidRPr="00960DA1">
              <w:rPr>
                <w:rStyle w:val="Hyperlink"/>
                <w:noProof/>
              </w:rPr>
              <w:t>Overall relevance of the draft framework &amp; domains</w:t>
            </w:r>
            <w:r w:rsidR="0061513F">
              <w:rPr>
                <w:noProof/>
                <w:webHidden/>
              </w:rPr>
              <w:tab/>
            </w:r>
            <w:r w:rsidR="0061513F">
              <w:rPr>
                <w:noProof/>
                <w:webHidden/>
              </w:rPr>
              <w:fldChar w:fldCharType="begin"/>
            </w:r>
            <w:r w:rsidR="0061513F">
              <w:rPr>
                <w:noProof/>
                <w:webHidden/>
              </w:rPr>
              <w:instrText xml:space="preserve"> PAGEREF _Toc56063534 \h </w:instrText>
            </w:r>
            <w:r w:rsidR="0061513F">
              <w:rPr>
                <w:noProof/>
                <w:webHidden/>
              </w:rPr>
            </w:r>
            <w:r w:rsidR="0061513F">
              <w:rPr>
                <w:noProof/>
                <w:webHidden/>
              </w:rPr>
              <w:fldChar w:fldCharType="separate"/>
            </w:r>
            <w:r w:rsidR="002512BA">
              <w:rPr>
                <w:noProof/>
                <w:webHidden/>
              </w:rPr>
              <w:t>13</w:t>
            </w:r>
            <w:r w:rsidR="0061513F">
              <w:rPr>
                <w:noProof/>
                <w:webHidden/>
              </w:rPr>
              <w:fldChar w:fldCharType="end"/>
            </w:r>
          </w:hyperlink>
        </w:p>
        <w:p w14:paraId="2C003051" w14:textId="033C0EEB" w:rsidR="0061513F" w:rsidRDefault="001F3C94">
          <w:pPr>
            <w:pStyle w:val="TOC2"/>
            <w:tabs>
              <w:tab w:val="right" w:leader="dot" w:pos="9016"/>
            </w:tabs>
            <w:rPr>
              <w:rFonts w:asciiTheme="minorHAnsi" w:eastAsiaTheme="minorEastAsia" w:hAnsiTheme="minorHAnsi"/>
              <w:noProof/>
              <w:lang w:val="en-NZ" w:eastAsia="en-NZ"/>
            </w:rPr>
          </w:pPr>
          <w:hyperlink w:anchor="_Toc56063535" w:history="1">
            <w:r w:rsidR="0061513F" w:rsidRPr="00960DA1">
              <w:rPr>
                <w:rStyle w:val="Hyperlink"/>
                <w:noProof/>
              </w:rPr>
              <w:t>Aspects of the framework that resonate with respondents and suggested changes</w:t>
            </w:r>
            <w:r w:rsidR="0061513F">
              <w:rPr>
                <w:noProof/>
                <w:webHidden/>
              </w:rPr>
              <w:tab/>
            </w:r>
            <w:r w:rsidR="0061513F">
              <w:rPr>
                <w:noProof/>
                <w:webHidden/>
              </w:rPr>
              <w:fldChar w:fldCharType="begin"/>
            </w:r>
            <w:r w:rsidR="0061513F">
              <w:rPr>
                <w:noProof/>
                <w:webHidden/>
              </w:rPr>
              <w:instrText xml:space="preserve"> PAGEREF _Toc56063535 \h </w:instrText>
            </w:r>
            <w:r w:rsidR="0061513F">
              <w:rPr>
                <w:noProof/>
                <w:webHidden/>
              </w:rPr>
            </w:r>
            <w:r w:rsidR="0061513F">
              <w:rPr>
                <w:noProof/>
                <w:webHidden/>
              </w:rPr>
              <w:fldChar w:fldCharType="separate"/>
            </w:r>
            <w:r w:rsidR="002512BA">
              <w:rPr>
                <w:noProof/>
                <w:webHidden/>
              </w:rPr>
              <w:t>14</w:t>
            </w:r>
            <w:r w:rsidR="0061513F">
              <w:rPr>
                <w:noProof/>
                <w:webHidden/>
              </w:rPr>
              <w:fldChar w:fldCharType="end"/>
            </w:r>
          </w:hyperlink>
        </w:p>
        <w:p w14:paraId="1E4A4FF8" w14:textId="6C24671D" w:rsidR="0061513F" w:rsidRDefault="001F3C94">
          <w:pPr>
            <w:pStyle w:val="TOC2"/>
            <w:tabs>
              <w:tab w:val="right" w:leader="dot" w:pos="9016"/>
            </w:tabs>
            <w:rPr>
              <w:rFonts w:asciiTheme="minorHAnsi" w:eastAsiaTheme="minorEastAsia" w:hAnsiTheme="minorHAnsi"/>
              <w:noProof/>
              <w:lang w:val="en-NZ" w:eastAsia="en-NZ"/>
            </w:rPr>
          </w:pPr>
          <w:hyperlink w:anchor="_Toc56063536" w:history="1">
            <w:r w:rsidR="0061513F" w:rsidRPr="00960DA1">
              <w:rPr>
                <w:rStyle w:val="Hyperlink"/>
                <w:noProof/>
              </w:rPr>
              <w:t xml:space="preserve">The descriptors </w:t>
            </w:r>
            <w:r w:rsidR="0061513F" w:rsidRPr="00960DA1">
              <w:rPr>
                <w:rStyle w:val="Hyperlink"/>
                <w:noProof/>
              </w:rPr>
              <w:sym w:font="Symbol" w:char="F02D"/>
            </w:r>
            <w:r w:rsidR="0061513F" w:rsidRPr="00960DA1">
              <w:rPr>
                <w:rStyle w:val="Hyperlink"/>
                <w:noProof/>
              </w:rPr>
              <w:t xml:space="preserve"> concepts that are missing or need greater prominence</w:t>
            </w:r>
            <w:r w:rsidR="0061513F">
              <w:rPr>
                <w:noProof/>
                <w:webHidden/>
              </w:rPr>
              <w:tab/>
            </w:r>
            <w:r w:rsidR="0061513F">
              <w:rPr>
                <w:noProof/>
                <w:webHidden/>
              </w:rPr>
              <w:fldChar w:fldCharType="begin"/>
            </w:r>
            <w:r w:rsidR="0061513F">
              <w:rPr>
                <w:noProof/>
                <w:webHidden/>
              </w:rPr>
              <w:instrText xml:space="preserve"> PAGEREF _Toc56063536 \h </w:instrText>
            </w:r>
            <w:r w:rsidR="0061513F">
              <w:rPr>
                <w:noProof/>
                <w:webHidden/>
              </w:rPr>
            </w:r>
            <w:r w:rsidR="0061513F">
              <w:rPr>
                <w:noProof/>
                <w:webHidden/>
              </w:rPr>
              <w:fldChar w:fldCharType="separate"/>
            </w:r>
            <w:r w:rsidR="002512BA">
              <w:rPr>
                <w:noProof/>
                <w:webHidden/>
              </w:rPr>
              <w:t>24</w:t>
            </w:r>
            <w:r w:rsidR="0061513F">
              <w:rPr>
                <w:noProof/>
                <w:webHidden/>
              </w:rPr>
              <w:fldChar w:fldCharType="end"/>
            </w:r>
          </w:hyperlink>
        </w:p>
        <w:p w14:paraId="23EAADF2" w14:textId="24068857" w:rsidR="0061513F" w:rsidRDefault="001F3C94">
          <w:pPr>
            <w:pStyle w:val="TOC2"/>
            <w:tabs>
              <w:tab w:val="right" w:leader="dot" w:pos="9016"/>
            </w:tabs>
            <w:rPr>
              <w:rFonts w:asciiTheme="minorHAnsi" w:eastAsiaTheme="minorEastAsia" w:hAnsiTheme="minorHAnsi"/>
              <w:noProof/>
              <w:lang w:val="en-NZ" w:eastAsia="en-NZ"/>
            </w:rPr>
          </w:pPr>
          <w:hyperlink w:anchor="_Toc56063537" w:history="1">
            <w:r w:rsidR="0061513F" w:rsidRPr="00960DA1">
              <w:rPr>
                <w:rStyle w:val="Hyperlink"/>
                <w:noProof/>
              </w:rPr>
              <w:t>Suggestions about each domain</w:t>
            </w:r>
            <w:r w:rsidR="0061513F">
              <w:rPr>
                <w:noProof/>
                <w:webHidden/>
              </w:rPr>
              <w:tab/>
            </w:r>
            <w:r w:rsidR="0061513F">
              <w:rPr>
                <w:noProof/>
                <w:webHidden/>
              </w:rPr>
              <w:fldChar w:fldCharType="begin"/>
            </w:r>
            <w:r w:rsidR="0061513F">
              <w:rPr>
                <w:noProof/>
                <w:webHidden/>
              </w:rPr>
              <w:instrText xml:space="preserve"> PAGEREF _Toc56063537 \h </w:instrText>
            </w:r>
            <w:r w:rsidR="0061513F">
              <w:rPr>
                <w:noProof/>
                <w:webHidden/>
              </w:rPr>
            </w:r>
            <w:r w:rsidR="0061513F">
              <w:rPr>
                <w:noProof/>
                <w:webHidden/>
              </w:rPr>
              <w:fldChar w:fldCharType="separate"/>
            </w:r>
            <w:r w:rsidR="002512BA">
              <w:rPr>
                <w:noProof/>
                <w:webHidden/>
              </w:rPr>
              <w:t>28</w:t>
            </w:r>
            <w:r w:rsidR="0061513F">
              <w:rPr>
                <w:noProof/>
                <w:webHidden/>
              </w:rPr>
              <w:fldChar w:fldCharType="end"/>
            </w:r>
          </w:hyperlink>
        </w:p>
        <w:p w14:paraId="7D1FD003" w14:textId="5E3ECBE7" w:rsidR="0061513F" w:rsidRDefault="001F3C94">
          <w:pPr>
            <w:pStyle w:val="TOC2"/>
            <w:tabs>
              <w:tab w:val="right" w:leader="dot" w:pos="9016"/>
            </w:tabs>
            <w:rPr>
              <w:rFonts w:asciiTheme="minorHAnsi" w:eastAsiaTheme="minorEastAsia" w:hAnsiTheme="minorHAnsi"/>
              <w:noProof/>
              <w:lang w:val="en-NZ" w:eastAsia="en-NZ"/>
            </w:rPr>
          </w:pPr>
          <w:hyperlink w:anchor="_Toc56063538" w:history="1">
            <w:r w:rsidR="0061513F" w:rsidRPr="00960DA1">
              <w:rPr>
                <w:rStyle w:val="Hyperlink"/>
                <w:noProof/>
              </w:rPr>
              <w:t>Comments on the vision</w:t>
            </w:r>
            <w:r w:rsidR="0061513F">
              <w:rPr>
                <w:noProof/>
                <w:webHidden/>
              </w:rPr>
              <w:tab/>
            </w:r>
            <w:r w:rsidR="0061513F">
              <w:rPr>
                <w:noProof/>
                <w:webHidden/>
              </w:rPr>
              <w:fldChar w:fldCharType="begin"/>
            </w:r>
            <w:r w:rsidR="0061513F">
              <w:rPr>
                <w:noProof/>
                <w:webHidden/>
              </w:rPr>
              <w:instrText xml:space="preserve"> PAGEREF _Toc56063538 \h </w:instrText>
            </w:r>
            <w:r w:rsidR="0061513F">
              <w:rPr>
                <w:noProof/>
                <w:webHidden/>
              </w:rPr>
            </w:r>
            <w:r w:rsidR="0061513F">
              <w:rPr>
                <w:noProof/>
                <w:webHidden/>
              </w:rPr>
              <w:fldChar w:fldCharType="separate"/>
            </w:r>
            <w:r w:rsidR="002512BA">
              <w:rPr>
                <w:noProof/>
                <w:webHidden/>
              </w:rPr>
              <w:t>38</w:t>
            </w:r>
            <w:r w:rsidR="0061513F">
              <w:rPr>
                <w:noProof/>
                <w:webHidden/>
              </w:rPr>
              <w:fldChar w:fldCharType="end"/>
            </w:r>
          </w:hyperlink>
        </w:p>
        <w:p w14:paraId="487BFEA5" w14:textId="5BF8ABB3" w:rsidR="0061513F" w:rsidRDefault="001F3C94">
          <w:pPr>
            <w:pStyle w:val="TOC2"/>
            <w:tabs>
              <w:tab w:val="right" w:leader="dot" w:pos="9016"/>
            </w:tabs>
            <w:rPr>
              <w:rFonts w:asciiTheme="minorHAnsi" w:eastAsiaTheme="minorEastAsia" w:hAnsiTheme="minorHAnsi"/>
              <w:noProof/>
              <w:lang w:val="en-NZ" w:eastAsia="en-NZ"/>
            </w:rPr>
          </w:pPr>
          <w:hyperlink w:anchor="_Toc56063539" w:history="1">
            <w:r w:rsidR="0061513F" w:rsidRPr="00960DA1">
              <w:rPr>
                <w:rStyle w:val="Hyperlink"/>
                <w:noProof/>
              </w:rPr>
              <w:t>Comments on the principles</w:t>
            </w:r>
            <w:r w:rsidR="0061513F">
              <w:rPr>
                <w:noProof/>
                <w:webHidden/>
              </w:rPr>
              <w:tab/>
            </w:r>
            <w:r w:rsidR="0061513F">
              <w:rPr>
                <w:noProof/>
                <w:webHidden/>
              </w:rPr>
              <w:fldChar w:fldCharType="begin"/>
            </w:r>
            <w:r w:rsidR="0061513F">
              <w:rPr>
                <w:noProof/>
                <w:webHidden/>
              </w:rPr>
              <w:instrText xml:space="preserve"> PAGEREF _Toc56063539 \h </w:instrText>
            </w:r>
            <w:r w:rsidR="0061513F">
              <w:rPr>
                <w:noProof/>
                <w:webHidden/>
              </w:rPr>
            </w:r>
            <w:r w:rsidR="0061513F">
              <w:rPr>
                <w:noProof/>
                <w:webHidden/>
              </w:rPr>
              <w:fldChar w:fldCharType="separate"/>
            </w:r>
            <w:r w:rsidR="002512BA">
              <w:rPr>
                <w:noProof/>
                <w:webHidden/>
              </w:rPr>
              <w:t>41</w:t>
            </w:r>
            <w:r w:rsidR="0061513F">
              <w:rPr>
                <w:noProof/>
                <w:webHidden/>
              </w:rPr>
              <w:fldChar w:fldCharType="end"/>
            </w:r>
          </w:hyperlink>
        </w:p>
        <w:p w14:paraId="57E4EE03" w14:textId="4200C2C1" w:rsidR="0061513F" w:rsidRDefault="001F3C94">
          <w:pPr>
            <w:pStyle w:val="TOC1"/>
            <w:tabs>
              <w:tab w:val="left" w:pos="1540"/>
            </w:tabs>
            <w:rPr>
              <w:rFonts w:asciiTheme="minorHAnsi" w:eastAsiaTheme="minorEastAsia" w:hAnsiTheme="minorHAnsi"/>
              <w:noProof/>
              <w:lang w:val="en-NZ" w:eastAsia="en-NZ"/>
            </w:rPr>
          </w:pPr>
          <w:hyperlink w:anchor="_Toc56063540" w:history="1">
            <w:r w:rsidR="0061513F" w:rsidRPr="00960DA1">
              <w:rPr>
                <w:rStyle w:val="Hyperlink"/>
                <w:noProof/>
                <w:lang w:val="en-NZ"/>
              </w:rPr>
              <w:t>Appendix 1</w:t>
            </w:r>
            <w:r w:rsidR="0061513F">
              <w:rPr>
                <w:rFonts w:asciiTheme="minorHAnsi" w:eastAsiaTheme="minorEastAsia" w:hAnsiTheme="minorHAnsi"/>
                <w:noProof/>
                <w:lang w:val="en-NZ" w:eastAsia="en-NZ"/>
              </w:rPr>
              <w:tab/>
            </w:r>
            <w:r w:rsidR="0061513F" w:rsidRPr="00960DA1">
              <w:rPr>
                <w:rStyle w:val="Hyperlink"/>
                <w:noProof/>
                <w:lang w:val="en-NZ"/>
              </w:rPr>
              <w:t>List of respondents</w:t>
            </w:r>
            <w:r w:rsidR="0061513F">
              <w:rPr>
                <w:noProof/>
                <w:webHidden/>
              </w:rPr>
              <w:tab/>
            </w:r>
            <w:r w:rsidR="0061513F">
              <w:rPr>
                <w:noProof/>
                <w:webHidden/>
              </w:rPr>
              <w:fldChar w:fldCharType="begin"/>
            </w:r>
            <w:r w:rsidR="0061513F">
              <w:rPr>
                <w:noProof/>
                <w:webHidden/>
              </w:rPr>
              <w:instrText xml:space="preserve"> PAGEREF _Toc56063540 \h </w:instrText>
            </w:r>
            <w:r w:rsidR="0061513F">
              <w:rPr>
                <w:noProof/>
                <w:webHidden/>
              </w:rPr>
            </w:r>
            <w:r w:rsidR="0061513F">
              <w:rPr>
                <w:noProof/>
                <w:webHidden/>
              </w:rPr>
              <w:fldChar w:fldCharType="separate"/>
            </w:r>
            <w:r w:rsidR="002512BA">
              <w:rPr>
                <w:noProof/>
                <w:webHidden/>
              </w:rPr>
              <w:t>46</w:t>
            </w:r>
            <w:r w:rsidR="0061513F">
              <w:rPr>
                <w:noProof/>
                <w:webHidden/>
              </w:rPr>
              <w:fldChar w:fldCharType="end"/>
            </w:r>
          </w:hyperlink>
        </w:p>
        <w:p w14:paraId="610D89A4" w14:textId="60499475" w:rsidR="004C142F" w:rsidRPr="00624E26" w:rsidRDefault="005F388D" w:rsidP="005F388D">
          <w:pPr>
            <w:rPr>
              <w:lang w:val="en-NZ"/>
            </w:rPr>
          </w:pPr>
          <w:r>
            <w:fldChar w:fldCharType="end"/>
          </w:r>
        </w:p>
      </w:sdtContent>
    </w:sdt>
    <w:bookmarkEnd w:id="14" w:displacedByCustomXml="prev"/>
    <w:p w14:paraId="6501BA6E" w14:textId="29402119" w:rsidR="0050639B" w:rsidRDefault="0050639B">
      <w:pPr>
        <w:spacing w:before="0" w:after="160" w:line="259" w:lineRule="auto"/>
        <w:rPr>
          <w:rFonts w:eastAsiaTheme="majorEastAsia" w:cs="Arial"/>
          <w:b/>
          <w:sz w:val="28"/>
          <w:szCs w:val="26"/>
        </w:rPr>
      </w:pPr>
      <w:r>
        <w:br w:type="page"/>
      </w:r>
    </w:p>
    <w:p w14:paraId="0F64CB70" w14:textId="21B820BD" w:rsidR="0061513F" w:rsidRDefault="0061513F" w:rsidP="0061513F">
      <w:pPr>
        <w:rPr>
          <w:rFonts w:eastAsiaTheme="majorEastAsia" w:cs="Arial"/>
          <w:b/>
          <w:sz w:val="32"/>
          <w:szCs w:val="32"/>
        </w:rPr>
      </w:pPr>
      <w:bookmarkStart w:id="20" w:name="_Toc53472577"/>
      <w:bookmarkStart w:id="21" w:name="_Toc53472806"/>
      <w:bookmarkStart w:id="22" w:name="_Toc53472895"/>
      <w:bookmarkStart w:id="23" w:name="_Toc56063527"/>
      <w:r>
        <w:lastRenderedPageBreak/>
        <w:t>[Blank page]</w:t>
      </w:r>
      <w:r>
        <w:br w:type="page"/>
      </w:r>
    </w:p>
    <w:p w14:paraId="52FACA65" w14:textId="13967DCD" w:rsidR="005F388D" w:rsidRPr="005F388D" w:rsidRDefault="005F388D" w:rsidP="005F388D">
      <w:pPr>
        <w:pStyle w:val="Heading1"/>
      </w:pPr>
      <w:r w:rsidRPr="005F388D">
        <w:lastRenderedPageBreak/>
        <w:t>Purpose</w:t>
      </w:r>
      <w:r>
        <w:t xml:space="preserve"> of this report</w:t>
      </w:r>
      <w:bookmarkEnd w:id="20"/>
      <w:bookmarkEnd w:id="21"/>
      <w:bookmarkEnd w:id="22"/>
      <w:bookmarkEnd w:id="23"/>
    </w:p>
    <w:p w14:paraId="7A335CBB" w14:textId="77777777" w:rsidR="005F388D" w:rsidRDefault="005F388D" w:rsidP="005F388D">
      <w:pPr>
        <w:spacing w:after="120" w:line="268" w:lineRule="auto"/>
        <w:rPr>
          <w:rFonts w:cs="Arial"/>
          <w:lang w:val="en-NZ"/>
        </w:rPr>
      </w:pPr>
      <w:r w:rsidRPr="0095404F">
        <w:rPr>
          <w:rFonts w:cs="Arial"/>
          <w:lang w:val="en-NZ"/>
        </w:rPr>
        <w:t xml:space="preserve">This report provides a summary of what </w:t>
      </w:r>
      <w:r>
        <w:rPr>
          <w:rFonts w:cs="Arial"/>
          <w:lang w:val="en-NZ"/>
        </w:rPr>
        <w:t>the Initial Mental Health and Wellbeing Commission (Initial Commission)</w:t>
      </w:r>
      <w:r w:rsidRPr="0095404F">
        <w:rPr>
          <w:rFonts w:cs="Arial"/>
          <w:lang w:val="en-NZ"/>
        </w:rPr>
        <w:t xml:space="preserve"> heard</w:t>
      </w:r>
      <w:r>
        <w:rPr>
          <w:rFonts w:cs="Arial"/>
          <w:lang w:val="en-NZ"/>
        </w:rPr>
        <w:t>, during August and September 2020,</w:t>
      </w:r>
      <w:r w:rsidRPr="0095404F">
        <w:rPr>
          <w:rFonts w:cs="Arial"/>
          <w:lang w:val="en-NZ"/>
        </w:rPr>
        <w:t xml:space="preserve"> from </w:t>
      </w:r>
      <w:r>
        <w:rPr>
          <w:rFonts w:cs="Arial"/>
          <w:lang w:val="en-NZ"/>
        </w:rPr>
        <w:t xml:space="preserve">consultation on </w:t>
      </w:r>
      <w:r w:rsidRPr="0095404F">
        <w:rPr>
          <w:rFonts w:cs="Arial"/>
          <w:lang w:val="en-NZ"/>
        </w:rPr>
        <w:t xml:space="preserve">the </w:t>
      </w:r>
      <w:r>
        <w:rPr>
          <w:rFonts w:cs="Arial"/>
          <w:lang w:val="en-NZ"/>
        </w:rPr>
        <w:t xml:space="preserve">draft He Ara Oranga </w:t>
      </w:r>
      <w:r w:rsidRPr="0095404F">
        <w:rPr>
          <w:rFonts w:cs="Arial"/>
          <w:lang w:val="en-NZ"/>
        </w:rPr>
        <w:t>wellbeing outcomes framework</w:t>
      </w:r>
      <w:r>
        <w:rPr>
          <w:rFonts w:cs="Arial"/>
          <w:lang w:val="en-NZ"/>
        </w:rPr>
        <w:t xml:space="preserve"> (the outcomes framework)</w:t>
      </w:r>
      <w:r w:rsidRPr="0095404F">
        <w:rPr>
          <w:rFonts w:cs="Arial"/>
          <w:lang w:val="en-NZ"/>
        </w:rPr>
        <w:t>.</w:t>
      </w:r>
      <w:r w:rsidRPr="00827A67">
        <w:rPr>
          <w:rFonts w:cs="Arial"/>
          <w:lang w:val="en-NZ"/>
        </w:rPr>
        <w:t xml:space="preserve"> </w:t>
      </w:r>
    </w:p>
    <w:p w14:paraId="7BC8053C" w14:textId="39243B58" w:rsidR="0050639B" w:rsidRDefault="00533E81" w:rsidP="00D0478E">
      <w:pPr>
        <w:pStyle w:val="Heading1"/>
      </w:pPr>
      <w:bookmarkStart w:id="24" w:name="_Toc56063528"/>
      <w:r>
        <w:t xml:space="preserve">Section 1: </w:t>
      </w:r>
      <w:r w:rsidR="008B6EFA">
        <w:t>S</w:t>
      </w:r>
      <w:r w:rsidR="00135F12">
        <w:t xml:space="preserve">ummary of the </w:t>
      </w:r>
      <w:r w:rsidR="00D64AEE">
        <w:t>feedback</w:t>
      </w:r>
      <w:bookmarkEnd w:id="24"/>
    </w:p>
    <w:p w14:paraId="2FB30FD9" w14:textId="77777777" w:rsidR="00AD5B3A" w:rsidRDefault="00AD5B3A" w:rsidP="00AD5B3A">
      <w:pPr>
        <w:pStyle w:val="Heading3"/>
      </w:pPr>
      <w:r>
        <w:t>Overall</w:t>
      </w:r>
    </w:p>
    <w:p w14:paraId="0373D1AD" w14:textId="454AACD4" w:rsidR="00AD5B3A" w:rsidRDefault="00AD5B3A" w:rsidP="00AD5B3A">
      <w:pPr>
        <w:rPr>
          <w:lang w:val="en-NZ"/>
        </w:rPr>
      </w:pPr>
      <w:r>
        <w:rPr>
          <w:lang w:val="en-NZ"/>
        </w:rPr>
        <w:t xml:space="preserve">The overwhelming majority of the feedback was positive. Other feedback offered valuable suggestions about how to improve the framework. </w:t>
      </w:r>
    </w:p>
    <w:p w14:paraId="0D3F8529" w14:textId="2C9E2A5E" w:rsidR="00AD5B3A" w:rsidRDefault="00AD5B3A" w:rsidP="00AD5B3A">
      <w:pPr>
        <w:rPr>
          <w:lang w:val="en-NZ"/>
        </w:rPr>
      </w:pPr>
      <w:r>
        <w:rPr>
          <w:lang w:val="en-NZ"/>
        </w:rPr>
        <w:t>The outcomes framework resonate</w:t>
      </w:r>
      <w:r w:rsidR="005C5A8F">
        <w:rPr>
          <w:lang w:val="en-NZ"/>
        </w:rPr>
        <w:t>d</w:t>
      </w:r>
      <w:r>
        <w:rPr>
          <w:lang w:val="en-NZ"/>
        </w:rPr>
        <w:t xml:space="preserve"> well with most people, </w:t>
      </w:r>
      <w:r w:rsidR="005C5A8F">
        <w:rPr>
          <w:lang w:val="en-NZ"/>
        </w:rPr>
        <w:t>with</w:t>
      </w:r>
      <w:r>
        <w:rPr>
          <w:lang w:val="en-NZ"/>
        </w:rPr>
        <w:t xml:space="preserve"> the domains largely cover</w:t>
      </w:r>
      <w:r w:rsidR="005C5A8F">
        <w:rPr>
          <w:lang w:val="en-NZ"/>
        </w:rPr>
        <w:t>ing</w:t>
      </w:r>
      <w:r>
        <w:rPr>
          <w:lang w:val="en-NZ"/>
        </w:rPr>
        <w:t xml:space="preserve"> what wellbeing means</w:t>
      </w:r>
      <w:r w:rsidR="005C5A8F">
        <w:rPr>
          <w:lang w:val="en-NZ"/>
        </w:rPr>
        <w:t xml:space="preserve"> to respondents</w:t>
      </w:r>
      <w:r>
        <w:rPr>
          <w:lang w:val="en-NZ"/>
        </w:rPr>
        <w:t>. People support</w:t>
      </w:r>
      <w:r w:rsidR="005C5A8F">
        <w:rPr>
          <w:lang w:val="en-NZ"/>
        </w:rPr>
        <w:t>ed</w:t>
      </w:r>
      <w:r>
        <w:rPr>
          <w:lang w:val="en-NZ"/>
        </w:rPr>
        <w:t xml:space="preserve"> the framework because it:</w:t>
      </w:r>
    </w:p>
    <w:p w14:paraId="58E428EB" w14:textId="4ACC12AB" w:rsidR="00AD5B3A" w:rsidRDefault="00AD5B3A" w:rsidP="00AD5B3A">
      <w:pPr>
        <w:pStyle w:val="ListParagraph"/>
        <w:numPr>
          <w:ilvl w:val="0"/>
          <w:numId w:val="32"/>
        </w:numPr>
        <w:textAlignment w:val="auto"/>
        <w:rPr>
          <w:lang w:val="en-NZ"/>
        </w:rPr>
      </w:pPr>
      <w:r>
        <w:rPr>
          <w:lang w:val="en-NZ"/>
        </w:rPr>
        <w:t xml:space="preserve">is aspirational and takes a strengths-based approach </w:t>
      </w:r>
    </w:p>
    <w:p w14:paraId="4402B3F6" w14:textId="77777777" w:rsidR="00AD5B3A" w:rsidRDefault="00AD5B3A" w:rsidP="00AD5B3A">
      <w:pPr>
        <w:pStyle w:val="ListParagraph"/>
        <w:numPr>
          <w:ilvl w:val="0"/>
          <w:numId w:val="32"/>
        </w:numPr>
        <w:textAlignment w:val="auto"/>
      </w:pPr>
      <w:r>
        <w:rPr>
          <w:lang w:val="en-NZ"/>
        </w:rPr>
        <w:t xml:space="preserve">includes structural and systemic factors that impact on wellbeing </w:t>
      </w:r>
    </w:p>
    <w:p w14:paraId="36BEB01F" w14:textId="77777777" w:rsidR="00AD5B3A" w:rsidRDefault="00AD5B3A" w:rsidP="00AD5B3A">
      <w:pPr>
        <w:pStyle w:val="ListParagraph"/>
        <w:numPr>
          <w:ilvl w:val="0"/>
          <w:numId w:val="32"/>
        </w:numPr>
        <w:textAlignment w:val="auto"/>
        <w:rPr>
          <w:lang w:val="en-NZ"/>
        </w:rPr>
      </w:pPr>
      <w:r>
        <w:rPr>
          <w:lang w:val="en-NZ"/>
        </w:rPr>
        <w:t xml:space="preserve">takes a broad and interconnected approach to understanding wellbeing, with relevance to mental health and addiction. </w:t>
      </w:r>
    </w:p>
    <w:p w14:paraId="4C77613D" w14:textId="16A94611" w:rsidR="00AD5B3A" w:rsidRDefault="00AD5B3A" w:rsidP="00AD5B3A">
      <w:pPr>
        <w:rPr>
          <w:lang w:val="en-NZ"/>
        </w:rPr>
      </w:pPr>
      <w:r>
        <w:rPr>
          <w:lang w:val="en-NZ"/>
        </w:rPr>
        <w:t xml:space="preserve">Some people suggested that the wellbeing approach may be too broad and less relevant to </w:t>
      </w:r>
      <w:r w:rsidR="009F3716" w:rsidRPr="009F3716">
        <w:rPr>
          <w:lang w:val="en-NZ"/>
        </w:rPr>
        <w:t>people living with se</w:t>
      </w:r>
      <w:r w:rsidR="00FB4966">
        <w:rPr>
          <w:lang w:val="en-NZ"/>
        </w:rPr>
        <w:t>vere</w:t>
      </w:r>
      <w:r w:rsidR="009F3716" w:rsidRPr="009F3716">
        <w:rPr>
          <w:lang w:val="en-NZ"/>
        </w:rPr>
        <w:t xml:space="preserve"> mental health and addiction issues</w:t>
      </w:r>
      <w:r>
        <w:rPr>
          <w:lang w:val="en-NZ"/>
        </w:rPr>
        <w:t xml:space="preserve">. </w:t>
      </w:r>
    </w:p>
    <w:p w14:paraId="1ADA420C" w14:textId="6A388C24" w:rsidR="00AD5B3A" w:rsidRDefault="005C5A8F" w:rsidP="00AD5B3A">
      <w:r>
        <w:t>Respondents also considered that</w:t>
      </w:r>
      <w:r w:rsidR="00AD5B3A">
        <w:t xml:space="preserve"> the framework </w:t>
      </w:r>
      <w:r>
        <w:t>needs to be clearer</w:t>
      </w:r>
      <w:r w:rsidR="00AD5B3A">
        <w:t xml:space="preserve"> about the connection between the high-level domains and the detailed descriptors; including the distinction between domains. </w:t>
      </w:r>
      <w:r w:rsidR="00FB4966">
        <w:rPr>
          <w:lang w:val="en-NZ"/>
        </w:rPr>
        <w:t>Also, t</w:t>
      </w:r>
      <w:r w:rsidR="00AD5B3A">
        <w:rPr>
          <w:lang w:val="en-NZ"/>
        </w:rPr>
        <w:t xml:space="preserve">he final framework </w:t>
      </w:r>
      <w:r w:rsidR="00FB4966">
        <w:rPr>
          <w:lang w:val="en-NZ"/>
        </w:rPr>
        <w:t>needs to be</w:t>
      </w:r>
      <w:r w:rsidR="00AD5B3A">
        <w:rPr>
          <w:lang w:val="en-NZ"/>
        </w:rPr>
        <w:t xml:space="preserve"> in plain and concise language.</w:t>
      </w:r>
    </w:p>
    <w:p w14:paraId="42247484" w14:textId="0C177874" w:rsidR="00AD5B3A" w:rsidRDefault="00AD5B3A" w:rsidP="00AD5B3A">
      <w:pPr>
        <w:pStyle w:val="Heading3"/>
        <w:spacing w:line="240" w:lineRule="auto"/>
      </w:pPr>
      <w:r>
        <w:t xml:space="preserve">The </w:t>
      </w:r>
      <w:r w:rsidR="0003237C">
        <w:t>dual-</w:t>
      </w:r>
      <w:r w:rsidR="00276877">
        <w:t>layered</w:t>
      </w:r>
      <w:r>
        <w:t xml:space="preserve"> framework </w:t>
      </w:r>
    </w:p>
    <w:p w14:paraId="0B96C19A" w14:textId="0D5C5CB4" w:rsidR="00AD5B3A" w:rsidRDefault="00AD5B3A" w:rsidP="00AD5B3A">
      <w:pPr>
        <w:rPr>
          <w:lang w:val="en-NZ"/>
        </w:rPr>
      </w:pPr>
      <w:r>
        <w:rPr>
          <w:lang w:val="en-NZ"/>
        </w:rPr>
        <w:t>Many Māori and non-Māori respondents support</w:t>
      </w:r>
      <w:r w:rsidR="00276877">
        <w:rPr>
          <w:lang w:val="en-NZ"/>
        </w:rPr>
        <w:t>ed</w:t>
      </w:r>
      <w:r>
        <w:rPr>
          <w:lang w:val="en-NZ"/>
        </w:rPr>
        <w:t xml:space="preserve"> the layered approach because it gives Te Tiriti ‘its rightful mana and place and</w:t>
      </w:r>
      <w:r>
        <w:t xml:space="preserve"> </w:t>
      </w:r>
      <w:r>
        <w:rPr>
          <w:lang w:val="en-NZ"/>
        </w:rPr>
        <w:t xml:space="preserve">acknowledges the importance of Māori as tangata whenua and the Crown’s Treaty partner’. </w:t>
      </w:r>
    </w:p>
    <w:p w14:paraId="318DD5A9" w14:textId="77777777" w:rsidR="00AD5B3A" w:rsidRDefault="00AD5B3A" w:rsidP="00AD5B3A">
      <w:r>
        <w:rPr>
          <w:lang w:val="en-NZ"/>
        </w:rPr>
        <w:t>More work is needed to show how the two layers relate to each other.</w:t>
      </w:r>
      <w:r>
        <w:t xml:space="preserve"> </w:t>
      </w:r>
      <w:r>
        <w:rPr>
          <w:lang w:val="en-NZ"/>
        </w:rPr>
        <w:t>Some saw the ‘for Māori as tangata whenua’ domains having universal applicability</w:t>
      </w:r>
      <w:r>
        <w:t xml:space="preserve">. </w:t>
      </w:r>
      <w:r>
        <w:rPr>
          <w:lang w:val="en-NZ"/>
        </w:rPr>
        <w:t xml:space="preserve">The layers could be renamed so that they are not framed as ‘for’ particular groups. </w:t>
      </w:r>
    </w:p>
    <w:p w14:paraId="294A8E63" w14:textId="3855BF62" w:rsidR="00AD5B3A" w:rsidRDefault="0003237C" w:rsidP="00AD5B3A">
      <w:r>
        <w:t xml:space="preserve">As one of the priority groups identified in the He Ara Oranga report, it was agreed that a Pacific example would be appropriate to develop in addition to the dual-layered framework. </w:t>
      </w:r>
      <w:r w:rsidR="00AD5B3A">
        <w:t xml:space="preserve">Pacific respondents said the Pacific example resonated more with them than the </w:t>
      </w:r>
      <w:r w:rsidR="00FB4966">
        <w:t xml:space="preserve">‘for everyone’ </w:t>
      </w:r>
      <w:r w:rsidR="00AD5B3A">
        <w:t xml:space="preserve">outcomes framework. </w:t>
      </w:r>
      <w:r w:rsidR="00FB4966">
        <w:t>Key s</w:t>
      </w:r>
      <w:r w:rsidR="00AD5B3A">
        <w:t xml:space="preserve">uggestions </w:t>
      </w:r>
      <w:r w:rsidR="00276877">
        <w:t>were</w:t>
      </w:r>
      <w:r w:rsidR="00AD5B3A">
        <w:t xml:space="preserve"> to </w:t>
      </w:r>
      <w:r w:rsidR="009A0ACA">
        <w:t xml:space="preserve">make more use of </w:t>
      </w:r>
      <w:r w:rsidR="00D97845">
        <w:t>Pacific</w:t>
      </w:r>
      <w:r w:rsidR="00AD5B3A">
        <w:t xml:space="preserve"> language</w:t>
      </w:r>
      <w:r w:rsidR="00D97845">
        <w:t>s</w:t>
      </w:r>
      <w:r w:rsidR="00AD5B3A">
        <w:t xml:space="preserve">, use </w:t>
      </w:r>
      <w:r w:rsidR="00D97845">
        <w:t>Pacific</w:t>
      </w:r>
      <w:r w:rsidR="00AD5B3A">
        <w:t xml:space="preserve"> models in the descriptors, and make </w:t>
      </w:r>
      <w:r w:rsidR="00AD5B3A">
        <w:rPr>
          <w:color w:val="000000" w:themeColor="text1"/>
        </w:rPr>
        <w:t>faith and spirituality more explicit throughout.</w:t>
      </w:r>
    </w:p>
    <w:p w14:paraId="2C452536" w14:textId="77777777" w:rsidR="00AD5B3A" w:rsidRDefault="00AD5B3A" w:rsidP="00AD5B3A">
      <w:pPr>
        <w:pStyle w:val="Heading3"/>
      </w:pPr>
      <w:r>
        <w:t>Specificity for particular outcomes and groups</w:t>
      </w:r>
    </w:p>
    <w:p w14:paraId="73B159C3" w14:textId="77777777" w:rsidR="00AD5B3A" w:rsidRDefault="00AD5B3A" w:rsidP="00AD5B3A">
      <w:pPr>
        <w:spacing w:after="0"/>
        <w:rPr>
          <w:lang w:val="en-NZ" w:eastAsia="en-GB"/>
        </w:rPr>
      </w:pPr>
      <w:r>
        <w:rPr>
          <w:lang w:val="en-NZ" w:eastAsia="en-GB"/>
        </w:rPr>
        <w:t>Respondents wanted (stronger) reference in the framework to:</w:t>
      </w:r>
    </w:p>
    <w:p w14:paraId="75CD832D" w14:textId="30832031" w:rsidR="00AD5B3A" w:rsidRDefault="00AD5B3A" w:rsidP="00AD5B3A">
      <w:pPr>
        <w:pStyle w:val="ListParagraph"/>
        <w:numPr>
          <w:ilvl w:val="0"/>
          <w:numId w:val="33"/>
        </w:numPr>
        <w:spacing w:after="0"/>
        <w:textAlignment w:val="auto"/>
      </w:pPr>
      <w:r>
        <w:rPr>
          <w:lang w:val="en-NZ" w:eastAsia="en-GB"/>
        </w:rPr>
        <w:t>addiction, substance use and gambling harm</w:t>
      </w:r>
    </w:p>
    <w:p w14:paraId="682E4091" w14:textId="77777777" w:rsidR="00AD5B3A" w:rsidRDefault="00AD5B3A" w:rsidP="00AD5B3A">
      <w:pPr>
        <w:pStyle w:val="ListParagraph"/>
        <w:numPr>
          <w:ilvl w:val="0"/>
          <w:numId w:val="33"/>
        </w:numPr>
        <w:spacing w:after="0"/>
        <w:textAlignment w:val="auto"/>
      </w:pPr>
      <w:r>
        <w:rPr>
          <w:lang w:val="en-NZ" w:eastAsia="en-GB"/>
        </w:rPr>
        <w:t>outcomes for people in acute mental distress or for those who had severe and enduring ill health</w:t>
      </w:r>
    </w:p>
    <w:p w14:paraId="516FF82E" w14:textId="116385D7" w:rsidR="00AD5B3A" w:rsidRDefault="009A0ACA" w:rsidP="00AD5B3A">
      <w:pPr>
        <w:pStyle w:val="ListParagraph"/>
        <w:numPr>
          <w:ilvl w:val="0"/>
          <w:numId w:val="33"/>
        </w:numPr>
        <w:spacing w:after="0"/>
        <w:textAlignment w:val="auto"/>
      </w:pPr>
      <w:r>
        <w:rPr>
          <w:lang w:val="en-NZ" w:eastAsia="en-GB"/>
        </w:rPr>
        <w:t xml:space="preserve">the unique mental health and wellbeing needs of </w:t>
      </w:r>
      <w:r w:rsidR="00AD5B3A">
        <w:rPr>
          <w:lang w:val="en-NZ" w:eastAsia="en-GB"/>
        </w:rPr>
        <w:t>infant</w:t>
      </w:r>
      <w:r>
        <w:rPr>
          <w:lang w:val="en-NZ" w:eastAsia="en-GB"/>
        </w:rPr>
        <w:t>s</w:t>
      </w:r>
      <w:r w:rsidR="00AD5B3A">
        <w:rPr>
          <w:lang w:val="en-NZ" w:eastAsia="en-GB"/>
        </w:rPr>
        <w:t xml:space="preserve">, children and youth </w:t>
      </w:r>
    </w:p>
    <w:p w14:paraId="4F90E011" w14:textId="32125396" w:rsidR="00AD5B3A" w:rsidRDefault="00AD5B3A" w:rsidP="00AD5B3A">
      <w:pPr>
        <w:pStyle w:val="ListParagraph"/>
        <w:numPr>
          <w:ilvl w:val="0"/>
          <w:numId w:val="33"/>
        </w:numPr>
        <w:spacing w:after="0"/>
        <w:textAlignment w:val="auto"/>
      </w:pPr>
      <w:r>
        <w:rPr>
          <w:lang w:val="en-NZ" w:eastAsia="en-GB"/>
        </w:rPr>
        <w:t>outcomes for Asian communities, refugees, prisoners and their families, and the mental health and addiction workforce</w:t>
      </w:r>
      <w:r w:rsidR="009A0ACA">
        <w:rPr>
          <w:lang w:val="en-NZ" w:eastAsia="en-GB"/>
        </w:rPr>
        <w:t>.</w:t>
      </w:r>
      <w:r>
        <w:rPr>
          <w:lang w:val="en-NZ" w:eastAsia="en-GB"/>
        </w:rPr>
        <w:t xml:space="preserve"> </w:t>
      </w:r>
    </w:p>
    <w:p w14:paraId="03F0C079" w14:textId="77777777" w:rsidR="00AD5B3A" w:rsidRDefault="00AD5B3A" w:rsidP="00AD5B3A">
      <w:pPr>
        <w:pStyle w:val="Heading3"/>
      </w:pPr>
      <w:r>
        <w:lastRenderedPageBreak/>
        <w:t>Implementation of the framework</w:t>
      </w:r>
    </w:p>
    <w:p w14:paraId="4614A2B2" w14:textId="77777777" w:rsidR="00AD5B3A" w:rsidRDefault="00AD5B3A" w:rsidP="00AD5B3A">
      <w:pPr>
        <w:spacing w:before="0" w:after="160" w:line="256" w:lineRule="auto"/>
        <w:rPr>
          <w:rFonts w:eastAsiaTheme="majorEastAsia" w:cs="Arial"/>
          <w:b/>
          <w:sz w:val="28"/>
          <w:szCs w:val="26"/>
        </w:rPr>
      </w:pPr>
      <w:r>
        <w:rPr>
          <w:lang w:val="en-NZ" w:eastAsia="en-GB"/>
        </w:rPr>
        <w:t xml:space="preserve">Respondents questioned how the framework would translate into outcomes </w:t>
      </w:r>
      <w:r>
        <w:t xml:space="preserve">and how this framework would work with others. </w:t>
      </w:r>
    </w:p>
    <w:p w14:paraId="20B25E1C" w14:textId="77777777" w:rsidR="00AD5B3A" w:rsidRDefault="00AD5B3A" w:rsidP="00AD5B3A">
      <w:pPr>
        <w:pStyle w:val="Heading3"/>
      </w:pPr>
      <w:r>
        <w:t>Concepts that are missing or need greater prominence</w:t>
      </w:r>
    </w:p>
    <w:p w14:paraId="75D10AAC" w14:textId="2A7DA116" w:rsidR="00AD5B3A" w:rsidRDefault="00AD5B3A" w:rsidP="00AD5B3A">
      <w:r>
        <w:rPr>
          <w:lang w:val="en-NZ" w:eastAsia="en-GB"/>
        </w:rPr>
        <w:t xml:space="preserve">Suggestions were made to refine the domain descriptors, such as: recognising colonisation and its impacts, the importance of te </w:t>
      </w:r>
      <w:proofErr w:type="spellStart"/>
      <w:r>
        <w:rPr>
          <w:lang w:val="en-NZ" w:eastAsia="en-GB"/>
        </w:rPr>
        <w:t>reo</w:t>
      </w:r>
      <w:proofErr w:type="spellEnd"/>
      <w:r w:rsidR="0074031D">
        <w:rPr>
          <w:lang w:val="en-NZ" w:eastAsia="en-GB"/>
        </w:rPr>
        <w:t xml:space="preserve"> Māori</w:t>
      </w:r>
      <w:r>
        <w:rPr>
          <w:lang w:val="en-NZ" w:eastAsia="en-GB"/>
        </w:rPr>
        <w:t xml:space="preserve"> in relation to wellbeing for Māori, peoples’ and communities’ expression of cultural values,</w:t>
      </w:r>
      <w:r>
        <w:t xml:space="preserve"> spirituality and belonging, equity and </w:t>
      </w:r>
      <w:r>
        <w:rPr>
          <w:lang w:eastAsia="en-NZ"/>
        </w:rPr>
        <w:t xml:space="preserve">safety, </w:t>
      </w:r>
      <w:r>
        <w:rPr>
          <w:lang w:val="en-NZ"/>
        </w:rPr>
        <w:t>economic resources and role of socio-economic deprivation.</w:t>
      </w:r>
      <w:r>
        <w:t xml:space="preserve"> Suggestions about specific domain concepts and descriptors are detailed in the report. </w:t>
      </w:r>
    </w:p>
    <w:p w14:paraId="6D445D11" w14:textId="10303A53" w:rsidR="0050639B" w:rsidRDefault="0050639B">
      <w:pPr>
        <w:spacing w:before="0" w:after="160" w:line="259" w:lineRule="auto"/>
        <w:rPr>
          <w:rFonts w:eastAsiaTheme="majorEastAsia" w:cs="Arial"/>
          <w:b/>
          <w:sz w:val="28"/>
          <w:szCs w:val="26"/>
        </w:rPr>
      </w:pPr>
      <w:r>
        <w:br w:type="page"/>
      </w:r>
    </w:p>
    <w:p w14:paraId="09A7299E" w14:textId="77777777" w:rsidR="009E1F66" w:rsidRDefault="00793C60" w:rsidP="00C669B1">
      <w:pPr>
        <w:pStyle w:val="Heading1"/>
      </w:pPr>
      <w:bookmarkStart w:id="25" w:name="_Toc56063529"/>
      <w:r>
        <w:lastRenderedPageBreak/>
        <w:t xml:space="preserve">Section 2: </w:t>
      </w:r>
      <w:r w:rsidR="009E1F66">
        <w:t>About the consultation</w:t>
      </w:r>
      <w:bookmarkEnd w:id="25"/>
    </w:p>
    <w:p w14:paraId="44D8B068" w14:textId="4A8439AD" w:rsidR="008A3C22" w:rsidRDefault="009E1F66" w:rsidP="009E1F66">
      <w:pPr>
        <w:pStyle w:val="Heading2"/>
        <w:rPr>
          <w:lang w:val="en-NZ"/>
        </w:rPr>
      </w:pPr>
      <w:bookmarkStart w:id="26" w:name="_Toc56063530"/>
      <w:r>
        <w:t>Context</w:t>
      </w:r>
      <w:r w:rsidR="00161AB5">
        <w:rPr>
          <w:lang w:val="en-NZ"/>
        </w:rPr>
        <w:t xml:space="preserve"> </w:t>
      </w:r>
      <w:r>
        <w:rPr>
          <w:lang w:val="en-NZ"/>
        </w:rPr>
        <w:t>– the Initial Mental Health and Wellbeing Commission</w:t>
      </w:r>
      <w:bookmarkEnd w:id="26"/>
    </w:p>
    <w:p w14:paraId="784F9670" w14:textId="16652DF4" w:rsidR="008A3C22" w:rsidRDefault="008A3C22" w:rsidP="0029005C">
      <w:pPr>
        <w:spacing w:after="120" w:line="268" w:lineRule="auto"/>
        <w:rPr>
          <w:rFonts w:cs="Arial"/>
          <w:lang w:val="en-NZ"/>
        </w:rPr>
      </w:pPr>
      <w:r>
        <w:rPr>
          <w:rFonts w:cs="Arial"/>
          <w:lang w:val="en-NZ"/>
        </w:rPr>
        <w:t xml:space="preserve">The </w:t>
      </w:r>
      <w:r w:rsidR="00F760A1">
        <w:rPr>
          <w:rFonts w:cs="Arial"/>
          <w:lang w:val="en-NZ"/>
        </w:rPr>
        <w:t xml:space="preserve">Initial Commission </w:t>
      </w:r>
      <w:r w:rsidR="00773BE2">
        <w:rPr>
          <w:rFonts w:cs="Arial"/>
          <w:lang w:val="en-NZ"/>
        </w:rPr>
        <w:t>was established in November 2019</w:t>
      </w:r>
      <w:r w:rsidR="00C7493E">
        <w:rPr>
          <w:rFonts w:cs="Arial"/>
          <w:lang w:val="en-NZ"/>
        </w:rPr>
        <w:t xml:space="preserve"> to </w:t>
      </w:r>
      <w:r w:rsidR="00E911EC">
        <w:rPr>
          <w:rFonts w:cs="Arial"/>
          <w:lang w:val="en-NZ"/>
        </w:rPr>
        <w:t xml:space="preserve">begin monitoring progress on the Government’s response to </w:t>
      </w:r>
      <w:r w:rsidR="00E911EC" w:rsidRPr="006D4586">
        <w:rPr>
          <w:rFonts w:cs="Arial"/>
          <w:i/>
          <w:lang w:val="en-NZ"/>
        </w:rPr>
        <w:t>He Ara Oranga</w:t>
      </w:r>
      <w:r w:rsidR="009C4C9D" w:rsidRPr="009C4C9D">
        <w:rPr>
          <w:rStyle w:val="FootnoteReference"/>
          <w:rFonts w:cs="Arial"/>
          <w:lang w:val="en-NZ"/>
        </w:rPr>
        <w:footnoteReference w:id="2"/>
      </w:r>
      <w:r w:rsidR="00E911EC">
        <w:rPr>
          <w:rFonts w:cs="Arial"/>
          <w:lang w:val="en-NZ"/>
        </w:rPr>
        <w:t xml:space="preserve"> and </w:t>
      </w:r>
      <w:r w:rsidR="00DB3EF6">
        <w:rPr>
          <w:rFonts w:cs="Arial"/>
          <w:lang w:val="en-NZ"/>
        </w:rPr>
        <w:t xml:space="preserve">to </w:t>
      </w:r>
      <w:r w:rsidR="000D71F5">
        <w:rPr>
          <w:rFonts w:cs="Arial"/>
          <w:lang w:val="en-NZ"/>
        </w:rPr>
        <w:t xml:space="preserve">enable </w:t>
      </w:r>
      <w:r w:rsidR="005D2F08">
        <w:rPr>
          <w:rFonts w:cs="Arial"/>
          <w:lang w:val="en-NZ"/>
        </w:rPr>
        <w:t>the</w:t>
      </w:r>
      <w:r w:rsidR="00C7493E">
        <w:rPr>
          <w:rFonts w:cs="Arial"/>
          <w:lang w:val="en-NZ"/>
        </w:rPr>
        <w:t xml:space="preserve"> </w:t>
      </w:r>
      <w:r w:rsidR="001270C0">
        <w:rPr>
          <w:rFonts w:cs="Arial"/>
          <w:lang w:val="en-NZ"/>
        </w:rPr>
        <w:t xml:space="preserve">permanent </w:t>
      </w:r>
      <w:r w:rsidR="00C7493E">
        <w:rPr>
          <w:rFonts w:cs="Arial"/>
          <w:lang w:val="en-NZ"/>
        </w:rPr>
        <w:t>Mental Health and Wellbeing Commission to make swift progress when it is established</w:t>
      </w:r>
      <w:r w:rsidR="00DB3EF6">
        <w:rPr>
          <w:rFonts w:cs="Arial"/>
          <w:lang w:val="en-NZ"/>
        </w:rPr>
        <w:t>.</w:t>
      </w:r>
      <w:r w:rsidR="00DB3EF6">
        <w:rPr>
          <w:rStyle w:val="FootnoteReference"/>
          <w:rFonts w:cs="Arial"/>
          <w:lang w:val="en-NZ"/>
        </w:rPr>
        <w:footnoteReference w:id="3"/>
      </w:r>
    </w:p>
    <w:p w14:paraId="05F57228" w14:textId="110C5BA8" w:rsidR="00C809BB" w:rsidRDefault="00090827" w:rsidP="0029005C">
      <w:pPr>
        <w:spacing w:after="120" w:line="268" w:lineRule="auto"/>
        <w:rPr>
          <w:rFonts w:cs="Arial"/>
          <w:lang w:val="en-NZ"/>
        </w:rPr>
      </w:pPr>
      <w:r>
        <w:rPr>
          <w:rFonts w:cs="Arial"/>
          <w:lang w:val="en-NZ"/>
        </w:rPr>
        <w:t xml:space="preserve">One of </w:t>
      </w:r>
      <w:r w:rsidR="004B74A8">
        <w:rPr>
          <w:rFonts w:cs="Arial"/>
          <w:lang w:val="en-NZ"/>
        </w:rPr>
        <w:t xml:space="preserve">our </w:t>
      </w:r>
      <w:r>
        <w:rPr>
          <w:rFonts w:cs="Arial"/>
          <w:lang w:val="en-NZ"/>
        </w:rPr>
        <w:t>main tasks</w:t>
      </w:r>
      <w:r w:rsidR="004B74A8">
        <w:rPr>
          <w:rFonts w:cs="Arial"/>
          <w:lang w:val="en-NZ"/>
        </w:rPr>
        <w:t xml:space="preserve"> as the Initial Commission</w:t>
      </w:r>
      <w:r>
        <w:rPr>
          <w:rFonts w:cs="Arial"/>
          <w:lang w:val="en-NZ"/>
        </w:rPr>
        <w:t xml:space="preserve"> is to </w:t>
      </w:r>
      <w:r w:rsidR="003B5DDE">
        <w:rPr>
          <w:rFonts w:cs="Arial"/>
          <w:lang w:val="en-NZ"/>
        </w:rPr>
        <w:t>develop a</w:t>
      </w:r>
      <w:r w:rsidR="00DB3EF6">
        <w:rPr>
          <w:rFonts w:cs="Arial"/>
          <w:lang w:val="en-NZ"/>
        </w:rPr>
        <w:t>n</w:t>
      </w:r>
      <w:r w:rsidR="003B5DDE">
        <w:rPr>
          <w:rFonts w:cs="Arial"/>
          <w:lang w:val="en-NZ"/>
        </w:rPr>
        <w:t xml:space="preserve"> outcomes framework suitable for the permanent Commission to consider adopting</w:t>
      </w:r>
      <w:r w:rsidR="00F26C1D">
        <w:rPr>
          <w:rFonts w:cs="Arial"/>
          <w:lang w:val="en-NZ"/>
        </w:rPr>
        <w:t xml:space="preserve">. </w:t>
      </w:r>
      <w:r w:rsidR="00F25F79">
        <w:rPr>
          <w:rFonts w:cs="Arial"/>
          <w:lang w:val="en-NZ"/>
        </w:rPr>
        <w:t xml:space="preserve">We </w:t>
      </w:r>
      <w:r w:rsidR="00F26C1D">
        <w:rPr>
          <w:rFonts w:cs="Arial"/>
          <w:lang w:val="en-NZ"/>
        </w:rPr>
        <w:t xml:space="preserve">also </w:t>
      </w:r>
      <w:r w:rsidR="00D77CC8">
        <w:rPr>
          <w:rFonts w:cs="Arial"/>
          <w:lang w:val="en-NZ"/>
        </w:rPr>
        <w:t xml:space="preserve">need </w:t>
      </w:r>
      <w:r w:rsidR="00F26C1D">
        <w:rPr>
          <w:rFonts w:cs="Arial"/>
          <w:lang w:val="en-NZ"/>
        </w:rPr>
        <w:t xml:space="preserve">to </w:t>
      </w:r>
      <w:r w:rsidR="006970F8">
        <w:rPr>
          <w:rFonts w:cs="Arial"/>
          <w:lang w:val="en-NZ"/>
        </w:rPr>
        <w:t xml:space="preserve">identify gaps in information required to monitor performance under the draft framework and make recommendations to the Minister of Health on how </w:t>
      </w:r>
      <w:r>
        <w:rPr>
          <w:rFonts w:cs="Arial"/>
          <w:lang w:val="en-NZ"/>
        </w:rPr>
        <w:t xml:space="preserve">gaps </w:t>
      </w:r>
      <w:r w:rsidR="006970F8">
        <w:rPr>
          <w:rFonts w:cs="Arial"/>
          <w:lang w:val="en-NZ"/>
        </w:rPr>
        <w:t>could be filled.</w:t>
      </w:r>
    </w:p>
    <w:p w14:paraId="2B71C230" w14:textId="21D21EEE" w:rsidR="00A17F7C" w:rsidRDefault="00534049" w:rsidP="00A17F7C">
      <w:pPr>
        <w:rPr>
          <w:lang w:val="en-NZ"/>
        </w:rPr>
      </w:pPr>
      <w:r>
        <w:rPr>
          <w:lang w:val="en-NZ"/>
        </w:rPr>
        <w:t xml:space="preserve">We are working to develop the outcomes framework in </w:t>
      </w:r>
      <w:r w:rsidR="00183345">
        <w:rPr>
          <w:lang w:val="en-NZ"/>
        </w:rPr>
        <w:t xml:space="preserve">four main </w:t>
      </w:r>
      <w:r w:rsidR="008231EC">
        <w:rPr>
          <w:lang w:val="en-NZ"/>
        </w:rPr>
        <w:t>phases</w:t>
      </w:r>
      <w:r w:rsidR="00037074">
        <w:rPr>
          <w:lang w:val="en-NZ"/>
        </w:rPr>
        <w:t>:</w:t>
      </w:r>
    </w:p>
    <w:p w14:paraId="19B72788" w14:textId="559CD445" w:rsidR="00C50043" w:rsidRPr="00C50043" w:rsidRDefault="00037074" w:rsidP="00D07F90">
      <w:pPr>
        <w:pStyle w:val="ListParagraph"/>
        <w:numPr>
          <w:ilvl w:val="0"/>
          <w:numId w:val="8"/>
        </w:numPr>
        <w:rPr>
          <w:lang w:val="en-NZ"/>
        </w:rPr>
      </w:pPr>
      <w:r w:rsidRPr="00C033C0">
        <w:rPr>
          <w:i/>
          <w:lang w:val="en-NZ"/>
        </w:rPr>
        <w:t>Co-define</w:t>
      </w:r>
      <w:r w:rsidR="00441974" w:rsidRPr="00C033C0">
        <w:rPr>
          <w:i/>
          <w:lang w:val="en-NZ"/>
        </w:rPr>
        <w:t>:</w:t>
      </w:r>
      <w:r w:rsidR="00441974" w:rsidRPr="00C50043">
        <w:rPr>
          <w:lang w:val="en-NZ"/>
        </w:rPr>
        <w:t xml:space="preserve"> consider key terms</w:t>
      </w:r>
      <w:r w:rsidR="00FB51EC" w:rsidRPr="00C50043">
        <w:rPr>
          <w:lang w:val="en-NZ"/>
        </w:rPr>
        <w:t xml:space="preserve"> and </w:t>
      </w:r>
      <w:r w:rsidR="00DB3EF6">
        <w:rPr>
          <w:lang w:val="en-NZ"/>
        </w:rPr>
        <w:t>existing models and frameworks in</w:t>
      </w:r>
      <w:r w:rsidR="00FB51EC" w:rsidRPr="00C50043">
        <w:rPr>
          <w:lang w:val="en-NZ"/>
        </w:rPr>
        <w:t xml:space="preserve"> discussion with</w:t>
      </w:r>
      <w:r w:rsidR="002D7FC3">
        <w:rPr>
          <w:lang w:val="en-NZ"/>
        </w:rPr>
        <w:t xml:space="preserve"> selected</w:t>
      </w:r>
      <w:r w:rsidR="00FB51EC" w:rsidRPr="00C50043">
        <w:rPr>
          <w:lang w:val="en-NZ"/>
        </w:rPr>
        <w:t xml:space="preserve"> stakeholders</w:t>
      </w:r>
      <w:r w:rsidR="00DE4AAC">
        <w:rPr>
          <w:lang w:val="en-NZ"/>
        </w:rPr>
        <w:t xml:space="preserve"> (April to May 2020)</w:t>
      </w:r>
      <w:r w:rsidR="00441974" w:rsidRPr="00C50043">
        <w:rPr>
          <w:lang w:val="en-NZ"/>
        </w:rPr>
        <w:t>.</w:t>
      </w:r>
      <w:r w:rsidR="00C50043" w:rsidRPr="00C50043">
        <w:rPr>
          <w:lang w:val="en-NZ"/>
        </w:rPr>
        <w:t xml:space="preserve"> </w:t>
      </w:r>
    </w:p>
    <w:p w14:paraId="20B9F2AB" w14:textId="0782988C" w:rsidR="00C50043" w:rsidRPr="00C50043" w:rsidRDefault="00FB51EC" w:rsidP="00D07F90">
      <w:pPr>
        <w:pStyle w:val="ListParagraph"/>
        <w:numPr>
          <w:ilvl w:val="0"/>
          <w:numId w:val="8"/>
        </w:numPr>
        <w:rPr>
          <w:lang w:val="en-NZ"/>
        </w:rPr>
      </w:pPr>
      <w:r w:rsidRPr="00C033C0">
        <w:rPr>
          <w:i/>
          <w:lang w:val="en-NZ"/>
        </w:rPr>
        <w:t xml:space="preserve">Conceptual </w:t>
      </w:r>
      <w:r w:rsidR="00F70CC6">
        <w:rPr>
          <w:i/>
          <w:lang w:val="en-NZ"/>
        </w:rPr>
        <w:t>phase</w:t>
      </w:r>
      <w:r w:rsidRPr="00C033C0">
        <w:rPr>
          <w:i/>
          <w:lang w:val="en-NZ"/>
        </w:rPr>
        <w:t>:</w:t>
      </w:r>
      <w:r w:rsidRPr="00C50043">
        <w:rPr>
          <w:lang w:val="en-NZ"/>
        </w:rPr>
        <w:t xml:space="preserve"> develop the </w:t>
      </w:r>
      <w:r w:rsidR="00DB3EF6">
        <w:rPr>
          <w:lang w:val="en-NZ"/>
        </w:rPr>
        <w:t xml:space="preserve">conceptual </w:t>
      </w:r>
      <w:r w:rsidRPr="00C50043">
        <w:rPr>
          <w:lang w:val="en-NZ"/>
        </w:rPr>
        <w:t>framework</w:t>
      </w:r>
      <w:r w:rsidR="00DB3EF6">
        <w:rPr>
          <w:lang w:val="en-NZ"/>
        </w:rPr>
        <w:t xml:space="preserve">, drawing on findings from the co-define </w:t>
      </w:r>
      <w:r w:rsidR="008231EC">
        <w:rPr>
          <w:lang w:val="en-NZ"/>
        </w:rPr>
        <w:t>phase</w:t>
      </w:r>
      <w:r w:rsidR="00DB3EF6">
        <w:rPr>
          <w:lang w:val="en-NZ"/>
        </w:rPr>
        <w:t xml:space="preserve"> and other sources. Testing and refining the conceptual framework </w:t>
      </w:r>
      <w:r w:rsidR="00FA2E1A" w:rsidRPr="00C50043">
        <w:rPr>
          <w:lang w:val="en-NZ"/>
        </w:rPr>
        <w:t xml:space="preserve">with </w:t>
      </w:r>
      <w:r w:rsidR="00DB3EF6">
        <w:rPr>
          <w:lang w:val="en-NZ"/>
        </w:rPr>
        <w:t>stakeholders</w:t>
      </w:r>
      <w:r w:rsidR="00C50043" w:rsidRPr="00C50043">
        <w:rPr>
          <w:lang w:val="en-NZ"/>
        </w:rPr>
        <w:t xml:space="preserve"> </w:t>
      </w:r>
      <w:r w:rsidR="00DE4AAC">
        <w:rPr>
          <w:lang w:val="en-NZ"/>
        </w:rPr>
        <w:t>(</w:t>
      </w:r>
      <w:r w:rsidR="003B14A6">
        <w:rPr>
          <w:lang w:val="en-NZ"/>
        </w:rPr>
        <w:t xml:space="preserve">June </w:t>
      </w:r>
      <w:r w:rsidR="003B14A6" w:rsidRPr="00E30284">
        <w:rPr>
          <w:lang w:val="en-NZ"/>
        </w:rPr>
        <w:t xml:space="preserve">to </w:t>
      </w:r>
      <w:r w:rsidR="00F70CC6">
        <w:rPr>
          <w:lang w:val="en-NZ"/>
        </w:rPr>
        <w:t xml:space="preserve">October </w:t>
      </w:r>
      <w:r w:rsidR="001033A8">
        <w:rPr>
          <w:lang w:val="en-NZ"/>
        </w:rPr>
        <w:t>2020</w:t>
      </w:r>
      <w:r w:rsidR="003B14A6">
        <w:rPr>
          <w:lang w:val="en-NZ"/>
        </w:rPr>
        <w:t>)</w:t>
      </w:r>
      <w:r w:rsidR="00DE4AAC">
        <w:rPr>
          <w:lang w:val="en-NZ"/>
        </w:rPr>
        <w:t xml:space="preserve"> </w:t>
      </w:r>
    </w:p>
    <w:p w14:paraId="32806BEF" w14:textId="791B2B77" w:rsidR="00C50043" w:rsidRPr="00C50043" w:rsidRDefault="00DB462C" w:rsidP="00D07F90">
      <w:pPr>
        <w:pStyle w:val="ListParagraph"/>
        <w:numPr>
          <w:ilvl w:val="0"/>
          <w:numId w:val="8"/>
        </w:numPr>
        <w:rPr>
          <w:lang w:val="en-NZ"/>
        </w:rPr>
      </w:pPr>
      <w:r w:rsidRPr="00C033C0">
        <w:rPr>
          <w:i/>
          <w:lang w:val="en-NZ"/>
        </w:rPr>
        <w:t>Data phase:</w:t>
      </w:r>
      <w:r w:rsidR="001B3B7A" w:rsidRPr="00C50043">
        <w:rPr>
          <w:lang w:val="en-NZ"/>
        </w:rPr>
        <w:t xml:space="preserve"> identify</w:t>
      </w:r>
      <w:r w:rsidR="00B63AF9" w:rsidRPr="00C50043">
        <w:rPr>
          <w:lang w:val="en-NZ"/>
        </w:rPr>
        <w:t xml:space="preserve"> indicators, </w:t>
      </w:r>
      <w:r w:rsidR="00EF76D4" w:rsidRPr="00C50043">
        <w:rPr>
          <w:lang w:val="en-NZ"/>
        </w:rPr>
        <w:t xml:space="preserve">measures, </w:t>
      </w:r>
      <w:r w:rsidR="00B63AF9" w:rsidRPr="00C50043">
        <w:rPr>
          <w:lang w:val="en-NZ"/>
        </w:rPr>
        <w:t xml:space="preserve">data </w:t>
      </w:r>
      <w:r w:rsidR="00EF76D4" w:rsidRPr="00C50043">
        <w:rPr>
          <w:lang w:val="en-NZ"/>
        </w:rPr>
        <w:t xml:space="preserve">and information </w:t>
      </w:r>
      <w:r w:rsidR="00B63AF9" w:rsidRPr="00C50043">
        <w:rPr>
          <w:lang w:val="en-NZ"/>
        </w:rPr>
        <w:t>sources</w:t>
      </w:r>
      <w:r w:rsidR="00EF76D4" w:rsidRPr="00C50043">
        <w:rPr>
          <w:lang w:val="en-NZ"/>
        </w:rPr>
        <w:t xml:space="preserve"> and </w:t>
      </w:r>
      <w:r w:rsidR="00B63AF9" w:rsidRPr="00C50043">
        <w:rPr>
          <w:lang w:val="en-NZ"/>
        </w:rPr>
        <w:t>gaps</w:t>
      </w:r>
      <w:r w:rsidR="00A85698">
        <w:rPr>
          <w:lang w:val="en-NZ"/>
        </w:rPr>
        <w:t>, with stakeholders</w:t>
      </w:r>
      <w:r w:rsidR="006920C5" w:rsidRPr="00C50043">
        <w:rPr>
          <w:lang w:val="en-NZ"/>
        </w:rPr>
        <w:t xml:space="preserve"> </w:t>
      </w:r>
      <w:r w:rsidR="003B14A6">
        <w:rPr>
          <w:lang w:val="en-NZ"/>
        </w:rPr>
        <w:t>(</w:t>
      </w:r>
      <w:r w:rsidR="007F11AB">
        <w:rPr>
          <w:lang w:val="en-NZ"/>
        </w:rPr>
        <w:t>September</w:t>
      </w:r>
      <w:r w:rsidR="001033A8">
        <w:rPr>
          <w:lang w:val="en-NZ"/>
        </w:rPr>
        <w:t xml:space="preserve"> to November 2020</w:t>
      </w:r>
      <w:r w:rsidR="003B14A6">
        <w:rPr>
          <w:lang w:val="en-NZ"/>
        </w:rPr>
        <w:t>)</w:t>
      </w:r>
    </w:p>
    <w:p w14:paraId="6DF24707" w14:textId="26483E9E" w:rsidR="00E2008B" w:rsidRDefault="00EF76D4" w:rsidP="00D07F90">
      <w:pPr>
        <w:pStyle w:val="ListParagraph"/>
        <w:numPr>
          <w:ilvl w:val="0"/>
          <w:numId w:val="8"/>
        </w:numPr>
        <w:rPr>
          <w:lang w:val="en-NZ"/>
        </w:rPr>
      </w:pPr>
      <w:r w:rsidRPr="00C033C0">
        <w:rPr>
          <w:i/>
          <w:lang w:val="en-NZ"/>
        </w:rPr>
        <w:t>Refine and finalise</w:t>
      </w:r>
      <w:r w:rsidR="003B14A6" w:rsidRPr="00C033C0">
        <w:rPr>
          <w:i/>
          <w:lang w:val="en-NZ"/>
        </w:rPr>
        <w:t>:</w:t>
      </w:r>
      <w:r w:rsidR="003B14A6">
        <w:rPr>
          <w:lang w:val="en-NZ"/>
        </w:rPr>
        <w:t xml:space="preserve"> </w:t>
      </w:r>
      <w:r w:rsidR="005C5A8F">
        <w:rPr>
          <w:lang w:val="en-NZ"/>
        </w:rPr>
        <w:t>p</w:t>
      </w:r>
      <w:r w:rsidR="003B14A6">
        <w:rPr>
          <w:lang w:val="en-NZ"/>
        </w:rPr>
        <w:t>repare</w:t>
      </w:r>
      <w:r w:rsidRPr="00C50043">
        <w:rPr>
          <w:lang w:val="en-NZ"/>
        </w:rPr>
        <w:t xml:space="preserve"> draft for the consideration of the permanent Ment</w:t>
      </w:r>
      <w:r w:rsidR="006920C5" w:rsidRPr="00C50043">
        <w:rPr>
          <w:lang w:val="en-NZ"/>
        </w:rPr>
        <w:t xml:space="preserve">al Health and Wellbeing Commission </w:t>
      </w:r>
      <w:r w:rsidR="003B14A6">
        <w:rPr>
          <w:lang w:val="en-NZ"/>
        </w:rPr>
        <w:t>(December 2020 to January 2021).</w:t>
      </w:r>
    </w:p>
    <w:p w14:paraId="27368013" w14:textId="74D6DA67" w:rsidR="00B04041" w:rsidRPr="00100178" w:rsidRDefault="003F7185" w:rsidP="00C5765C">
      <w:pPr>
        <w:pStyle w:val="Heading3"/>
      </w:pPr>
      <w:r w:rsidRPr="00100178">
        <w:t>The co-</w:t>
      </w:r>
      <w:r w:rsidRPr="00DB66C3">
        <w:t>define</w:t>
      </w:r>
      <w:r w:rsidRPr="00100178">
        <w:t xml:space="preserve"> phase</w:t>
      </w:r>
    </w:p>
    <w:p w14:paraId="72B0E9B1" w14:textId="5A7B3C97" w:rsidR="00100178" w:rsidRDefault="00100178" w:rsidP="008231EC">
      <w:pPr>
        <w:spacing w:after="120"/>
        <w:rPr>
          <w:lang w:val="en-NZ"/>
        </w:rPr>
      </w:pPr>
      <w:bookmarkStart w:id="27" w:name="_Hlk43455979"/>
      <w:r>
        <w:rPr>
          <w:lang w:val="en-NZ"/>
        </w:rPr>
        <w:t>For the co-define phase in April and May 2020</w:t>
      </w:r>
      <w:r w:rsidR="008231EC">
        <w:rPr>
          <w:lang w:val="en-NZ"/>
        </w:rPr>
        <w:t>,</w:t>
      </w:r>
      <w:r>
        <w:rPr>
          <w:lang w:val="en-NZ"/>
        </w:rPr>
        <w:t xml:space="preserve"> we circulated a consultation document to seek views on: </w:t>
      </w:r>
    </w:p>
    <w:p w14:paraId="5EDD4FDE" w14:textId="59718648" w:rsidR="003F7185" w:rsidRPr="0095404F" w:rsidRDefault="003F7185" w:rsidP="00D07F90">
      <w:pPr>
        <w:pStyle w:val="ListParagraph"/>
        <w:numPr>
          <w:ilvl w:val="0"/>
          <w:numId w:val="2"/>
        </w:numPr>
        <w:spacing w:before="0" w:line="268" w:lineRule="auto"/>
        <w:rPr>
          <w:lang w:val="en-NZ"/>
        </w:rPr>
      </w:pPr>
      <w:r w:rsidRPr="0095404F">
        <w:rPr>
          <w:lang w:val="en-NZ"/>
        </w:rPr>
        <w:t>defining mental health and wellbeing</w:t>
      </w:r>
    </w:p>
    <w:p w14:paraId="6B4DDD2D" w14:textId="23725661" w:rsidR="003F7185" w:rsidRPr="0095404F" w:rsidRDefault="003F7185" w:rsidP="00D07F90">
      <w:pPr>
        <w:pStyle w:val="ListParagraph"/>
        <w:numPr>
          <w:ilvl w:val="0"/>
          <w:numId w:val="2"/>
        </w:numPr>
        <w:spacing w:line="268" w:lineRule="auto"/>
        <w:rPr>
          <w:lang w:val="en-NZ"/>
        </w:rPr>
      </w:pPr>
      <w:r w:rsidRPr="0095404F">
        <w:rPr>
          <w:lang w:val="en-NZ"/>
        </w:rPr>
        <w:t>identifying existing models and frameworks that could inform the work</w:t>
      </w:r>
    </w:p>
    <w:p w14:paraId="252AE5E9" w14:textId="6D6B9FD9" w:rsidR="003F7185" w:rsidRPr="0095404F" w:rsidRDefault="003F7185" w:rsidP="00D07F90">
      <w:pPr>
        <w:pStyle w:val="ListParagraph"/>
        <w:numPr>
          <w:ilvl w:val="0"/>
          <w:numId w:val="2"/>
        </w:numPr>
        <w:spacing w:line="268" w:lineRule="auto"/>
        <w:rPr>
          <w:lang w:val="en-NZ"/>
        </w:rPr>
      </w:pPr>
      <w:r w:rsidRPr="0095404F">
        <w:rPr>
          <w:lang w:val="en-NZ"/>
        </w:rPr>
        <w:t>a vision for an outcomes framework</w:t>
      </w:r>
    </w:p>
    <w:p w14:paraId="79C2D81C" w14:textId="386F7317" w:rsidR="003F7185" w:rsidRPr="0095404F" w:rsidRDefault="003F7185" w:rsidP="00D07F90">
      <w:pPr>
        <w:pStyle w:val="ListParagraph"/>
        <w:numPr>
          <w:ilvl w:val="0"/>
          <w:numId w:val="2"/>
        </w:numPr>
        <w:spacing w:line="268" w:lineRule="auto"/>
        <w:rPr>
          <w:lang w:val="en-NZ"/>
        </w:rPr>
      </w:pPr>
      <w:r w:rsidRPr="0095404F">
        <w:rPr>
          <w:lang w:val="en-NZ"/>
        </w:rPr>
        <w:t>identifying the domains of wellbeing, and</w:t>
      </w:r>
    </w:p>
    <w:p w14:paraId="42E99A6A" w14:textId="45F8A8F7" w:rsidR="003F7185" w:rsidRPr="0095404F" w:rsidRDefault="003F7185" w:rsidP="00D07F90">
      <w:pPr>
        <w:pStyle w:val="ListParagraph"/>
        <w:numPr>
          <w:ilvl w:val="0"/>
          <w:numId w:val="2"/>
        </w:numPr>
        <w:spacing w:line="268" w:lineRule="auto"/>
        <w:rPr>
          <w:lang w:val="en-NZ"/>
        </w:rPr>
      </w:pPr>
      <w:r w:rsidRPr="0095404F">
        <w:rPr>
          <w:lang w:val="en-NZ"/>
        </w:rPr>
        <w:t>identifying what people need to see in an outcomes framework for it to be useful.</w:t>
      </w:r>
    </w:p>
    <w:bookmarkEnd w:id="27"/>
    <w:p w14:paraId="60C76DC7" w14:textId="6EC45A90" w:rsidR="004D09E1" w:rsidRDefault="004D09E1" w:rsidP="004D09E1">
      <w:pPr>
        <w:spacing w:after="120" w:line="268" w:lineRule="auto"/>
        <w:rPr>
          <w:lang w:val="en-NZ"/>
        </w:rPr>
      </w:pPr>
      <w:r>
        <w:rPr>
          <w:rFonts w:cs="Arial"/>
          <w:lang w:val="en-NZ"/>
        </w:rPr>
        <w:t>What we heard</w:t>
      </w:r>
      <w:r w:rsidR="00223C9F">
        <w:rPr>
          <w:rFonts w:cs="Arial"/>
          <w:lang w:val="en-NZ"/>
        </w:rPr>
        <w:t>,</w:t>
      </w:r>
      <w:r w:rsidR="004A6BC1">
        <w:rPr>
          <w:rStyle w:val="FootnoteReference"/>
          <w:rFonts w:cs="Arial"/>
          <w:lang w:val="en-NZ"/>
        </w:rPr>
        <w:footnoteReference w:id="4"/>
      </w:r>
      <w:r>
        <w:rPr>
          <w:rFonts w:cs="Arial"/>
          <w:lang w:val="en-NZ"/>
        </w:rPr>
        <w:t xml:space="preserve"> along </w:t>
      </w:r>
      <w:r w:rsidR="008836A6">
        <w:rPr>
          <w:rFonts w:cs="Arial"/>
          <w:lang w:val="en-NZ"/>
        </w:rPr>
        <w:t>with</w:t>
      </w:r>
      <w:r w:rsidR="00100178" w:rsidRPr="00136A49">
        <w:rPr>
          <w:rFonts w:cs="Arial"/>
          <w:lang w:val="en-NZ"/>
        </w:rPr>
        <w:t xml:space="preserve"> literature scanning and expert advice</w:t>
      </w:r>
      <w:r w:rsidR="004F7631">
        <w:rPr>
          <w:rFonts w:cs="Arial"/>
          <w:lang w:val="en-NZ"/>
        </w:rPr>
        <w:t xml:space="preserve"> </w:t>
      </w:r>
      <w:r w:rsidR="00100178" w:rsidRPr="0095404F">
        <w:rPr>
          <w:rFonts w:cs="Arial"/>
          <w:lang w:val="en-NZ"/>
        </w:rPr>
        <w:t>inform</w:t>
      </w:r>
      <w:r w:rsidR="00050805">
        <w:rPr>
          <w:rFonts w:cs="Arial"/>
          <w:lang w:val="en-NZ"/>
        </w:rPr>
        <w:t>ed</w:t>
      </w:r>
      <w:r w:rsidR="00100178" w:rsidRPr="0095404F">
        <w:rPr>
          <w:rFonts w:cs="Arial"/>
          <w:lang w:val="en-NZ"/>
        </w:rPr>
        <w:t xml:space="preserve"> the </w:t>
      </w:r>
      <w:r w:rsidR="00161AB5">
        <w:rPr>
          <w:rFonts w:cs="Arial"/>
          <w:lang w:val="en-NZ"/>
        </w:rPr>
        <w:t xml:space="preserve">conceptual </w:t>
      </w:r>
      <w:r w:rsidR="00100178" w:rsidRPr="0095404F">
        <w:rPr>
          <w:rFonts w:cs="Arial"/>
          <w:lang w:val="en-NZ"/>
        </w:rPr>
        <w:t xml:space="preserve">components of </w:t>
      </w:r>
      <w:r w:rsidR="00F70CC6">
        <w:rPr>
          <w:rFonts w:cs="Arial"/>
          <w:lang w:val="en-NZ"/>
        </w:rPr>
        <w:t xml:space="preserve">the He Ara Oranga </w:t>
      </w:r>
      <w:r w:rsidR="00100178" w:rsidRPr="0095404F">
        <w:rPr>
          <w:rFonts w:cs="Arial"/>
          <w:lang w:val="en-NZ"/>
        </w:rPr>
        <w:t>wellbeing outcomes framework</w:t>
      </w:r>
      <w:r w:rsidR="003510DE">
        <w:rPr>
          <w:rFonts w:cs="Arial"/>
          <w:lang w:val="en-NZ"/>
        </w:rPr>
        <w:t>.</w:t>
      </w:r>
    </w:p>
    <w:p w14:paraId="4DC421AB" w14:textId="77777777" w:rsidR="007E043C" w:rsidRDefault="007E043C">
      <w:pPr>
        <w:spacing w:before="0" w:after="160" w:line="259" w:lineRule="auto"/>
        <w:rPr>
          <w:rFonts w:eastAsiaTheme="majorEastAsia" w:cs="Arial"/>
          <w:b/>
          <w:sz w:val="28"/>
          <w:szCs w:val="26"/>
          <w:lang w:val="en-NZ"/>
        </w:rPr>
      </w:pPr>
      <w:r>
        <w:rPr>
          <w:lang w:val="en-NZ"/>
        </w:rPr>
        <w:br w:type="page"/>
      </w:r>
    </w:p>
    <w:p w14:paraId="63BAC766" w14:textId="3047CE5A" w:rsidR="007368BC" w:rsidRPr="003542B9" w:rsidRDefault="00DB66C3" w:rsidP="003542B9">
      <w:pPr>
        <w:pStyle w:val="Heading2"/>
        <w:rPr>
          <w:lang w:val="en-NZ"/>
        </w:rPr>
      </w:pPr>
      <w:bookmarkStart w:id="28" w:name="_Toc56063531"/>
      <w:r>
        <w:rPr>
          <w:lang w:val="en-NZ"/>
        </w:rPr>
        <w:lastRenderedPageBreak/>
        <w:t>The consultation approach</w:t>
      </w:r>
      <w:r w:rsidR="003542B9">
        <w:rPr>
          <w:lang w:val="en-NZ"/>
        </w:rPr>
        <w:t xml:space="preserve"> for the </w:t>
      </w:r>
      <w:r w:rsidR="003542B9">
        <w:t>c</w:t>
      </w:r>
      <w:r w:rsidR="007368BC">
        <w:t>onceptual phase</w:t>
      </w:r>
      <w:bookmarkEnd w:id="28"/>
    </w:p>
    <w:p w14:paraId="4A584295" w14:textId="77777777" w:rsidR="00C5765C" w:rsidRDefault="005C2959" w:rsidP="00D0712E">
      <w:r>
        <w:rPr>
          <w:lang w:val="en-NZ"/>
        </w:rPr>
        <w:t xml:space="preserve">A targeted consultation </w:t>
      </w:r>
      <w:r w:rsidR="00A06660">
        <w:rPr>
          <w:lang w:val="en-NZ"/>
        </w:rPr>
        <w:t xml:space="preserve">for the </w:t>
      </w:r>
      <w:r w:rsidR="00CB77DB">
        <w:rPr>
          <w:lang w:val="en-NZ"/>
        </w:rPr>
        <w:t xml:space="preserve">conceptual phase </w:t>
      </w:r>
      <w:r>
        <w:rPr>
          <w:lang w:val="en-NZ"/>
        </w:rPr>
        <w:t>began</w:t>
      </w:r>
      <w:r w:rsidR="00A741B4" w:rsidRPr="00A741B4">
        <w:rPr>
          <w:lang w:val="en-NZ"/>
        </w:rPr>
        <w:t xml:space="preserve"> on Monday 17 August</w:t>
      </w:r>
      <w:r>
        <w:rPr>
          <w:lang w:val="en-NZ"/>
        </w:rPr>
        <w:t xml:space="preserve"> and was open until Friday 11 September 2020</w:t>
      </w:r>
      <w:r w:rsidR="00E30284">
        <w:rPr>
          <w:lang w:val="en-NZ"/>
        </w:rPr>
        <w:t xml:space="preserve"> (with a further week for late responses, until 18 September 2020)</w:t>
      </w:r>
      <w:r>
        <w:rPr>
          <w:lang w:val="en-NZ"/>
        </w:rPr>
        <w:t>.</w:t>
      </w:r>
      <w:r w:rsidR="00F70CC6">
        <w:rPr>
          <w:rStyle w:val="FootnoteReference"/>
          <w:lang w:val="en-NZ"/>
        </w:rPr>
        <w:footnoteReference w:id="5"/>
      </w:r>
      <w:r w:rsidR="00D0712E" w:rsidRPr="00D0712E">
        <w:t xml:space="preserve"> </w:t>
      </w:r>
    </w:p>
    <w:p w14:paraId="79BB7B2D" w14:textId="10FC5349" w:rsidR="00D0712E" w:rsidRDefault="003510DE" w:rsidP="00D0712E">
      <w:r>
        <w:t>We engaged through</w:t>
      </w:r>
      <w:r w:rsidR="00F70CC6">
        <w:t xml:space="preserve"> a consultation document, </w:t>
      </w:r>
      <w:r>
        <w:t xml:space="preserve">an online </w:t>
      </w:r>
      <w:r w:rsidR="00F70CC6">
        <w:t>survey, dedicated seminars, focus groups</w:t>
      </w:r>
      <w:r w:rsidR="00083BD8">
        <w:t>,</w:t>
      </w:r>
      <w:r w:rsidR="00F70CC6">
        <w:t xml:space="preserve"> talanoa</w:t>
      </w:r>
      <w:r w:rsidR="00083BD8">
        <w:t>, written letters and Zoom discussions</w:t>
      </w:r>
      <w:r w:rsidR="00F70CC6">
        <w:t xml:space="preserve">. </w:t>
      </w:r>
    </w:p>
    <w:p w14:paraId="476C2FD4" w14:textId="1C73A39F" w:rsidR="0033651B" w:rsidRDefault="0033651B" w:rsidP="0033651B">
      <w:pPr>
        <w:pStyle w:val="Heading3"/>
      </w:pPr>
      <w:r>
        <w:t>The c</w:t>
      </w:r>
      <w:r w:rsidR="00A741B4" w:rsidRPr="00A741B4">
        <w:t>onsultation document</w:t>
      </w:r>
    </w:p>
    <w:p w14:paraId="217934FD" w14:textId="7EFBBC14" w:rsidR="00D0712E" w:rsidRDefault="00D0712E" w:rsidP="00D0712E">
      <w:r w:rsidRPr="009935D8">
        <w:rPr>
          <w:lang w:val="en-NZ"/>
        </w:rPr>
        <w:t>The c</w:t>
      </w:r>
      <w:r w:rsidR="00A741B4" w:rsidRPr="009935D8">
        <w:rPr>
          <w:lang w:val="en-NZ"/>
        </w:rPr>
        <w:t xml:space="preserve">onsultation document </w:t>
      </w:r>
      <w:r w:rsidRPr="009935D8">
        <w:rPr>
          <w:lang w:val="en-NZ"/>
        </w:rPr>
        <w:t xml:space="preserve">was </w:t>
      </w:r>
      <w:r w:rsidR="00A741B4" w:rsidRPr="009935D8">
        <w:rPr>
          <w:lang w:val="en-NZ"/>
        </w:rPr>
        <w:t>sent to our stakeholder list, with representation from all groups in Schedule 1a</w:t>
      </w:r>
      <w:r w:rsidR="0033651B" w:rsidRPr="009935D8">
        <w:rPr>
          <w:lang w:val="en-NZ"/>
        </w:rPr>
        <w:t xml:space="preserve"> of </w:t>
      </w:r>
      <w:r w:rsidR="0033651B" w:rsidRPr="009935D8">
        <w:t xml:space="preserve">the </w:t>
      </w:r>
      <w:r w:rsidR="009935D8" w:rsidRPr="009935D8">
        <w:t>Mental Health and Wellbeing Commission Act 2020</w:t>
      </w:r>
      <w:r w:rsidR="009935D8">
        <w:t xml:space="preserve">. </w:t>
      </w:r>
      <w:r>
        <w:rPr>
          <w:lang w:val="en-NZ"/>
        </w:rPr>
        <w:t>This involved</w:t>
      </w:r>
      <w:r w:rsidRPr="00A07241">
        <w:t xml:space="preserve"> over 1</w:t>
      </w:r>
      <w:r>
        <w:t>5</w:t>
      </w:r>
      <w:r w:rsidRPr="00A07241">
        <w:t>0 groups and organisations, in addition to named individuals.</w:t>
      </w:r>
      <w:r w:rsidR="0033651B">
        <w:t xml:space="preserve"> </w:t>
      </w:r>
      <w:r>
        <w:t>The distribution list was developed by combining people, groups and organisations who:</w:t>
      </w:r>
    </w:p>
    <w:p w14:paraId="41F283DC" w14:textId="78E36B21" w:rsidR="00D0712E" w:rsidRDefault="00E15818" w:rsidP="00D0712E">
      <w:pPr>
        <w:pStyle w:val="ListParagraph"/>
        <w:numPr>
          <w:ilvl w:val="0"/>
          <w:numId w:val="11"/>
        </w:numPr>
      </w:pPr>
      <w:r>
        <w:t>p</w:t>
      </w:r>
      <w:r w:rsidR="00D0712E">
        <w:t>rovided a response to the ‘co-define’ phase of the outcomes framework;</w:t>
      </w:r>
    </w:p>
    <w:p w14:paraId="0FB9605F" w14:textId="3D4D166B" w:rsidR="00D0712E" w:rsidRDefault="00E15818" w:rsidP="00D0712E">
      <w:pPr>
        <w:pStyle w:val="ListParagraph"/>
        <w:numPr>
          <w:ilvl w:val="0"/>
          <w:numId w:val="11"/>
        </w:numPr>
      </w:pPr>
      <w:r>
        <w:t>s</w:t>
      </w:r>
      <w:r w:rsidR="00D0712E">
        <w:t>ubmitted to the Mental Health and Wellbeing Commission Bill;</w:t>
      </w:r>
    </w:p>
    <w:p w14:paraId="55B2E0FF" w14:textId="3036377A" w:rsidR="00D0712E" w:rsidRDefault="00E15818" w:rsidP="00D0712E">
      <w:pPr>
        <w:pStyle w:val="ListParagraph"/>
        <w:numPr>
          <w:ilvl w:val="0"/>
          <w:numId w:val="11"/>
        </w:numPr>
      </w:pPr>
      <w:r>
        <w:t>w</w:t>
      </w:r>
      <w:r w:rsidR="00FC2FDC">
        <w:t>ere i</w:t>
      </w:r>
      <w:r w:rsidR="00D0712E">
        <w:t xml:space="preserve">nterviewed by </w:t>
      </w:r>
      <w:r w:rsidR="00FC2FDC">
        <w:t xml:space="preserve">the </w:t>
      </w:r>
      <w:r w:rsidR="00D0712E">
        <w:t>Initial Commission as part of the Interim Report;</w:t>
      </w:r>
    </w:p>
    <w:p w14:paraId="4A6E713A" w14:textId="7A9E0D79" w:rsidR="00D0712E" w:rsidRDefault="00E15818" w:rsidP="00D0712E">
      <w:pPr>
        <w:pStyle w:val="ListParagraph"/>
        <w:numPr>
          <w:ilvl w:val="0"/>
          <w:numId w:val="11"/>
        </w:numPr>
      </w:pPr>
      <w:r>
        <w:t>engaged with</w:t>
      </w:r>
      <w:r w:rsidR="00D0712E">
        <w:t xml:space="preserve"> the Initial Commission </w:t>
      </w:r>
      <w:r>
        <w:t>in other ways</w:t>
      </w:r>
      <w:r w:rsidR="00D0712E">
        <w:t>;</w:t>
      </w:r>
    </w:p>
    <w:p w14:paraId="09FA88B4" w14:textId="3DD49D92" w:rsidR="00D0712E" w:rsidRPr="00E910DE" w:rsidRDefault="00E15818" w:rsidP="00D0712E">
      <w:pPr>
        <w:pStyle w:val="ListParagraph"/>
        <w:numPr>
          <w:ilvl w:val="0"/>
          <w:numId w:val="11"/>
        </w:numPr>
        <w:rPr>
          <w:i/>
        </w:rPr>
      </w:pPr>
      <w:r>
        <w:t>were s</w:t>
      </w:r>
      <w:r w:rsidR="00D0712E">
        <w:t xml:space="preserve">uggested additions by the Expert Advisory Group and Board; </w:t>
      </w:r>
      <w:r w:rsidR="00D0712E" w:rsidRPr="00E910DE">
        <w:rPr>
          <w:i/>
        </w:rPr>
        <w:t>and/or</w:t>
      </w:r>
    </w:p>
    <w:p w14:paraId="05EB3708" w14:textId="2E0A5853" w:rsidR="00A741B4" w:rsidRPr="00D0712E" w:rsidRDefault="00E15818" w:rsidP="00D0712E">
      <w:pPr>
        <w:pStyle w:val="ListParagraph"/>
        <w:numPr>
          <w:ilvl w:val="0"/>
          <w:numId w:val="11"/>
        </w:numPr>
      </w:pPr>
      <w:r>
        <w:t>were o</w:t>
      </w:r>
      <w:r w:rsidR="00D0712E">
        <w:t xml:space="preserve">ther stakeholders the Secretariat identified </w:t>
      </w:r>
      <w:r>
        <w:t>aiming for</w:t>
      </w:r>
      <w:r w:rsidR="00D0712E">
        <w:t xml:space="preserve"> representation from all groups in Schedule 1a (</w:t>
      </w:r>
      <w:r w:rsidR="005C5A8F">
        <w:t xml:space="preserve">eg, </w:t>
      </w:r>
      <w:r w:rsidR="00D0712E">
        <w:t>veterans).</w:t>
      </w:r>
    </w:p>
    <w:p w14:paraId="6CFE5556" w14:textId="53ADD938" w:rsidR="00EF18F9" w:rsidRPr="00EF18F9" w:rsidRDefault="00EF18F9" w:rsidP="00EF18F9">
      <w:pPr>
        <w:rPr>
          <w:lang w:val="en-NZ"/>
        </w:rPr>
      </w:pPr>
      <w:r w:rsidRPr="00EF18F9">
        <w:rPr>
          <w:lang w:val="en-NZ"/>
        </w:rPr>
        <w:t>The consultation was also advertised in the Initial Commission’s other communications</w:t>
      </w:r>
      <w:r w:rsidR="00A741B4" w:rsidRPr="00EF18F9">
        <w:rPr>
          <w:rFonts w:eastAsia="Segoe UI Historic"/>
          <w:lang w:val="en-NZ"/>
        </w:rPr>
        <w:t xml:space="preserve"> material (</w:t>
      </w:r>
      <w:r w:rsidR="00281CF7">
        <w:rPr>
          <w:rFonts w:eastAsia="Segoe UI Historic"/>
          <w:lang w:val="en-NZ"/>
        </w:rPr>
        <w:t>including</w:t>
      </w:r>
      <w:r w:rsidR="00A741B4" w:rsidRPr="00EF18F9">
        <w:rPr>
          <w:rFonts w:eastAsia="Segoe UI Historic"/>
          <w:lang w:val="en-NZ"/>
        </w:rPr>
        <w:t xml:space="preserve"> our website, </w:t>
      </w:r>
      <w:r w:rsidR="00281CF7">
        <w:rPr>
          <w:rFonts w:eastAsia="Segoe UI Historic"/>
          <w:lang w:val="en-NZ"/>
        </w:rPr>
        <w:t xml:space="preserve">and </w:t>
      </w:r>
      <w:r w:rsidRPr="00EF18F9">
        <w:rPr>
          <w:lang w:val="en-NZ"/>
        </w:rPr>
        <w:t>in the Ministry of Health’s Mental Health and Addiction</w:t>
      </w:r>
      <w:r w:rsidR="00A741B4" w:rsidRPr="00EF18F9">
        <w:rPr>
          <w:rFonts w:eastAsia="Segoe UI Historic"/>
          <w:lang w:val="en-NZ"/>
        </w:rPr>
        <w:t xml:space="preserve"> Directorate newsletters)</w:t>
      </w:r>
    </w:p>
    <w:p w14:paraId="28DA3D8E" w14:textId="549B2D97" w:rsidR="0087550F" w:rsidRDefault="0087550F" w:rsidP="0087550F">
      <w:pPr>
        <w:pStyle w:val="Heading3"/>
      </w:pPr>
      <w:r>
        <w:t>Government agencies and service providers</w:t>
      </w:r>
    </w:p>
    <w:p w14:paraId="388A836C" w14:textId="10A2EFB3" w:rsidR="00D0712E" w:rsidRPr="00D0712E" w:rsidRDefault="00D0712E" w:rsidP="00D0712E">
      <w:r>
        <w:t xml:space="preserve">We engaged differently for </w:t>
      </w:r>
      <w:r w:rsidR="0087550F">
        <w:t>g</w:t>
      </w:r>
      <w:r>
        <w:t xml:space="preserve">overnment agencies and some service providers. </w:t>
      </w:r>
      <w:r>
        <w:rPr>
          <w:rFonts w:cs="Arial"/>
          <w:color w:val="000000"/>
          <w:lang w:val="en-NZ"/>
        </w:rPr>
        <w:t xml:space="preserve">Approximately </w:t>
      </w:r>
      <w:r w:rsidR="00F70CC6">
        <w:rPr>
          <w:rFonts w:cs="Arial"/>
          <w:color w:val="000000"/>
          <w:lang w:val="en-NZ"/>
        </w:rPr>
        <w:t xml:space="preserve">45 staff from </w:t>
      </w:r>
      <w:r w:rsidR="0087550F">
        <w:t>g</w:t>
      </w:r>
      <w:r>
        <w:t xml:space="preserve">overnment agencies </w:t>
      </w:r>
      <w:r w:rsidR="00F70CC6">
        <w:t xml:space="preserve">attended </w:t>
      </w:r>
      <w:r>
        <w:t>a seminar on 26 August</w:t>
      </w:r>
      <w:r w:rsidR="00281CF7">
        <w:t xml:space="preserve"> 2020</w:t>
      </w:r>
      <w:r>
        <w:t xml:space="preserve"> (on Zoom due to </w:t>
      </w:r>
      <w:r w:rsidR="005A76EB">
        <w:t xml:space="preserve">COVID-19 </w:t>
      </w:r>
      <w:r>
        <w:t>alert levels). At the seminar we</w:t>
      </w:r>
      <w:r>
        <w:rPr>
          <w:rFonts w:cs="Arial"/>
          <w:color w:val="000000"/>
          <w:lang w:val="en-NZ"/>
        </w:rPr>
        <w:t xml:space="preserve"> shared the purpose of th</w:t>
      </w:r>
      <w:r w:rsidR="005A76EB">
        <w:rPr>
          <w:rFonts w:cs="Arial"/>
          <w:color w:val="000000"/>
          <w:lang w:val="en-NZ"/>
        </w:rPr>
        <w:t>e</w:t>
      </w:r>
      <w:r>
        <w:rPr>
          <w:rFonts w:cs="Arial"/>
          <w:color w:val="000000"/>
          <w:lang w:val="en-NZ"/>
        </w:rPr>
        <w:t xml:space="preserve"> framework</w:t>
      </w:r>
      <w:r w:rsidR="005A76EB">
        <w:rPr>
          <w:rFonts w:cs="Arial"/>
          <w:color w:val="000000"/>
          <w:lang w:val="en-NZ"/>
        </w:rPr>
        <w:t xml:space="preserve"> and </w:t>
      </w:r>
      <w:r>
        <w:rPr>
          <w:rFonts w:cs="Arial"/>
          <w:color w:val="000000"/>
          <w:lang w:val="en-NZ"/>
        </w:rPr>
        <w:t xml:space="preserve">how it is being </w:t>
      </w:r>
      <w:proofErr w:type="gramStart"/>
      <w:r>
        <w:rPr>
          <w:rFonts w:cs="Arial"/>
          <w:color w:val="000000"/>
          <w:lang w:val="en-NZ"/>
        </w:rPr>
        <w:t>developed</w:t>
      </w:r>
      <w:r w:rsidR="005A76EB">
        <w:rPr>
          <w:rFonts w:cs="Arial"/>
          <w:color w:val="000000"/>
          <w:lang w:val="en-NZ"/>
        </w:rPr>
        <w:t>, and</w:t>
      </w:r>
      <w:proofErr w:type="gramEnd"/>
      <w:r>
        <w:rPr>
          <w:rFonts w:cs="Arial"/>
          <w:color w:val="000000"/>
          <w:lang w:val="en-NZ"/>
        </w:rPr>
        <w:t xml:space="preserve"> </w:t>
      </w:r>
      <w:r w:rsidR="005A76EB">
        <w:rPr>
          <w:rFonts w:cs="Arial"/>
          <w:color w:val="000000"/>
          <w:lang w:val="en-NZ"/>
        </w:rPr>
        <w:t>asked for</w:t>
      </w:r>
      <w:r>
        <w:rPr>
          <w:rFonts w:cs="Arial"/>
          <w:color w:val="000000"/>
          <w:lang w:val="en-NZ"/>
        </w:rPr>
        <w:t xml:space="preserve"> feedback </w:t>
      </w:r>
      <w:r w:rsidR="005A76EB">
        <w:rPr>
          <w:rFonts w:cs="Arial"/>
          <w:color w:val="000000"/>
          <w:lang w:val="en-NZ"/>
        </w:rPr>
        <w:t>on</w:t>
      </w:r>
      <w:r>
        <w:rPr>
          <w:rFonts w:cs="Arial"/>
          <w:color w:val="000000"/>
          <w:lang w:val="en-NZ"/>
        </w:rPr>
        <w:t xml:space="preserve"> the draft conceptual design. </w:t>
      </w:r>
    </w:p>
    <w:p w14:paraId="7FDDAD50" w14:textId="77777777" w:rsidR="00D0712E" w:rsidRDefault="00D0712E" w:rsidP="00D0712E">
      <w:r>
        <w:t>Some service providers were included in the consultation document distribution list (as described above) if the Initial Commission interviewed them for the Interim Report, or if they provided a response to the outcomes framework co-define phase.</w:t>
      </w:r>
    </w:p>
    <w:p w14:paraId="01EF829D" w14:textId="66A52049" w:rsidR="00D0712E" w:rsidRDefault="00D0712E" w:rsidP="00D0712E">
      <w:r>
        <w:t xml:space="preserve">For other services providers who were not on our distribution list, we contacted a subset of providers through established networks, specifically through the DHB </w:t>
      </w:r>
      <w:r w:rsidR="005A76EB">
        <w:t>Mental Health and Addiction General Manager Group</w:t>
      </w:r>
      <w:r>
        <w:t>. We included a request to DHB colleagues to pass the consultation information onto other service providers they work with. While this approach</w:t>
      </w:r>
      <w:r w:rsidR="000E5A16">
        <w:t xml:space="preserve"> </w:t>
      </w:r>
      <w:r>
        <w:t>would not reach all service providers, the significant size of the sector precluded us from engaging more widely with service providers in the available timeframe.</w:t>
      </w:r>
    </w:p>
    <w:p w14:paraId="67D47F69" w14:textId="28129C6E" w:rsidR="00B03FA2" w:rsidRDefault="00B03FA2" w:rsidP="00D0712E">
      <w:r>
        <w:t xml:space="preserve">We </w:t>
      </w:r>
      <w:r w:rsidR="00D21F88">
        <w:t>appreciate</w:t>
      </w:r>
      <w:r>
        <w:t xml:space="preserve"> that </w:t>
      </w:r>
      <w:r w:rsidR="00D21F88">
        <w:t>this may have resulted in a limited perspective in some areas. The permanent Commission will continue to engage with stakeholders on the outcomes framework.</w:t>
      </w:r>
    </w:p>
    <w:p w14:paraId="2C6151F7" w14:textId="5CF601AE" w:rsidR="0087550F" w:rsidRDefault="00BD2BDC" w:rsidP="0087550F">
      <w:pPr>
        <w:pStyle w:val="Heading3"/>
      </w:pPr>
      <w:r>
        <w:t>F</w:t>
      </w:r>
      <w:r w:rsidR="0087550F">
        <w:t>ocus groups</w:t>
      </w:r>
      <w:r w:rsidR="00C13271">
        <w:t xml:space="preserve"> </w:t>
      </w:r>
    </w:p>
    <w:p w14:paraId="602FC25D" w14:textId="77777777" w:rsidR="00B0667F" w:rsidRDefault="00CA3A19" w:rsidP="007E043C">
      <w:pPr>
        <w:rPr>
          <w:lang w:val="en-NZ"/>
        </w:rPr>
      </w:pPr>
      <w:r>
        <w:rPr>
          <w:lang w:val="en-NZ"/>
        </w:rPr>
        <w:t xml:space="preserve">We planned several focus groups with Māori, Pacific peoples, and people with lived experience. In these groups we wanted to hear from </w:t>
      </w:r>
      <w:r w:rsidR="00BD2BDC">
        <w:rPr>
          <w:lang w:val="en-NZ"/>
        </w:rPr>
        <w:t xml:space="preserve">people </w:t>
      </w:r>
      <w:r w:rsidR="00BD2BDC" w:rsidRPr="00BD2BDC">
        <w:rPr>
          <w:lang w:val="en-NZ"/>
        </w:rPr>
        <w:t>with a range of views, including lived experience of mental distress</w:t>
      </w:r>
      <w:r w:rsidR="00C5765C">
        <w:rPr>
          <w:lang w:val="en-NZ"/>
        </w:rPr>
        <w:t>,</w:t>
      </w:r>
      <w:r w:rsidR="00BD2BDC" w:rsidRPr="00BD2BDC">
        <w:rPr>
          <w:lang w:val="en-NZ"/>
        </w:rPr>
        <w:t xml:space="preserve"> illness</w:t>
      </w:r>
      <w:r w:rsidR="00C5765C">
        <w:rPr>
          <w:lang w:val="en-NZ"/>
        </w:rPr>
        <w:t xml:space="preserve"> and/or addiction,</w:t>
      </w:r>
      <w:r w:rsidR="00BD2BDC" w:rsidRPr="00BD2BDC">
        <w:rPr>
          <w:lang w:val="en-NZ"/>
        </w:rPr>
        <w:t xml:space="preserve"> advisory experience</w:t>
      </w:r>
      <w:r w:rsidR="00C5765C">
        <w:rPr>
          <w:lang w:val="en-NZ"/>
        </w:rPr>
        <w:t>,</w:t>
      </w:r>
      <w:r w:rsidR="00BD2BDC" w:rsidRPr="00BD2BDC">
        <w:rPr>
          <w:lang w:val="en-NZ"/>
        </w:rPr>
        <w:t xml:space="preserve"> experience </w:t>
      </w:r>
      <w:r w:rsidR="00BD2BDC" w:rsidRPr="00BD2BDC">
        <w:rPr>
          <w:lang w:val="en-NZ"/>
        </w:rPr>
        <w:lastRenderedPageBreak/>
        <w:t xml:space="preserve">with peer support, </w:t>
      </w:r>
      <w:r w:rsidR="00C5765C">
        <w:rPr>
          <w:lang w:val="en-NZ"/>
        </w:rPr>
        <w:t>or expertise in mental health, addiction and/or wellbeing.</w:t>
      </w:r>
      <w:r w:rsidR="00E30284">
        <w:rPr>
          <w:lang w:val="en-NZ"/>
        </w:rPr>
        <w:t xml:space="preserve"> </w:t>
      </w:r>
      <w:r w:rsidR="00F70CC6">
        <w:rPr>
          <w:lang w:val="en-NZ"/>
        </w:rPr>
        <w:t xml:space="preserve">We held a Māori focus group, lived experience focus group, and held </w:t>
      </w:r>
      <w:r w:rsidR="00D97845">
        <w:rPr>
          <w:lang w:val="en-NZ"/>
        </w:rPr>
        <w:t>Pacific</w:t>
      </w:r>
      <w:r w:rsidR="00F70CC6">
        <w:rPr>
          <w:lang w:val="en-NZ"/>
        </w:rPr>
        <w:t xml:space="preserve"> talanoa</w:t>
      </w:r>
      <w:r w:rsidR="0003237C">
        <w:rPr>
          <w:lang w:val="en-NZ"/>
        </w:rPr>
        <w:t xml:space="preserve"> sessions online</w:t>
      </w:r>
      <w:r w:rsidR="00F70CC6">
        <w:rPr>
          <w:lang w:val="en-NZ"/>
        </w:rPr>
        <w:t>.</w:t>
      </w:r>
    </w:p>
    <w:p w14:paraId="761F6797" w14:textId="711DF147" w:rsidR="00DE7F8F" w:rsidRDefault="00DE7F8F" w:rsidP="00E50922">
      <w:pPr>
        <w:pStyle w:val="Heading2"/>
        <w:spacing w:after="240"/>
        <w:rPr>
          <w:lang w:val="en-NZ"/>
        </w:rPr>
      </w:pPr>
      <w:bookmarkStart w:id="29" w:name="_Toc56063532"/>
      <w:r w:rsidRPr="0095404F">
        <w:rPr>
          <w:lang w:val="en-NZ"/>
        </w:rPr>
        <w:t>Who we heard from</w:t>
      </w:r>
      <w:r w:rsidR="0051404C" w:rsidRPr="0095404F">
        <w:rPr>
          <w:lang w:val="en-NZ"/>
        </w:rPr>
        <w:t xml:space="preserve"> as part of </w:t>
      </w:r>
      <w:r w:rsidR="002212F8" w:rsidRPr="00136A49">
        <w:rPr>
          <w:lang w:val="en-NZ"/>
        </w:rPr>
        <w:t xml:space="preserve">the </w:t>
      </w:r>
      <w:r w:rsidR="00004359">
        <w:rPr>
          <w:lang w:val="en-NZ"/>
        </w:rPr>
        <w:t xml:space="preserve">conceptual </w:t>
      </w:r>
      <w:r w:rsidR="0051404C" w:rsidRPr="00827A67">
        <w:rPr>
          <w:lang w:val="en-NZ"/>
        </w:rPr>
        <w:t>phase</w:t>
      </w:r>
      <w:bookmarkEnd w:id="29"/>
    </w:p>
    <w:p w14:paraId="05527D66" w14:textId="1550E67F" w:rsidR="009D0C55" w:rsidRPr="009D0C55" w:rsidRDefault="009D0C55" w:rsidP="005F0E24">
      <w:pPr>
        <w:pStyle w:val="Heading3"/>
      </w:pPr>
      <w:r>
        <w:t>Survey / consultation document</w:t>
      </w:r>
    </w:p>
    <w:p w14:paraId="0F9FF1EC" w14:textId="5099443E" w:rsidR="00561F44" w:rsidRDefault="00F70CC6" w:rsidP="00561F44">
      <w:pPr>
        <w:spacing w:before="0"/>
        <w:rPr>
          <w:rFonts w:cs="Arial"/>
          <w:lang w:val="en-NZ"/>
        </w:rPr>
      </w:pPr>
      <w:r>
        <w:rPr>
          <w:rFonts w:cs="Arial"/>
          <w:lang w:val="en-NZ"/>
        </w:rPr>
        <w:t>In total we received 86 survey / consultation document responses for analysis.</w:t>
      </w:r>
      <w:r>
        <w:rPr>
          <w:rStyle w:val="FootnoteReference"/>
          <w:rFonts w:cs="Arial"/>
          <w:lang w:val="en-NZ"/>
        </w:rPr>
        <w:footnoteReference w:id="6"/>
      </w:r>
      <w:r>
        <w:rPr>
          <w:rFonts w:cs="Arial"/>
          <w:lang w:val="en-NZ"/>
        </w:rPr>
        <w:t xml:space="preserve"> </w:t>
      </w:r>
      <w:r w:rsidR="001A4023">
        <w:t>This is in addition to responses received by letter, Zoom, focus group, seminars or other engagement.</w:t>
      </w:r>
    </w:p>
    <w:p w14:paraId="2DD614E7" w14:textId="05298548" w:rsidR="00DE7F8F" w:rsidRPr="00624E26" w:rsidRDefault="00DE7F8F" w:rsidP="00DE7F8F">
      <w:pPr>
        <w:spacing w:after="120" w:line="268" w:lineRule="auto"/>
        <w:rPr>
          <w:lang w:val="en-NZ"/>
        </w:rPr>
      </w:pPr>
      <w:r w:rsidRPr="00624E26">
        <w:rPr>
          <w:lang w:val="en-NZ"/>
        </w:rPr>
        <w:t>The total number of responses received does not reflect the total number of</w:t>
      </w:r>
      <w:r w:rsidR="00862924" w:rsidRPr="00624E26">
        <w:rPr>
          <w:lang w:val="en-NZ"/>
        </w:rPr>
        <w:t xml:space="preserve"> </w:t>
      </w:r>
      <w:r w:rsidRPr="00624E26">
        <w:rPr>
          <w:lang w:val="en-NZ"/>
        </w:rPr>
        <w:t>people involved in providing a response</w:t>
      </w:r>
      <w:r w:rsidR="00482DFB" w:rsidRPr="00624E26">
        <w:rPr>
          <w:lang w:val="en-NZ"/>
        </w:rPr>
        <w:t xml:space="preserve"> (</w:t>
      </w:r>
      <w:r w:rsidR="005C5A8F">
        <w:rPr>
          <w:lang w:val="en-NZ"/>
        </w:rPr>
        <w:t xml:space="preserve">eg, </w:t>
      </w:r>
      <w:r w:rsidR="00482DFB" w:rsidRPr="00624E26">
        <w:rPr>
          <w:lang w:val="en-NZ"/>
        </w:rPr>
        <w:t xml:space="preserve">an </w:t>
      </w:r>
      <w:r w:rsidRPr="00624E26">
        <w:rPr>
          <w:lang w:val="en-NZ"/>
        </w:rPr>
        <w:t xml:space="preserve">advisory group response may have collated the views of </w:t>
      </w:r>
      <w:r w:rsidR="00BF4A0F">
        <w:rPr>
          <w:lang w:val="en-NZ"/>
        </w:rPr>
        <w:t>many</w:t>
      </w:r>
      <w:r w:rsidRPr="00624E26">
        <w:rPr>
          <w:lang w:val="en-NZ"/>
        </w:rPr>
        <w:t xml:space="preserve"> members</w:t>
      </w:r>
      <w:r w:rsidR="00482DFB" w:rsidRPr="00624E26">
        <w:rPr>
          <w:lang w:val="en-NZ"/>
        </w:rPr>
        <w:t>)</w:t>
      </w:r>
      <w:r w:rsidRPr="00624E26">
        <w:rPr>
          <w:lang w:val="en-NZ"/>
        </w:rPr>
        <w:t xml:space="preserve">. </w:t>
      </w:r>
    </w:p>
    <w:p w14:paraId="202B3952" w14:textId="77777777" w:rsidR="002512BA" w:rsidRDefault="00134638">
      <w:pPr>
        <w:spacing w:before="0" w:after="160" w:line="259" w:lineRule="auto"/>
        <w:rPr>
          <w:i/>
          <w:iCs/>
          <w:sz w:val="20"/>
          <w:szCs w:val="18"/>
        </w:rPr>
      </w:pPr>
      <w:r w:rsidRPr="00624E26">
        <w:rPr>
          <w:lang w:val="en-NZ"/>
        </w:rPr>
        <w:t xml:space="preserve">The submission form asked respondents to self-identify which </w:t>
      </w:r>
      <w:r w:rsidR="001033A8">
        <w:rPr>
          <w:lang w:val="en-NZ"/>
        </w:rPr>
        <w:t xml:space="preserve">population </w:t>
      </w:r>
      <w:r w:rsidR="00D65790">
        <w:rPr>
          <w:lang w:val="en-NZ"/>
        </w:rPr>
        <w:t>groups they identified with or represented</w:t>
      </w:r>
      <w:r w:rsidR="00C5765C">
        <w:rPr>
          <w:lang w:val="en-NZ"/>
        </w:rPr>
        <w:t xml:space="preserve"> (</w:t>
      </w:r>
      <w:r w:rsidR="00C5765C">
        <w:rPr>
          <w:lang w:val="en-NZ"/>
        </w:rPr>
        <w:fldChar w:fldCharType="begin"/>
      </w:r>
      <w:r w:rsidR="00C5765C">
        <w:rPr>
          <w:lang w:val="en-NZ"/>
        </w:rPr>
        <w:instrText xml:space="preserve"> REF _Ref50545301 \h </w:instrText>
      </w:r>
      <w:r w:rsidR="00C5765C">
        <w:rPr>
          <w:lang w:val="en-NZ"/>
        </w:rPr>
      </w:r>
      <w:r w:rsidR="00C5765C">
        <w:rPr>
          <w:lang w:val="en-NZ"/>
        </w:rPr>
        <w:fldChar w:fldCharType="separate"/>
      </w:r>
      <w:r w:rsidR="002512BA">
        <w:br w:type="page"/>
      </w:r>
    </w:p>
    <w:p w14:paraId="0CA8546A" w14:textId="77777777" w:rsidR="002512BA" w:rsidRDefault="002512BA">
      <w:pPr>
        <w:spacing w:before="0" w:after="160" w:line="259" w:lineRule="auto"/>
        <w:rPr>
          <w:i/>
          <w:iCs/>
          <w:sz w:val="20"/>
          <w:szCs w:val="18"/>
        </w:rPr>
      </w:pPr>
      <w:r>
        <w:lastRenderedPageBreak/>
        <w:t xml:space="preserve">Table </w:t>
      </w:r>
      <w:r>
        <w:rPr>
          <w:noProof/>
        </w:rPr>
        <w:t>1</w:t>
      </w:r>
      <w:r w:rsidR="00C5765C">
        <w:rPr>
          <w:lang w:val="en-NZ"/>
        </w:rPr>
        <w:fldChar w:fldCharType="end"/>
      </w:r>
      <w:r w:rsidR="00C5765C">
        <w:rPr>
          <w:lang w:val="en-NZ"/>
        </w:rPr>
        <w:t>)</w:t>
      </w:r>
      <w:r w:rsidR="00D65790">
        <w:rPr>
          <w:lang w:val="en-NZ"/>
        </w:rPr>
        <w:t xml:space="preserve">. </w:t>
      </w:r>
      <w:r w:rsidR="007309EE">
        <w:rPr>
          <w:lang w:val="en-NZ"/>
        </w:rPr>
        <w:t xml:space="preserve">Most respondents (59/80) selected multiple groups. It is therefore not possible to </w:t>
      </w:r>
      <w:r w:rsidR="00B83091">
        <w:rPr>
          <w:lang w:val="en-NZ"/>
        </w:rPr>
        <w:t xml:space="preserve">present results solely for one population group. </w:t>
      </w:r>
      <w:r w:rsidR="001033A8">
        <w:rPr>
          <w:lang w:val="en-NZ"/>
        </w:rPr>
        <w:t>Organisational</w:t>
      </w:r>
      <w:r w:rsidR="002236EF">
        <w:rPr>
          <w:lang w:val="en-NZ"/>
        </w:rPr>
        <w:t xml:space="preserve"> </w:t>
      </w:r>
      <w:r w:rsidR="00BF68E0">
        <w:rPr>
          <w:lang w:val="en-NZ"/>
        </w:rPr>
        <w:t xml:space="preserve">submitters were also asked to </w:t>
      </w:r>
      <w:r w:rsidR="00CF2F10">
        <w:rPr>
          <w:lang w:val="en-NZ"/>
        </w:rPr>
        <w:t>identify with a service sector</w:t>
      </w:r>
      <w:r w:rsidR="00E56704">
        <w:rPr>
          <w:lang w:val="en-NZ"/>
        </w:rPr>
        <w:t>(s)</w:t>
      </w:r>
      <w:r w:rsidR="00C5765C">
        <w:rPr>
          <w:lang w:val="en-NZ"/>
        </w:rPr>
        <w:t xml:space="preserve"> (</w:t>
      </w:r>
      <w:r w:rsidR="007C0B9C">
        <w:rPr>
          <w:lang w:val="en-NZ"/>
        </w:rPr>
        <w:fldChar w:fldCharType="begin"/>
      </w:r>
      <w:r w:rsidR="007C0B9C">
        <w:rPr>
          <w:lang w:val="en-NZ"/>
        </w:rPr>
        <w:instrText xml:space="preserve"> REF _Ref51742134 \h </w:instrText>
      </w:r>
      <w:r w:rsidR="007C0B9C">
        <w:rPr>
          <w:lang w:val="en-NZ"/>
        </w:rPr>
      </w:r>
      <w:r w:rsidR="007C0B9C">
        <w:rPr>
          <w:lang w:val="en-NZ"/>
        </w:rPr>
        <w:fldChar w:fldCharType="separate"/>
      </w:r>
      <w:r>
        <w:br w:type="page"/>
      </w:r>
    </w:p>
    <w:p w14:paraId="78668BC7" w14:textId="17F726A8" w:rsidR="008D524A" w:rsidRPr="00624E26" w:rsidRDefault="002512BA" w:rsidP="00B83091">
      <w:pPr>
        <w:spacing w:after="0"/>
        <w:rPr>
          <w:lang w:val="en-NZ"/>
        </w:rPr>
      </w:pPr>
      <w:r w:rsidRPr="003622CE">
        <w:lastRenderedPageBreak/>
        <w:t xml:space="preserve">Table </w:t>
      </w:r>
      <w:r>
        <w:rPr>
          <w:noProof/>
        </w:rPr>
        <w:t>2</w:t>
      </w:r>
      <w:r w:rsidR="007C0B9C">
        <w:rPr>
          <w:lang w:val="en-NZ"/>
        </w:rPr>
        <w:fldChar w:fldCharType="end"/>
      </w:r>
      <w:r w:rsidR="00C5765C">
        <w:rPr>
          <w:lang w:val="en-NZ"/>
        </w:rPr>
        <w:t>). These responses show:</w:t>
      </w:r>
      <w:r w:rsidR="008D524A">
        <w:rPr>
          <w:rStyle w:val="FootnoteReference"/>
          <w:rFonts w:cs="Arial"/>
          <w:color w:val="000000" w:themeColor="text1"/>
          <w:lang w:val="en-NZ"/>
        </w:rPr>
        <w:footnoteReference w:id="7"/>
      </w:r>
    </w:p>
    <w:p w14:paraId="110D5612" w14:textId="325475D4" w:rsidR="008D524A" w:rsidRPr="00624E26" w:rsidRDefault="00E56704" w:rsidP="008D524A">
      <w:pPr>
        <w:pStyle w:val="ListParagraph"/>
        <w:numPr>
          <w:ilvl w:val="0"/>
          <w:numId w:val="7"/>
        </w:numPr>
        <w:spacing w:before="0" w:after="0"/>
        <w:rPr>
          <w:lang w:val="en-NZ"/>
        </w:rPr>
      </w:pPr>
      <w:r>
        <w:rPr>
          <w:lang w:val="en-NZ"/>
        </w:rPr>
        <w:t>49</w:t>
      </w:r>
      <w:r w:rsidR="008D524A" w:rsidRPr="00624E26">
        <w:rPr>
          <w:lang w:val="en-NZ"/>
        </w:rPr>
        <w:t xml:space="preserve"> </w:t>
      </w:r>
      <w:r w:rsidR="00C5765C">
        <w:rPr>
          <w:lang w:val="en-NZ"/>
        </w:rPr>
        <w:t xml:space="preserve">(61%) said they identified </w:t>
      </w:r>
      <w:r w:rsidR="00223C9F">
        <w:rPr>
          <w:lang w:val="en-NZ"/>
        </w:rPr>
        <w:t xml:space="preserve">as </w:t>
      </w:r>
      <w:r w:rsidR="00C5765C">
        <w:rPr>
          <w:lang w:val="en-NZ"/>
        </w:rPr>
        <w:t xml:space="preserve">or </w:t>
      </w:r>
      <w:r w:rsidR="00C5765C" w:rsidRPr="00624E26">
        <w:rPr>
          <w:lang w:val="en-NZ"/>
        </w:rPr>
        <w:t>represented consumers</w:t>
      </w:r>
      <w:r w:rsidR="00C5765C">
        <w:rPr>
          <w:lang w:val="en-NZ"/>
        </w:rPr>
        <w:t xml:space="preserve"> / people with lived experience</w:t>
      </w:r>
    </w:p>
    <w:p w14:paraId="37EB7BD0" w14:textId="22646439" w:rsidR="00E56704" w:rsidRPr="00E56704" w:rsidRDefault="00E56704" w:rsidP="00E56704">
      <w:pPr>
        <w:pStyle w:val="ListParagraph"/>
        <w:numPr>
          <w:ilvl w:val="0"/>
          <w:numId w:val="7"/>
        </w:numPr>
        <w:spacing w:before="0" w:after="0"/>
        <w:rPr>
          <w:lang w:val="en-NZ"/>
        </w:rPr>
      </w:pPr>
      <w:r>
        <w:rPr>
          <w:lang w:val="en-NZ"/>
        </w:rPr>
        <w:t>46</w:t>
      </w:r>
      <w:r w:rsidR="008D524A" w:rsidRPr="00624E26">
        <w:rPr>
          <w:lang w:val="en-NZ"/>
        </w:rPr>
        <w:t xml:space="preserve"> </w:t>
      </w:r>
      <w:r w:rsidR="00C5765C">
        <w:rPr>
          <w:lang w:val="en-NZ"/>
        </w:rPr>
        <w:t xml:space="preserve">(58%) said they identified </w:t>
      </w:r>
      <w:r w:rsidR="00223C9F">
        <w:rPr>
          <w:lang w:val="en-NZ"/>
        </w:rPr>
        <w:t xml:space="preserve">as </w:t>
      </w:r>
      <w:r w:rsidR="00C5765C">
        <w:rPr>
          <w:lang w:val="en-NZ"/>
        </w:rPr>
        <w:t xml:space="preserve">or represented </w:t>
      </w:r>
      <w:r w:rsidR="008D524A" w:rsidRPr="00624E26">
        <w:rPr>
          <w:lang w:val="en-NZ"/>
        </w:rPr>
        <w:t xml:space="preserve">families and </w:t>
      </w:r>
      <w:r w:rsidR="008D524A">
        <w:rPr>
          <w:lang w:val="en-NZ"/>
        </w:rPr>
        <w:t>wh</w:t>
      </w:r>
      <w:r w:rsidR="008D524A" w:rsidRPr="00624E26">
        <w:rPr>
          <w:lang w:val="en-NZ"/>
        </w:rPr>
        <w:t>ā</w:t>
      </w:r>
      <w:r w:rsidR="008D524A">
        <w:rPr>
          <w:lang w:val="en-NZ"/>
        </w:rPr>
        <w:t>nau</w:t>
      </w:r>
    </w:p>
    <w:p w14:paraId="1DFC87EC" w14:textId="3045B28F" w:rsidR="008D524A" w:rsidRPr="00624E26" w:rsidRDefault="00E56704" w:rsidP="008D524A">
      <w:pPr>
        <w:pStyle w:val="ListParagraph"/>
        <w:numPr>
          <w:ilvl w:val="0"/>
          <w:numId w:val="7"/>
        </w:numPr>
        <w:spacing w:after="0"/>
        <w:rPr>
          <w:lang w:val="en-NZ"/>
        </w:rPr>
      </w:pPr>
      <w:r>
        <w:rPr>
          <w:lang w:val="en-NZ"/>
        </w:rPr>
        <w:t>10</w:t>
      </w:r>
      <w:r w:rsidR="008D524A">
        <w:rPr>
          <w:lang w:val="en-NZ"/>
        </w:rPr>
        <w:t xml:space="preserve"> </w:t>
      </w:r>
      <w:r w:rsidR="00C5765C">
        <w:rPr>
          <w:lang w:val="en-NZ"/>
        </w:rPr>
        <w:t xml:space="preserve">(18%) </w:t>
      </w:r>
      <w:r w:rsidR="008D524A">
        <w:rPr>
          <w:lang w:val="en-NZ"/>
        </w:rPr>
        <w:t>said they represented addiction</w:t>
      </w:r>
      <w:r>
        <w:rPr>
          <w:lang w:val="en-NZ"/>
        </w:rPr>
        <w:t xml:space="preserve"> services</w:t>
      </w:r>
    </w:p>
    <w:p w14:paraId="7BF72772" w14:textId="23E95BA7" w:rsidR="008D524A" w:rsidRPr="00624E26" w:rsidRDefault="00E56704" w:rsidP="008D524A">
      <w:pPr>
        <w:pStyle w:val="ListParagraph"/>
        <w:numPr>
          <w:ilvl w:val="0"/>
          <w:numId w:val="7"/>
        </w:numPr>
        <w:spacing w:after="0"/>
        <w:rPr>
          <w:lang w:val="en-NZ"/>
        </w:rPr>
      </w:pPr>
      <w:r>
        <w:rPr>
          <w:lang w:val="en-NZ"/>
        </w:rPr>
        <w:t>27</w:t>
      </w:r>
      <w:r w:rsidR="008D524A" w:rsidRPr="00624E26">
        <w:rPr>
          <w:lang w:val="en-NZ"/>
        </w:rPr>
        <w:t xml:space="preserve"> </w:t>
      </w:r>
      <w:r w:rsidR="00C5765C">
        <w:rPr>
          <w:lang w:val="en-NZ"/>
        </w:rPr>
        <w:t xml:space="preserve">(34%) said they identified </w:t>
      </w:r>
      <w:r w:rsidR="00223C9F">
        <w:rPr>
          <w:lang w:val="en-NZ"/>
        </w:rPr>
        <w:t xml:space="preserve">as </w:t>
      </w:r>
      <w:r w:rsidR="00C5765C">
        <w:rPr>
          <w:lang w:val="en-NZ"/>
        </w:rPr>
        <w:t>or r</w:t>
      </w:r>
      <w:r w:rsidR="008D524A" w:rsidRPr="00624E26">
        <w:rPr>
          <w:lang w:val="en-NZ"/>
        </w:rPr>
        <w:t>epresented Māori perspectives</w:t>
      </w:r>
      <w:r>
        <w:rPr>
          <w:lang w:val="en-NZ"/>
        </w:rPr>
        <w:t>, including two kaupapa Māori providers</w:t>
      </w:r>
    </w:p>
    <w:p w14:paraId="53B141E4" w14:textId="03896A2E" w:rsidR="008D524A" w:rsidRDefault="00E56704" w:rsidP="008D524A">
      <w:pPr>
        <w:pStyle w:val="ListParagraph"/>
        <w:numPr>
          <w:ilvl w:val="0"/>
          <w:numId w:val="7"/>
        </w:numPr>
        <w:spacing w:after="0"/>
        <w:rPr>
          <w:lang w:val="en-NZ"/>
        </w:rPr>
      </w:pPr>
      <w:r>
        <w:rPr>
          <w:lang w:val="en-NZ"/>
        </w:rPr>
        <w:t>17</w:t>
      </w:r>
      <w:r w:rsidR="008D524A">
        <w:rPr>
          <w:lang w:val="en-NZ"/>
        </w:rPr>
        <w:t xml:space="preserve"> </w:t>
      </w:r>
      <w:r w:rsidR="00C5765C">
        <w:rPr>
          <w:lang w:val="en-NZ"/>
        </w:rPr>
        <w:t xml:space="preserve">(21%) said they identified </w:t>
      </w:r>
      <w:r w:rsidR="00223C9F">
        <w:rPr>
          <w:lang w:val="en-NZ"/>
        </w:rPr>
        <w:t xml:space="preserve">as </w:t>
      </w:r>
      <w:r w:rsidR="00C5765C">
        <w:rPr>
          <w:lang w:val="en-NZ"/>
        </w:rPr>
        <w:t xml:space="preserve">or </w:t>
      </w:r>
      <w:r w:rsidR="008D524A" w:rsidRPr="00624E26">
        <w:rPr>
          <w:lang w:val="en-NZ"/>
        </w:rPr>
        <w:t>represented Pacific perspectives</w:t>
      </w:r>
      <w:r w:rsidR="0050639B">
        <w:rPr>
          <w:lang w:val="en-NZ"/>
        </w:rPr>
        <w:t>.</w:t>
      </w:r>
    </w:p>
    <w:p w14:paraId="54CB0F88" w14:textId="77777777" w:rsidR="00223C9F" w:rsidRDefault="00223C9F">
      <w:pPr>
        <w:spacing w:before="0" w:after="160" w:line="259" w:lineRule="auto"/>
        <w:rPr>
          <w:i/>
          <w:iCs/>
          <w:sz w:val="20"/>
          <w:szCs w:val="18"/>
        </w:rPr>
      </w:pPr>
      <w:bookmarkStart w:id="30" w:name="_Ref50545301"/>
      <w:r>
        <w:br w:type="page"/>
      </w:r>
    </w:p>
    <w:p w14:paraId="12072BF4" w14:textId="0BE52461" w:rsidR="006A212D" w:rsidRDefault="006A212D" w:rsidP="00223C9F">
      <w:pPr>
        <w:pStyle w:val="Caption"/>
        <w:tabs>
          <w:tab w:val="left" w:pos="851"/>
        </w:tabs>
        <w:rPr>
          <w:lang w:val="en-NZ"/>
        </w:rPr>
      </w:pPr>
      <w:r>
        <w:lastRenderedPageBreak/>
        <w:t xml:space="preserve">Table </w:t>
      </w:r>
      <w:r>
        <w:fldChar w:fldCharType="begin"/>
      </w:r>
      <w:r>
        <w:instrText xml:space="preserve"> SEQ Table \* ARABIC </w:instrText>
      </w:r>
      <w:r>
        <w:fldChar w:fldCharType="separate"/>
      </w:r>
      <w:r w:rsidR="002512BA">
        <w:rPr>
          <w:noProof/>
        </w:rPr>
        <w:t>1</w:t>
      </w:r>
      <w:r>
        <w:fldChar w:fldCharType="end"/>
      </w:r>
      <w:bookmarkEnd w:id="30"/>
      <w:r w:rsidR="00CF2F10">
        <w:tab/>
        <w:t>Population groups represented</w:t>
      </w:r>
      <w:r w:rsidR="00C42027">
        <w:t xml:space="preserve"> through the </w:t>
      </w:r>
      <w:r w:rsidR="00C5765C">
        <w:t xml:space="preserve">survey / </w:t>
      </w:r>
      <w:r w:rsidR="00C42027">
        <w:t>consultation document</w:t>
      </w:r>
    </w:p>
    <w:tbl>
      <w:tblPr>
        <w:tblStyle w:val="GridTable1Light"/>
        <w:tblW w:w="9638" w:type="dxa"/>
        <w:tblLayout w:type="fixed"/>
        <w:tblLook w:val="04A0" w:firstRow="1" w:lastRow="0" w:firstColumn="1" w:lastColumn="0" w:noHBand="0" w:noVBand="1"/>
      </w:tblPr>
      <w:tblGrid>
        <w:gridCol w:w="7824"/>
        <w:gridCol w:w="907"/>
        <w:gridCol w:w="907"/>
      </w:tblGrid>
      <w:tr w:rsidR="008C015F" w:rsidRPr="00361FCC" w14:paraId="1490C1E1" w14:textId="61BAE495" w:rsidTr="007C0B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24" w:type="dxa"/>
            <w:noWrap/>
            <w:vAlign w:val="center"/>
          </w:tcPr>
          <w:p w14:paraId="2BC187D5" w14:textId="190C278B" w:rsidR="003E1885" w:rsidRPr="007C0B9C" w:rsidRDefault="003E1885" w:rsidP="007C0B9C">
            <w:pPr>
              <w:spacing w:before="40" w:after="40"/>
              <w:rPr>
                <w:rFonts w:eastAsia="Times New Roman" w:cs="Arial"/>
                <w:sz w:val="20"/>
                <w:szCs w:val="20"/>
                <w:lang w:val="en-NZ" w:eastAsia="en-NZ"/>
              </w:rPr>
            </w:pPr>
            <w:r w:rsidRPr="007C0B9C">
              <w:rPr>
                <w:rFonts w:eastAsia="Times New Roman" w:cs="Arial"/>
                <w:sz w:val="20"/>
                <w:szCs w:val="20"/>
                <w:lang w:val="en-NZ" w:eastAsia="en-NZ"/>
              </w:rPr>
              <w:t>Groups</w:t>
            </w:r>
          </w:p>
        </w:tc>
        <w:tc>
          <w:tcPr>
            <w:tcW w:w="907" w:type="dxa"/>
            <w:vAlign w:val="center"/>
          </w:tcPr>
          <w:p w14:paraId="70E386D1" w14:textId="77777777" w:rsidR="003E1885" w:rsidRDefault="00E86A1E" w:rsidP="007C0B9C">
            <w:pPr>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333333"/>
                <w:sz w:val="20"/>
                <w:szCs w:val="20"/>
                <w:lang w:val="en-NZ" w:eastAsia="en-NZ"/>
              </w:rPr>
            </w:pPr>
            <w:r>
              <w:rPr>
                <w:rFonts w:eastAsia="Times New Roman" w:cs="Arial"/>
                <w:color w:val="333333"/>
                <w:sz w:val="20"/>
                <w:szCs w:val="20"/>
                <w:lang w:val="en-NZ" w:eastAsia="en-NZ"/>
              </w:rPr>
              <w:t>N</w:t>
            </w:r>
          </w:p>
          <w:p w14:paraId="3A84D29E" w14:textId="48D1718A" w:rsidR="00CF2F10" w:rsidRPr="0045291C" w:rsidRDefault="00CF2F10" w:rsidP="007C0B9C">
            <w:pPr>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(N=80)</w:t>
            </w:r>
          </w:p>
        </w:tc>
        <w:tc>
          <w:tcPr>
            <w:tcW w:w="907" w:type="dxa"/>
            <w:vAlign w:val="center"/>
          </w:tcPr>
          <w:p w14:paraId="59E018D2" w14:textId="6FE7EE8A" w:rsidR="003E1885" w:rsidRPr="0045291C" w:rsidRDefault="00E86A1E" w:rsidP="007C0B9C">
            <w:pPr>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w:t>
            </w:r>
          </w:p>
        </w:tc>
      </w:tr>
      <w:tr w:rsidR="008C015F" w:rsidRPr="00361FCC" w14:paraId="60DA7786" w14:textId="466A934A" w:rsidTr="00CF2F10">
        <w:trPr>
          <w:trHeight w:val="283"/>
        </w:trPr>
        <w:tc>
          <w:tcPr>
            <w:cnfStyle w:val="001000000000" w:firstRow="0" w:lastRow="0" w:firstColumn="1" w:lastColumn="0" w:oddVBand="0" w:evenVBand="0" w:oddHBand="0" w:evenHBand="0" w:firstRowFirstColumn="0" w:firstRowLastColumn="0" w:lastRowFirstColumn="0" w:lastRowLastColumn="0"/>
            <w:tcW w:w="7824" w:type="dxa"/>
            <w:noWrap/>
            <w:hideMark/>
          </w:tcPr>
          <w:p w14:paraId="060DF772" w14:textId="2D339CE2" w:rsidR="003E1885" w:rsidRPr="008C7F26" w:rsidRDefault="00E56704" w:rsidP="00DB4491">
            <w:pPr>
              <w:spacing w:before="40" w:after="40"/>
              <w:rPr>
                <w:rFonts w:eastAsia="Times New Roman" w:cs="Arial"/>
                <w:b w:val="0"/>
                <w:sz w:val="20"/>
                <w:szCs w:val="20"/>
                <w:lang w:val="en-NZ" w:eastAsia="en-NZ"/>
              </w:rPr>
            </w:pPr>
            <w:r>
              <w:rPr>
                <w:rFonts w:eastAsia="Times New Roman" w:cs="Arial"/>
                <w:b w:val="0"/>
                <w:sz w:val="20"/>
                <w:szCs w:val="20"/>
                <w:lang w:val="en-NZ" w:eastAsia="en-NZ"/>
              </w:rPr>
              <w:t>P</w:t>
            </w:r>
            <w:r w:rsidR="003E1885" w:rsidRPr="008C7F26">
              <w:rPr>
                <w:rFonts w:eastAsia="Times New Roman" w:cs="Arial"/>
                <w:b w:val="0"/>
                <w:sz w:val="20"/>
                <w:szCs w:val="20"/>
                <w:lang w:val="en-NZ" w:eastAsia="en-NZ"/>
              </w:rPr>
              <w:t>eople with lived experience of mental distress, illness and/or addiction</w:t>
            </w:r>
          </w:p>
        </w:tc>
        <w:tc>
          <w:tcPr>
            <w:tcW w:w="907" w:type="dxa"/>
          </w:tcPr>
          <w:p w14:paraId="21CBA99C" w14:textId="587BFAAB" w:rsidR="003E1885" w:rsidRPr="0045291C" w:rsidRDefault="002732A2"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49</w:t>
            </w:r>
          </w:p>
        </w:tc>
        <w:tc>
          <w:tcPr>
            <w:tcW w:w="907" w:type="dxa"/>
          </w:tcPr>
          <w:p w14:paraId="01A149CA" w14:textId="7DA9D678" w:rsidR="003E1885" w:rsidRPr="0045291C" w:rsidRDefault="004739CF"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61</w:t>
            </w:r>
            <w:r w:rsidR="002732A2">
              <w:rPr>
                <w:rFonts w:eastAsia="Times New Roman" w:cs="Arial"/>
                <w:color w:val="333333"/>
                <w:sz w:val="20"/>
                <w:szCs w:val="20"/>
                <w:lang w:val="en-NZ" w:eastAsia="en-NZ"/>
              </w:rPr>
              <w:t>%</w:t>
            </w:r>
          </w:p>
        </w:tc>
      </w:tr>
      <w:tr w:rsidR="008C015F" w:rsidRPr="00361FCC" w14:paraId="7C7F2EED" w14:textId="7EE53FFF" w:rsidTr="00CF2F10">
        <w:trPr>
          <w:trHeight w:val="283"/>
        </w:trPr>
        <w:tc>
          <w:tcPr>
            <w:cnfStyle w:val="001000000000" w:firstRow="0" w:lastRow="0" w:firstColumn="1" w:lastColumn="0" w:oddVBand="0" w:evenVBand="0" w:oddHBand="0" w:evenHBand="0" w:firstRowFirstColumn="0" w:firstRowLastColumn="0" w:lastRowFirstColumn="0" w:lastRowLastColumn="0"/>
            <w:tcW w:w="7824" w:type="dxa"/>
            <w:noWrap/>
            <w:hideMark/>
          </w:tcPr>
          <w:p w14:paraId="382848D7" w14:textId="77777777" w:rsidR="003E1885" w:rsidRPr="008C7F26" w:rsidRDefault="003E1885" w:rsidP="00DB4491">
            <w:pPr>
              <w:spacing w:before="40" w:after="40"/>
              <w:rPr>
                <w:rFonts w:eastAsia="Times New Roman" w:cs="Arial"/>
                <w:b w:val="0"/>
                <w:sz w:val="20"/>
                <w:szCs w:val="20"/>
                <w:lang w:val="en-NZ" w:eastAsia="en-NZ"/>
              </w:rPr>
            </w:pPr>
            <w:r w:rsidRPr="008C7F26">
              <w:rPr>
                <w:rFonts w:eastAsia="Times New Roman" w:cs="Arial"/>
                <w:b w:val="0"/>
                <w:sz w:val="20"/>
                <w:szCs w:val="20"/>
                <w:lang w:val="en-NZ" w:eastAsia="en-NZ"/>
              </w:rPr>
              <w:t>Families and whānau with lived experience of mental distress, illness and/or addiction</w:t>
            </w:r>
          </w:p>
        </w:tc>
        <w:tc>
          <w:tcPr>
            <w:tcW w:w="907" w:type="dxa"/>
          </w:tcPr>
          <w:p w14:paraId="0514F6CE" w14:textId="6A7E9086" w:rsidR="003E1885" w:rsidRPr="0045291C" w:rsidRDefault="002732A2"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46</w:t>
            </w:r>
          </w:p>
        </w:tc>
        <w:tc>
          <w:tcPr>
            <w:tcW w:w="907" w:type="dxa"/>
          </w:tcPr>
          <w:p w14:paraId="3BD51D40" w14:textId="445F0BCB" w:rsidR="003E1885" w:rsidRPr="0045291C" w:rsidRDefault="002732A2"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5</w:t>
            </w:r>
            <w:r w:rsidR="004739CF">
              <w:rPr>
                <w:rFonts w:eastAsia="Times New Roman" w:cs="Arial"/>
                <w:color w:val="333333"/>
                <w:sz w:val="20"/>
                <w:szCs w:val="20"/>
                <w:lang w:val="en-NZ" w:eastAsia="en-NZ"/>
              </w:rPr>
              <w:t>8</w:t>
            </w:r>
            <w:r>
              <w:rPr>
                <w:rFonts w:eastAsia="Times New Roman" w:cs="Arial"/>
                <w:color w:val="333333"/>
                <w:sz w:val="20"/>
                <w:szCs w:val="20"/>
                <w:lang w:val="en-NZ" w:eastAsia="en-NZ"/>
              </w:rPr>
              <w:t>%</w:t>
            </w:r>
          </w:p>
        </w:tc>
      </w:tr>
      <w:tr w:rsidR="008C015F" w:rsidRPr="00361FCC" w14:paraId="269FE808" w14:textId="59359503" w:rsidTr="00CF2F10">
        <w:trPr>
          <w:trHeight w:val="283"/>
        </w:trPr>
        <w:tc>
          <w:tcPr>
            <w:cnfStyle w:val="001000000000" w:firstRow="0" w:lastRow="0" w:firstColumn="1" w:lastColumn="0" w:oddVBand="0" w:evenVBand="0" w:oddHBand="0" w:evenHBand="0" w:firstRowFirstColumn="0" w:firstRowLastColumn="0" w:lastRowFirstColumn="0" w:lastRowLastColumn="0"/>
            <w:tcW w:w="7824" w:type="dxa"/>
            <w:noWrap/>
            <w:hideMark/>
          </w:tcPr>
          <w:p w14:paraId="36383D99" w14:textId="77777777" w:rsidR="003E1885" w:rsidRPr="008C7F26" w:rsidRDefault="003E1885" w:rsidP="00DB4491">
            <w:pPr>
              <w:spacing w:before="40" w:after="40"/>
              <w:rPr>
                <w:rFonts w:eastAsia="Times New Roman" w:cs="Arial"/>
                <w:b w:val="0"/>
                <w:sz w:val="20"/>
                <w:szCs w:val="20"/>
                <w:lang w:val="en-NZ" w:eastAsia="en-NZ"/>
              </w:rPr>
            </w:pPr>
            <w:r w:rsidRPr="008C7F26">
              <w:rPr>
                <w:rFonts w:eastAsia="Times New Roman" w:cs="Arial"/>
                <w:b w:val="0"/>
                <w:sz w:val="20"/>
                <w:szCs w:val="20"/>
                <w:lang w:val="en-NZ" w:eastAsia="en-NZ"/>
              </w:rPr>
              <w:t>Māori</w:t>
            </w:r>
          </w:p>
        </w:tc>
        <w:tc>
          <w:tcPr>
            <w:tcW w:w="907" w:type="dxa"/>
          </w:tcPr>
          <w:p w14:paraId="392EE039" w14:textId="37D7EB41" w:rsidR="003E1885" w:rsidRPr="0045291C" w:rsidRDefault="002732A2"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27</w:t>
            </w:r>
          </w:p>
        </w:tc>
        <w:tc>
          <w:tcPr>
            <w:tcW w:w="907" w:type="dxa"/>
          </w:tcPr>
          <w:p w14:paraId="77A2678F" w14:textId="73960EA5" w:rsidR="003E1885" w:rsidRPr="0045291C" w:rsidRDefault="002732A2"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3</w:t>
            </w:r>
            <w:r w:rsidR="004739CF">
              <w:rPr>
                <w:rFonts w:eastAsia="Times New Roman" w:cs="Arial"/>
                <w:color w:val="333333"/>
                <w:sz w:val="20"/>
                <w:szCs w:val="20"/>
                <w:lang w:val="en-NZ" w:eastAsia="en-NZ"/>
              </w:rPr>
              <w:t>4</w:t>
            </w:r>
            <w:r>
              <w:rPr>
                <w:rFonts w:eastAsia="Times New Roman" w:cs="Arial"/>
                <w:color w:val="333333"/>
                <w:sz w:val="20"/>
                <w:szCs w:val="20"/>
                <w:lang w:val="en-NZ" w:eastAsia="en-NZ"/>
              </w:rPr>
              <w:t>%</w:t>
            </w:r>
          </w:p>
        </w:tc>
      </w:tr>
      <w:tr w:rsidR="008C015F" w:rsidRPr="00361FCC" w14:paraId="7BADB9EA" w14:textId="3D118FE2" w:rsidTr="00CF2F10">
        <w:trPr>
          <w:trHeight w:val="283"/>
        </w:trPr>
        <w:tc>
          <w:tcPr>
            <w:cnfStyle w:val="001000000000" w:firstRow="0" w:lastRow="0" w:firstColumn="1" w:lastColumn="0" w:oddVBand="0" w:evenVBand="0" w:oddHBand="0" w:evenHBand="0" w:firstRowFirstColumn="0" w:firstRowLastColumn="0" w:lastRowFirstColumn="0" w:lastRowLastColumn="0"/>
            <w:tcW w:w="7824" w:type="dxa"/>
            <w:noWrap/>
            <w:hideMark/>
          </w:tcPr>
          <w:p w14:paraId="5F953F64" w14:textId="77777777" w:rsidR="003E1885" w:rsidRPr="008C7F26" w:rsidRDefault="003E1885" w:rsidP="00DB4491">
            <w:pPr>
              <w:spacing w:before="40" w:after="40"/>
              <w:rPr>
                <w:rFonts w:eastAsia="Times New Roman" w:cs="Arial"/>
                <w:b w:val="0"/>
                <w:sz w:val="20"/>
                <w:szCs w:val="20"/>
                <w:lang w:val="en-NZ" w:eastAsia="en-NZ"/>
              </w:rPr>
            </w:pPr>
            <w:r w:rsidRPr="008C7F26">
              <w:rPr>
                <w:rFonts w:eastAsia="Times New Roman" w:cs="Arial"/>
                <w:b w:val="0"/>
                <w:sz w:val="20"/>
                <w:szCs w:val="20"/>
                <w:lang w:val="en-NZ" w:eastAsia="en-NZ"/>
              </w:rPr>
              <w:t>Pacific peoples</w:t>
            </w:r>
          </w:p>
        </w:tc>
        <w:tc>
          <w:tcPr>
            <w:tcW w:w="907" w:type="dxa"/>
          </w:tcPr>
          <w:p w14:paraId="55717668" w14:textId="46A3CF51" w:rsidR="003E1885" w:rsidRPr="0045291C" w:rsidRDefault="002732A2"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17</w:t>
            </w:r>
          </w:p>
        </w:tc>
        <w:tc>
          <w:tcPr>
            <w:tcW w:w="907" w:type="dxa"/>
          </w:tcPr>
          <w:p w14:paraId="65C9B787" w14:textId="0CA6ABE6" w:rsidR="003E1885" w:rsidRPr="0045291C" w:rsidRDefault="002732A2"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2</w:t>
            </w:r>
            <w:r w:rsidR="004739CF">
              <w:rPr>
                <w:rFonts w:eastAsia="Times New Roman" w:cs="Arial"/>
                <w:color w:val="333333"/>
                <w:sz w:val="20"/>
                <w:szCs w:val="20"/>
                <w:lang w:val="en-NZ" w:eastAsia="en-NZ"/>
              </w:rPr>
              <w:t>1</w:t>
            </w:r>
            <w:r>
              <w:rPr>
                <w:rFonts w:eastAsia="Times New Roman" w:cs="Arial"/>
                <w:color w:val="333333"/>
                <w:sz w:val="20"/>
                <w:szCs w:val="20"/>
                <w:lang w:val="en-NZ" w:eastAsia="en-NZ"/>
              </w:rPr>
              <w:t>%</w:t>
            </w:r>
          </w:p>
        </w:tc>
      </w:tr>
      <w:tr w:rsidR="008C015F" w:rsidRPr="00361FCC" w14:paraId="7FC4D18A" w14:textId="3B617C5F" w:rsidTr="00CF2F10">
        <w:trPr>
          <w:trHeight w:val="283"/>
        </w:trPr>
        <w:tc>
          <w:tcPr>
            <w:cnfStyle w:val="001000000000" w:firstRow="0" w:lastRow="0" w:firstColumn="1" w:lastColumn="0" w:oddVBand="0" w:evenVBand="0" w:oddHBand="0" w:evenHBand="0" w:firstRowFirstColumn="0" w:firstRowLastColumn="0" w:lastRowFirstColumn="0" w:lastRowLastColumn="0"/>
            <w:tcW w:w="7824" w:type="dxa"/>
            <w:noWrap/>
            <w:hideMark/>
          </w:tcPr>
          <w:p w14:paraId="52C23700" w14:textId="77777777" w:rsidR="003E1885" w:rsidRPr="008C7F26" w:rsidRDefault="003E1885" w:rsidP="00DB4491">
            <w:pPr>
              <w:spacing w:before="40" w:after="40"/>
              <w:rPr>
                <w:rFonts w:eastAsia="Times New Roman" w:cs="Arial"/>
                <w:b w:val="0"/>
                <w:sz w:val="20"/>
                <w:szCs w:val="20"/>
                <w:lang w:val="en-NZ" w:eastAsia="en-NZ"/>
              </w:rPr>
            </w:pPr>
            <w:r w:rsidRPr="008C7F26">
              <w:rPr>
                <w:rFonts w:eastAsia="Times New Roman" w:cs="Arial"/>
                <w:b w:val="0"/>
                <w:sz w:val="20"/>
                <w:szCs w:val="20"/>
                <w:lang w:val="en-NZ" w:eastAsia="en-NZ"/>
              </w:rPr>
              <w:t>Refugees and migrants</w:t>
            </w:r>
          </w:p>
        </w:tc>
        <w:tc>
          <w:tcPr>
            <w:tcW w:w="907" w:type="dxa"/>
          </w:tcPr>
          <w:p w14:paraId="49464026" w14:textId="5E5C7BDE" w:rsidR="003E1885" w:rsidRPr="0045291C" w:rsidRDefault="002732A2"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15</w:t>
            </w:r>
          </w:p>
        </w:tc>
        <w:tc>
          <w:tcPr>
            <w:tcW w:w="907" w:type="dxa"/>
          </w:tcPr>
          <w:p w14:paraId="25ED2A72" w14:textId="0C3AC03F" w:rsidR="003E1885" w:rsidRPr="0045291C" w:rsidRDefault="002732A2"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1</w:t>
            </w:r>
            <w:r w:rsidR="004739CF">
              <w:rPr>
                <w:rFonts w:eastAsia="Times New Roman" w:cs="Arial"/>
                <w:color w:val="333333"/>
                <w:sz w:val="20"/>
                <w:szCs w:val="20"/>
                <w:lang w:val="en-NZ" w:eastAsia="en-NZ"/>
              </w:rPr>
              <w:t>9</w:t>
            </w:r>
            <w:r>
              <w:rPr>
                <w:rFonts w:eastAsia="Times New Roman" w:cs="Arial"/>
                <w:color w:val="333333"/>
                <w:sz w:val="20"/>
                <w:szCs w:val="20"/>
                <w:lang w:val="en-NZ" w:eastAsia="en-NZ"/>
              </w:rPr>
              <w:t>%</w:t>
            </w:r>
          </w:p>
        </w:tc>
      </w:tr>
      <w:tr w:rsidR="008C015F" w:rsidRPr="00361FCC" w14:paraId="03D131A6" w14:textId="43050D42" w:rsidTr="00CF2F10">
        <w:trPr>
          <w:trHeight w:val="283"/>
        </w:trPr>
        <w:tc>
          <w:tcPr>
            <w:cnfStyle w:val="001000000000" w:firstRow="0" w:lastRow="0" w:firstColumn="1" w:lastColumn="0" w:oddVBand="0" w:evenVBand="0" w:oddHBand="0" w:evenHBand="0" w:firstRowFirstColumn="0" w:firstRowLastColumn="0" w:lastRowFirstColumn="0" w:lastRowLastColumn="0"/>
            <w:tcW w:w="7824" w:type="dxa"/>
            <w:noWrap/>
            <w:hideMark/>
          </w:tcPr>
          <w:p w14:paraId="3CA79378" w14:textId="77777777" w:rsidR="003E1885" w:rsidRPr="008C7F26" w:rsidRDefault="003E1885" w:rsidP="00DB4491">
            <w:pPr>
              <w:spacing w:before="40" w:after="40"/>
              <w:rPr>
                <w:rFonts w:eastAsia="Times New Roman" w:cs="Arial"/>
                <w:b w:val="0"/>
                <w:sz w:val="20"/>
                <w:szCs w:val="20"/>
                <w:lang w:val="en-NZ" w:eastAsia="en-NZ"/>
              </w:rPr>
            </w:pPr>
            <w:r w:rsidRPr="008C7F26">
              <w:rPr>
                <w:rFonts w:eastAsia="Times New Roman" w:cs="Arial"/>
                <w:b w:val="0"/>
                <w:sz w:val="20"/>
                <w:szCs w:val="20"/>
                <w:lang w:val="en-NZ" w:eastAsia="en-NZ"/>
              </w:rPr>
              <w:t>Young people</w:t>
            </w:r>
          </w:p>
        </w:tc>
        <w:tc>
          <w:tcPr>
            <w:tcW w:w="907" w:type="dxa"/>
          </w:tcPr>
          <w:p w14:paraId="349E54E7" w14:textId="726DC6FD" w:rsidR="003E1885" w:rsidRPr="0045291C" w:rsidRDefault="002732A2"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26</w:t>
            </w:r>
          </w:p>
        </w:tc>
        <w:tc>
          <w:tcPr>
            <w:tcW w:w="907" w:type="dxa"/>
          </w:tcPr>
          <w:p w14:paraId="33DA6C07" w14:textId="73CC278F" w:rsidR="003E1885" w:rsidRPr="0045291C" w:rsidRDefault="002732A2"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3</w:t>
            </w:r>
            <w:r w:rsidR="004739CF">
              <w:rPr>
                <w:rFonts w:eastAsia="Times New Roman" w:cs="Arial"/>
                <w:color w:val="333333"/>
                <w:sz w:val="20"/>
                <w:szCs w:val="20"/>
                <w:lang w:val="en-NZ" w:eastAsia="en-NZ"/>
              </w:rPr>
              <w:t>3</w:t>
            </w:r>
            <w:r>
              <w:rPr>
                <w:rFonts w:eastAsia="Times New Roman" w:cs="Arial"/>
                <w:color w:val="333333"/>
                <w:sz w:val="20"/>
                <w:szCs w:val="20"/>
                <w:lang w:val="en-NZ" w:eastAsia="en-NZ"/>
              </w:rPr>
              <w:t>%</w:t>
            </w:r>
          </w:p>
        </w:tc>
      </w:tr>
      <w:tr w:rsidR="008C015F" w:rsidRPr="00361FCC" w14:paraId="08F062C6" w14:textId="659AB87B" w:rsidTr="00CF2F10">
        <w:trPr>
          <w:trHeight w:val="283"/>
        </w:trPr>
        <w:tc>
          <w:tcPr>
            <w:cnfStyle w:val="001000000000" w:firstRow="0" w:lastRow="0" w:firstColumn="1" w:lastColumn="0" w:oddVBand="0" w:evenVBand="0" w:oddHBand="0" w:evenHBand="0" w:firstRowFirstColumn="0" w:firstRowLastColumn="0" w:lastRowFirstColumn="0" w:lastRowLastColumn="0"/>
            <w:tcW w:w="7824" w:type="dxa"/>
            <w:noWrap/>
            <w:hideMark/>
          </w:tcPr>
          <w:p w14:paraId="0B6A529F" w14:textId="77777777" w:rsidR="003E1885" w:rsidRPr="008C7F26" w:rsidRDefault="003E1885" w:rsidP="00DB4491">
            <w:pPr>
              <w:spacing w:before="40" w:after="40"/>
              <w:rPr>
                <w:rFonts w:eastAsia="Times New Roman" w:cs="Arial"/>
                <w:b w:val="0"/>
                <w:sz w:val="20"/>
                <w:szCs w:val="20"/>
                <w:lang w:val="en-NZ" w:eastAsia="en-NZ"/>
              </w:rPr>
            </w:pPr>
            <w:r w:rsidRPr="008C7F26">
              <w:rPr>
                <w:rFonts w:eastAsia="Times New Roman" w:cs="Arial"/>
                <w:b w:val="0"/>
                <w:sz w:val="20"/>
                <w:szCs w:val="20"/>
                <w:lang w:val="en-NZ" w:eastAsia="en-NZ"/>
              </w:rPr>
              <w:t>Rural communities</w:t>
            </w:r>
          </w:p>
        </w:tc>
        <w:tc>
          <w:tcPr>
            <w:tcW w:w="907" w:type="dxa"/>
          </w:tcPr>
          <w:p w14:paraId="3F8A1453" w14:textId="30346F5E" w:rsidR="003E1885" w:rsidRPr="0045291C" w:rsidRDefault="00C275DC"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18</w:t>
            </w:r>
          </w:p>
        </w:tc>
        <w:tc>
          <w:tcPr>
            <w:tcW w:w="907" w:type="dxa"/>
          </w:tcPr>
          <w:p w14:paraId="7BA44130" w14:textId="50267D1B" w:rsidR="003E1885" w:rsidRPr="0045291C" w:rsidRDefault="00C275DC"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2</w:t>
            </w:r>
            <w:r w:rsidR="004739CF">
              <w:rPr>
                <w:rFonts w:eastAsia="Times New Roman" w:cs="Arial"/>
                <w:color w:val="333333"/>
                <w:sz w:val="20"/>
                <w:szCs w:val="20"/>
                <w:lang w:val="en-NZ" w:eastAsia="en-NZ"/>
              </w:rPr>
              <w:t>3</w:t>
            </w:r>
            <w:r>
              <w:rPr>
                <w:rFonts w:eastAsia="Times New Roman" w:cs="Arial"/>
                <w:color w:val="333333"/>
                <w:sz w:val="20"/>
                <w:szCs w:val="20"/>
                <w:lang w:val="en-NZ" w:eastAsia="en-NZ"/>
              </w:rPr>
              <w:t>%</w:t>
            </w:r>
          </w:p>
        </w:tc>
      </w:tr>
      <w:tr w:rsidR="008C015F" w:rsidRPr="00361FCC" w14:paraId="605E292F" w14:textId="2E3AE65E" w:rsidTr="00CF2F10">
        <w:trPr>
          <w:trHeight w:val="283"/>
        </w:trPr>
        <w:tc>
          <w:tcPr>
            <w:cnfStyle w:val="001000000000" w:firstRow="0" w:lastRow="0" w:firstColumn="1" w:lastColumn="0" w:oddVBand="0" w:evenVBand="0" w:oddHBand="0" w:evenHBand="0" w:firstRowFirstColumn="0" w:firstRowLastColumn="0" w:lastRowFirstColumn="0" w:lastRowLastColumn="0"/>
            <w:tcW w:w="7824" w:type="dxa"/>
            <w:noWrap/>
            <w:hideMark/>
          </w:tcPr>
          <w:p w14:paraId="090A0493" w14:textId="77777777" w:rsidR="003E1885" w:rsidRPr="008C7F26" w:rsidRDefault="003E1885" w:rsidP="00DB4491">
            <w:pPr>
              <w:spacing w:before="40" w:after="40"/>
              <w:rPr>
                <w:rFonts w:eastAsia="Times New Roman" w:cs="Arial"/>
                <w:b w:val="0"/>
                <w:sz w:val="20"/>
                <w:szCs w:val="20"/>
                <w:lang w:val="en-NZ" w:eastAsia="en-NZ"/>
              </w:rPr>
            </w:pPr>
            <w:r w:rsidRPr="008C7F26">
              <w:rPr>
                <w:rFonts w:eastAsia="Times New Roman" w:cs="Arial"/>
                <w:b w:val="0"/>
                <w:sz w:val="20"/>
                <w:szCs w:val="20"/>
                <w:lang w:val="en-NZ" w:eastAsia="en-NZ"/>
              </w:rPr>
              <w:t>Veterans</w:t>
            </w:r>
          </w:p>
        </w:tc>
        <w:tc>
          <w:tcPr>
            <w:tcW w:w="907" w:type="dxa"/>
          </w:tcPr>
          <w:p w14:paraId="4DF33750" w14:textId="06E18DFE" w:rsidR="003E1885" w:rsidRPr="0045291C" w:rsidRDefault="00C275DC"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7</w:t>
            </w:r>
          </w:p>
        </w:tc>
        <w:tc>
          <w:tcPr>
            <w:tcW w:w="907" w:type="dxa"/>
          </w:tcPr>
          <w:p w14:paraId="24A466C3" w14:textId="0BDF5DF7" w:rsidR="003E1885" w:rsidRPr="0045291C" w:rsidRDefault="004739CF"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9</w:t>
            </w:r>
            <w:r w:rsidR="00C275DC">
              <w:rPr>
                <w:rFonts w:eastAsia="Times New Roman" w:cs="Arial"/>
                <w:color w:val="333333"/>
                <w:sz w:val="20"/>
                <w:szCs w:val="20"/>
                <w:lang w:val="en-NZ" w:eastAsia="en-NZ"/>
              </w:rPr>
              <w:t>%</w:t>
            </w:r>
          </w:p>
        </w:tc>
      </w:tr>
      <w:tr w:rsidR="008C015F" w:rsidRPr="00361FCC" w14:paraId="2A5B08D8" w14:textId="44EF3AAF" w:rsidTr="00CF2F10">
        <w:trPr>
          <w:trHeight w:val="283"/>
        </w:trPr>
        <w:tc>
          <w:tcPr>
            <w:cnfStyle w:val="001000000000" w:firstRow="0" w:lastRow="0" w:firstColumn="1" w:lastColumn="0" w:oddVBand="0" w:evenVBand="0" w:oddHBand="0" w:evenHBand="0" w:firstRowFirstColumn="0" w:firstRowLastColumn="0" w:lastRowFirstColumn="0" w:lastRowLastColumn="0"/>
            <w:tcW w:w="7824" w:type="dxa"/>
            <w:noWrap/>
            <w:hideMark/>
          </w:tcPr>
          <w:p w14:paraId="175EC93E" w14:textId="77777777" w:rsidR="003E1885" w:rsidRPr="008C7F26" w:rsidRDefault="003E1885" w:rsidP="00DB4491">
            <w:pPr>
              <w:spacing w:before="40" w:after="40"/>
              <w:rPr>
                <w:rFonts w:eastAsia="Times New Roman" w:cs="Arial"/>
                <w:b w:val="0"/>
                <w:sz w:val="20"/>
                <w:szCs w:val="20"/>
                <w:lang w:val="en-NZ" w:eastAsia="en-NZ"/>
              </w:rPr>
            </w:pPr>
            <w:r w:rsidRPr="008C7F26">
              <w:rPr>
                <w:rFonts w:eastAsia="Times New Roman" w:cs="Arial"/>
                <w:b w:val="0"/>
                <w:sz w:val="20"/>
                <w:szCs w:val="20"/>
                <w:lang w:val="en-NZ" w:eastAsia="en-NZ"/>
              </w:rPr>
              <w:t>Rainbow communities</w:t>
            </w:r>
          </w:p>
        </w:tc>
        <w:tc>
          <w:tcPr>
            <w:tcW w:w="907" w:type="dxa"/>
          </w:tcPr>
          <w:p w14:paraId="34E6F69C" w14:textId="47CE123A" w:rsidR="003E1885" w:rsidRPr="0045291C" w:rsidRDefault="00C275DC"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13</w:t>
            </w:r>
          </w:p>
        </w:tc>
        <w:tc>
          <w:tcPr>
            <w:tcW w:w="907" w:type="dxa"/>
          </w:tcPr>
          <w:p w14:paraId="28AB2903" w14:textId="7BC7325E" w:rsidR="003E1885" w:rsidRPr="0045291C" w:rsidRDefault="00C275DC"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1</w:t>
            </w:r>
            <w:r w:rsidR="004739CF">
              <w:rPr>
                <w:rFonts w:eastAsia="Times New Roman" w:cs="Arial"/>
                <w:color w:val="333333"/>
                <w:sz w:val="20"/>
                <w:szCs w:val="20"/>
                <w:lang w:val="en-NZ" w:eastAsia="en-NZ"/>
              </w:rPr>
              <w:t>6</w:t>
            </w:r>
            <w:r>
              <w:rPr>
                <w:rFonts w:eastAsia="Times New Roman" w:cs="Arial"/>
                <w:color w:val="333333"/>
                <w:sz w:val="20"/>
                <w:szCs w:val="20"/>
                <w:lang w:val="en-NZ" w:eastAsia="en-NZ"/>
              </w:rPr>
              <w:t>%</w:t>
            </w:r>
          </w:p>
        </w:tc>
      </w:tr>
      <w:tr w:rsidR="008C015F" w:rsidRPr="00361FCC" w14:paraId="1EF52B59" w14:textId="77777777" w:rsidTr="00CF2F10">
        <w:trPr>
          <w:trHeight w:val="283"/>
        </w:trPr>
        <w:tc>
          <w:tcPr>
            <w:cnfStyle w:val="001000000000" w:firstRow="0" w:lastRow="0" w:firstColumn="1" w:lastColumn="0" w:oddVBand="0" w:evenVBand="0" w:oddHBand="0" w:evenHBand="0" w:firstRowFirstColumn="0" w:firstRowLastColumn="0" w:lastRowFirstColumn="0" w:lastRowLastColumn="0"/>
            <w:tcW w:w="7824" w:type="dxa"/>
          </w:tcPr>
          <w:p w14:paraId="7D82C8FC" w14:textId="581CB926" w:rsidR="008C015F" w:rsidRPr="008C7F26" w:rsidRDefault="008C015F" w:rsidP="00DB4491">
            <w:pPr>
              <w:spacing w:before="40" w:after="40"/>
              <w:rPr>
                <w:rFonts w:eastAsia="Times New Roman" w:cs="Arial"/>
                <w:b w:val="0"/>
                <w:sz w:val="20"/>
                <w:szCs w:val="20"/>
                <w:lang w:val="en-NZ" w:eastAsia="en-NZ"/>
              </w:rPr>
            </w:pPr>
            <w:r w:rsidRPr="008C7F26">
              <w:rPr>
                <w:rFonts w:eastAsia="Times New Roman" w:cs="Arial"/>
                <w:b w:val="0"/>
                <w:color w:val="333333"/>
                <w:sz w:val="20"/>
                <w:szCs w:val="20"/>
                <w:lang w:val="en-NZ" w:eastAsia="en-NZ"/>
              </w:rPr>
              <w:t>Disabled people</w:t>
            </w:r>
          </w:p>
        </w:tc>
        <w:tc>
          <w:tcPr>
            <w:tcW w:w="907" w:type="dxa"/>
          </w:tcPr>
          <w:p w14:paraId="4083E1F3" w14:textId="7A675445" w:rsidR="008C015F" w:rsidRPr="0045291C" w:rsidRDefault="00C275DC"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14</w:t>
            </w:r>
          </w:p>
        </w:tc>
        <w:tc>
          <w:tcPr>
            <w:tcW w:w="907" w:type="dxa"/>
            <w:noWrap/>
          </w:tcPr>
          <w:p w14:paraId="016F1E97" w14:textId="07E43EAB" w:rsidR="008C015F" w:rsidRPr="0045291C" w:rsidRDefault="00C275DC"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1</w:t>
            </w:r>
            <w:r w:rsidR="004739CF">
              <w:rPr>
                <w:rFonts w:eastAsia="Times New Roman" w:cs="Arial"/>
                <w:color w:val="333333"/>
                <w:sz w:val="20"/>
                <w:szCs w:val="20"/>
                <w:lang w:val="en-NZ" w:eastAsia="en-NZ"/>
              </w:rPr>
              <w:t>8</w:t>
            </w:r>
            <w:r>
              <w:rPr>
                <w:rFonts w:eastAsia="Times New Roman" w:cs="Arial"/>
                <w:color w:val="333333"/>
                <w:sz w:val="20"/>
                <w:szCs w:val="20"/>
                <w:lang w:val="en-NZ" w:eastAsia="en-NZ"/>
              </w:rPr>
              <w:t>%</w:t>
            </w:r>
          </w:p>
        </w:tc>
      </w:tr>
      <w:tr w:rsidR="008C015F" w:rsidRPr="00361FCC" w14:paraId="37D86BFB" w14:textId="77777777" w:rsidTr="00CF2F10">
        <w:trPr>
          <w:trHeight w:val="283"/>
        </w:trPr>
        <w:tc>
          <w:tcPr>
            <w:cnfStyle w:val="001000000000" w:firstRow="0" w:lastRow="0" w:firstColumn="1" w:lastColumn="0" w:oddVBand="0" w:evenVBand="0" w:oddHBand="0" w:evenHBand="0" w:firstRowFirstColumn="0" w:firstRowLastColumn="0" w:lastRowFirstColumn="0" w:lastRowLastColumn="0"/>
            <w:tcW w:w="7824" w:type="dxa"/>
          </w:tcPr>
          <w:p w14:paraId="5057B98F" w14:textId="60F7C463" w:rsidR="008C015F" w:rsidRPr="008C7F26" w:rsidRDefault="008C015F" w:rsidP="00DB4491">
            <w:pPr>
              <w:spacing w:before="40" w:after="40"/>
              <w:rPr>
                <w:rFonts w:eastAsia="Times New Roman" w:cs="Arial"/>
                <w:b w:val="0"/>
                <w:sz w:val="20"/>
                <w:szCs w:val="20"/>
                <w:lang w:val="en-NZ" w:eastAsia="en-NZ"/>
              </w:rPr>
            </w:pPr>
            <w:r w:rsidRPr="008C7F26">
              <w:rPr>
                <w:rFonts w:eastAsia="Times New Roman" w:cs="Arial"/>
                <w:b w:val="0"/>
                <w:color w:val="333333"/>
                <w:sz w:val="20"/>
                <w:szCs w:val="20"/>
                <w:lang w:val="en-NZ" w:eastAsia="en-NZ"/>
              </w:rPr>
              <w:t>Prisoners</w:t>
            </w:r>
          </w:p>
        </w:tc>
        <w:tc>
          <w:tcPr>
            <w:tcW w:w="907" w:type="dxa"/>
          </w:tcPr>
          <w:p w14:paraId="5283D262" w14:textId="40794F50" w:rsidR="008C015F" w:rsidRPr="0045291C" w:rsidRDefault="00C275DC"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8</w:t>
            </w:r>
          </w:p>
        </w:tc>
        <w:tc>
          <w:tcPr>
            <w:tcW w:w="907" w:type="dxa"/>
            <w:noWrap/>
          </w:tcPr>
          <w:p w14:paraId="3E8CBA6B" w14:textId="17C40166" w:rsidR="008C015F" w:rsidRPr="0045291C" w:rsidRDefault="004739CF"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10</w:t>
            </w:r>
            <w:r w:rsidR="00C275DC">
              <w:rPr>
                <w:rFonts w:eastAsia="Times New Roman" w:cs="Arial"/>
                <w:color w:val="333333"/>
                <w:sz w:val="20"/>
                <w:szCs w:val="20"/>
                <w:lang w:val="en-NZ" w:eastAsia="en-NZ"/>
              </w:rPr>
              <w:t>%</w:t>
            </w:r>
          </w:p>
        </w:tc>
      </w:tr>
      <w:tr w:rsidR="008C015F" w:rsidRPr="00361FCC" w14:paraId="6FB2CD71" w14:textId="77777777" w:rsidTr="00CF2F10">
        <w:trPr>
          <w:trHeight w:val="283"/>
        </w:trPr>
        <w:tc>
          <w:tcPr>
            <w:cnfStyle w:val="001000000000" w:firstRow="0" w:lastRow="0" w:firstColumn="1" w:lastColumn="0" w:oddVBand="0" w:evenVBand="0" w:oddHBand="0" w:evenHBand="0" w:firstRowFirstColumn="0" w:firstRowLastColumn="0" w:lastRowFirstColumn="0" w:lastRowLastColumn="0"/>
            <w:tcW w:w="7824" w:type="dxa"/>
          </w:tcPr>
          <w:p w14:paraId="182977B3" w14:textId="1C360526" w:rsidR="008C015F" w:rsidRPr="008C7F26" w:rsidRDefault="008C015F" w:rsidP="00DB4491">
            <w:pPr>
              <w:spacing w:before="40" w:after="40"/>
              <w:rPr>
                <w:rFonts w:eastAsia="Times New Roman" w:cs="Arial"/>
                <w:b w:val="0"/>
                <w:sz w:val="20"/>
                <w:szCs w:val="20"/>
                <w:lang w:val="en-NZ" w:eastAsia="en-NZ"/>
              </w:rPr>
            </w:pPr>
            <w:r w:rsidRPr="008C7F26">
              <w:rPr>
                <w:rFonts w:eastAsia="Times New Roman" w:cs="Arial"/>
                <w:b w:val="0"/>
                <w:color w:val="333333"/>
                <w:sz w:val="20"/>
                <w:szCs w:val="20"/>
                <w:lang w:val="en-NZ" w:eastAsia="en-NZ"/>
              </w:rPr>
              <w:t>Older people</w:t>
            </w:r>
          </w:p>
        </w:tc>
        <w:tc>
          <w:tcPr>
            <w:tcW w:w="907" w:type="dxa"/>
          </w:tcPr>
          <w:p w14:paraId="5050377B" w14:textId="1996DDD5" w:rsidR="008C015F" w:rsidRPr="0045291C" w:rsidRDefault="00C275DC"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19</w:t>
            </w:r>
          </w:p>
        </w:tc>
        <w:tc>
          <w:tcPr>
            <w:tcW w:w="907" w:type="dxa"/>
            <w:noWrap/>
          </w:tcPr>
          <w:p w14:paraId="04B35AE6" w14:textId="387246C9" w:rsidR="008C015F" w:rsidRPr="0045291C" w:rsidRDefault="00C275DC"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2</w:t>
            </w:r>
            <w:r w:rsidR="004739CF">
              <w:rPr>
                <w:rFonts w:eastAsia="Times New Roman" w:cs="Arial"/>
                <w:color w:val="333333"/>
                <w:sz w:val="20"/>
                <w:szCs w:val="20"/>
                <w:lang w:val="en-NZ" w:eastAsia="en-NZ"/>
              </w:rPr>
              <w:t>4</w:t>
            </w:r>
            <w:r>
              <w:rPr>
                <w:rFonts w:eastAsia="Times New Roman" w:cs="Arial"/>
                <w:color w:val="333333"/>
                <w:sz w:val="20"/>
                <w:szCs w:val="20"/>
                <w:lang w:val="en-NZ" w:eastAsia="en-NZ"/>
              </w:rPr>
              <w:t>%</w:t>
            </w:r>
          </w:p>
        </w:tc>
      </w:tr>
      <w:tr w:rsidR="008C015F" w:rsidRPr="00361FCC" w14:paraId="0E34F70D" w14:textId="77777777" w:rsidTr="00CF2F10">
        <w:trPr>
          <w:trHeight w:val="283"/>
        </w:trPr>
        <w:tc>
          <w:tcPr>
            <w:cnfStyle w:val="001000000000" w:firstRow="0" w:lastRow="0" w:firstColumn="1" w:lastColumn="0" w:oddVBand="0" w:evenVBand="0" w:oddHBand="0" w:evenHBand="0" w:firstRowFirstColumn="0" w:firstRowLastColumn="0" w:lastRowFirstColumn="0" w:lastRowLastColumn="0"/>
            <w:tcW w:w="7824" w:type="dxa"/>
          </w:tcPr>
          <w:p w14:paraId="70B60306" w14:textId="5F704DF5" w:rsidR="008C015F" w:rsidRPr="008C7F26" w:rsidRDefault="008C015F" w:rsidP="00DB4491">
            <w:pPr>
              <w:spacing w:before="40" w:after="40"/>
              <w:rPr>
                <w:rFonts w:eastAsia="Times New Roman" w:cs="Arial"/>
                <w:b w:val="0"/>
                <w:sz w:val="20"/>
                <w:szCs w:val="20"/>
                <w:lang w:val="en-NZ" w:eastAsia="en-NZ"/>
              </w:rPr>
            </w:pPr>
            <w:r w:rsidRPr="008C7F26">
              <w:rPr>
                <w:rFonts w:eastAsia="Times New Roman" w:cs="Arial"/>
                <w:b w:val="0"/>
                <w:color w:val="333333"/>
                <w:sz w:val="20"/>
                <w:szCs w:val="20"/>
                <w:lang w:val="en-NZ" w:eastAsia="en-NZ"/>
              </w:rPr>
              <w:t>Children in state care</w:t>
            </w:r>
          </w:p>
        </w:tc>
        <w:tc>
          <w:tcPr>
            <w:tcW w:w="907" w:type="dxa"/>
          </w:tcPr>
          <w:p w14:paraId="27ABE687" w14:textId="2CAC2254" w:rsidR="008C015F" w:rsidRPr="0045291C" w:rsidRDefault="00C275DC"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9</w:t>
            </w:r>
          </w:p>
        </w:tc>
        <w:tc>
          <w:tcPr>
            <w:tcW w:w="907" w:type="dxa"/>
            <w:noWrap/>
          </w:tcPr>
          <w:p w14:paraId="3980687B" w14:textId="43825D49" w:rsidR="008C015F" w:rsidRPr="0045291C" w:rsidRDefault="00C275DC"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1</w:t>
            </w:r>
            <w:r w:rsidR="004739CF">
              <w:rPr>
                <w:rFonts w:eastAsia="Times New Roman" w:cs="Arial"/>
                <w:color w:val="333333"/>
                <w:sz w:val="20"/>
                <w:szCs w:val="20"/>
                <w:lang w:val="en-NZ" w:eastAsia="en-NZ"/>
              </w:rPr>
              <w:t>1</w:t>
            </w:r>
            <w:r>
              <w:rPr>
                <w:rFonts w:eastAsia="Times New Roman" w:cs="Arial"/>
                <w:color w:val="333333"/>
                <w:sz w:val="20"/>
                <w:szCs w:val="20"/>
                <w:lang w:val="en-NZ" w:eastAsia="en-NZ"/>
              </w:rPr>
              <w:t>%</w:t>
            </w:r>
          </w:p>
        </w:tc>
      </w:tr>
      <w:tr w:rsidR="008C015F" w:rsidRPr="00361FCC" w14:paraId="2726D143" w14:textId="77777777" w:rsidTr="00CF2F10">
        <w:trPr>
          <w:trHeight w:val="283"/>
        </w:trPr>
        <w:tc>
          <w:tcPr>
            <w:cnfStyle w:val="001000000000" w:firstRow="0" w:lastRow="0" w:firstColumn="1" w:lastColumn="0" w:oddVBand="0" w:evenVBand="0" w:oddHBand="0" w:evenHBand="0" w:firstRowFirstColumn="0" w:firstRowLastColumn="0" w:lastRowFirstColumn="0" w:lastRowLastColumn="0"/>
            <w:tcW w:w="7824" w:type="dxa"/>
          </w:tcPr>
          <w:p w14:paraId="1EA1EE16" w14:textId="726B90F5" w:rsidR="008C015F" w:rsidRPr="008C7F26" w:rsidRDefault="008C015F" w:rsidP="00DB4491">
            <w:pPr>
              <w:spacing w:before="40" w:after="40"/>
              <w:rPr>
                <w:rFonts w:eastAsia="Times New Roman" w:cs="Arial"/>
                <w:b w:val="0"/>
                <w:sz w:val="20"/>
                <w:szCs w:val="20"/>
                <w:lang w:val="en-NZ" w:eastAsia="en-NZ"/>
              </w:rPr>
            </w:pPr>
            <w:r w:rsidRPr="008C7F26">
              <w:rPr>
                <w:rFonts w:eastAsia="Times New Roman" w:cs="Arial"/>
                <w:b w:val="0"/>
                <w:color w:val="333333"/>
                <w:sz w:val="20"/>
                <w:szCs w:val="20"/>
                <w:lang w:val="en-NZ" w:eastAsia="en-NZ"/>
              </w:rPr>
              <w:t>People who have experienced adverse childhood events</w:t>
            </w:r>
          </w:p>
        </w:tc>
        <w:tc>
          <w:tcPr>
            <w:tcW w:w="907" w:type="dxa"/>
          </w:tcPr>
          <w:p w14:paraId="16B7C6F0" w14:textId="034A98E7" w:rsidR="008C015F" w:rsidRPr="0045291C" w:rsidRDefault="00C275DC"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32</w:t>
            </w:r>
          </w:p>
        </w:tc>
        <w:tc>
          <w:tcPr>
            <w:tcW w:w="907" w:type="dxa"/>
            <w:noWrap/>
          </w:tcPr>
          <w:p w14:paraId="20F66253" w14:textId="5CE33ECB" w:rsidR="008C015F" w:rsidRPr="0045291C" w:rsidRDefault="004739CF"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40</w:t>
            </w:r>
            <w:r w:rsidR="00C275DC">
              <w:rPr>
                <w:rFonts w:eastAsia="Times New Roman" w:cs="Arial"/>
                <w:color w:val="333333"/>
                <w:sz w:val="20"/>
                <w:szCs w:val="20"/>
                <w:lang w:val="en-NZ" w:eastAsia="en-NZ"/>
              </w:rPr>
              <w:t>%</w:t>
            </w:r>
          </w:p>
        </w:tc>
      </w:tr>
      <w:tr w:rsidR="008C015F" w:rsidRPr="00361FCC" w14:paraId="296EACA4" w14:textId="77777777" w:rsidTr="00CF2F10">
        <w:trPr>
          <w:trHeight w:val="283"/>
        </w:trPr>
        <w:tc>
          <w:tcPr>
            <w:cnfStyle w:val="001000000000" w:firstRow="0" w:lastRow="0" w:firstColumn="1" w:lastColumn="0" w:oddVBand="0" w:evenVBand="0" w:oddHBand="0" w:evenHBand="0" w:firstRowFirstColumn="0" w:firstRowLastColumn="0" w:lastRowFirstColumn="0" w:lastRowLastColumn="0"/>
            <w:tcW w:w="7824" w:type="dxa"/>
          </w:tcPr>
          <w:p w14:paraId="6FF7DE98" w14:textId="53FBD6BD" w:rsidR="008C015F" w:rsidRPr="008C7F26" w:rsidRDefault="008C015F" w:rsidP="00DB4491">
            <w:pPr>
              <w:spacing w:before="40" w:after="40"/>
              <w:rPr>
                <w:rFonts w:eastAsia="Times New Roman" w:cs="Arial"/>
                <w:b w:val="0"/>
                <w:sz w:val="20"/>
                <w:szCs w:val="20"/>
                <w:lang w:val="en-NZ" w:eastAsia="en-NZ"/>
              </w:rPr>
            </w:pPr>
            <w:r w:rsidRPr="008C7F26">
              <w:rPr>
                <w:rFonts w:eastAsia="Times New Roman" w:cs="Arial"/>
                <w:b w:val="0"/>
                <w:color w:val="333333"/>
                <w:sz w:val="20"/>
                <w:szCs w:val="20"/>
                <w:lang w:val="en-NZ" w:eastAsia="en-NZ"/>
              </w:rPr>
              <w:t>Other</w:t>
            </w:r>
            <w:r w:rsidR="00702203">
              <w:rPr>
                <w:rFonts w:eastAsia="Times New Roman" w:cs="Arial"/>
                <w:b w:val="0"/>
                <w:color w:val="333333"/>
                <w:sz w:val="20"/>
                <w:szCs w:val="20"/>
                <w:lang w:val="en-NZ" w:eastAsia="en-NZ"/>
              </w:rPr>
              <w:t>*</w:t>
            </w:r>
          </w:p>
        </w:tc>
        <w:tc>
          <w:tcPr>
            <w:tcW w:w="907" w:type="dxa"/>
          </w:tcPr>
          <w:p w14:paraId="25AC6C40" w14:textId="4CC97A50" w:rsidR="008C015F" w:rsidRPr="0045291C" w:rsidRDefault="00C275DC"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24</w:t>
            </w:r>
          </w:p>
        </w:tc>
        <w:tc>
          <w:tcPr>
            <w:tcW w:w="907" w:type="dxa"/>
            <w:noWrap/>
          </w:tcPr>
          <w:p w14:paraId="1736B948" w14:textId="29EB95AE" w:rsidR="008C015F" w:rsidRPr="0045291C" w:rsidRDefault="004739CF"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30</w:t>
            </w:r>
            <w:r w:rsidR="00C275DC">
              <w:rPr>
                <w:rFonts w:eastAsia="Times New Roman" w:cs="Arial"/>
                <w:color w:val="333333"/>
                <w:sz w:val="20"/>
                <w:szCs w:val="20"/>
                <w:lang w:val="en-NZ" w:eastAsia="en-NZ"/>
              </w:rPr>
              <w:t>%</w:t>
            </w:r>
          </w:p>
        </w:tc>
      </w:tr>
      <w:tr w:rsidR="001A4023" w:rsidRPr="00361FCC" w14:paraId="2CB80155" w14:textId="77777777" w:rsidTr="00CF2F10">
        <w:trPr>
          <w:trHeight w:val="283"/>
        </w:trPr>
        <w:tc>
          <w:tcPr>
            <w:cnfStyle w:val="001000000000" w:firstRow="0" w:lastRow="0" w:firstColumn="1" w:lastColumn="0" w:oddVBand="0" w:evenVBand="0" w:oddHBand="0" w:evenHBand="0" w:firstRowFirstColumn="0" w:firstRowLastColumn="0" w:lastRowFirstColumn="0" w:lastRowLastColumn="0"/>
            <w:tcW w:w="7824" w:type="dxa"/>
          </w:tcPr>
          <w:p w14:paraId="3200E49B" w14:textId="5645106E" w:rsidR="001A4023" w:rsidRPr="00C5765C" w:rsidRDefault="001A4023" w:rsidP="00DB4491">
            <w:pPr>
              <w:spacing w:before="40" w:after="40"/>
              <w:rPr>
                <w:rFonts w:eastAsia="Times New Roman" w:cs="Arial"/>
                <w:color w:val="333333"/>
                <w:sz w:val="20"/>
                <w:szCs w:val="20"/>
                <w:lang w:val="en-NZ" w:eastAsia="en-NZ"/>
              </w:rPr>
            </w:pPr>
            <w:r w:rsidRPr="00C5765C">
              <w:rPr>
                <w:rFonts w:eastAsia="Times New Roman" w:cs="Arial"/>
                <w:color w:val="333333"/>
                <w:sz w:val="20"/>
                <w:szCs w:val="20"/>
                <w:lang w:val="en-NZ" w:eastAsia="en-NZ"/>
              </w:rPr>
              <w:t>Total</w:t>
            </w:r>
          </w:p>
        </w:tc>
        <w:tc>
          <w:tcPr>
            <w:tcW w:w="907" w:type="dxa"/>
          </w:tcPr>
          <w:p w14:paraId="674EDCC2" w14:textId="7DE59C37" w:rsidR="001A4023" w:rsidRPr="00C5765C" w:rsidRDefault="00C5765C"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333333"/>
                <w:sz w:val="20"/>
                <w:szCs w:val="20"/>
                <w:lang w:val="en-NZ" w:eastAsia="en-NZ"/>
              </w:rPr>
            </w:pPr>
            <w:r w:rsidRPr="00C5765C">
              <w:rPr>
                <w:rFonts w:eastAsia="Times New Roman" w:cs="Arial"/>
                <w:b/>
                <w:color w:val="333333"/>
                <w:sz w:val="20"/>
                <w:szCs w:val="20"/>
                <w:lang w:val="en-NZ" w:eastAsia="en-NZ"/>
              </w:rPr>
              <w:t>8</w:t>
            </w:r>
            <w:r>
              <w:rPr>
                <w:rFonts w:eastAsia="Times New Roman" w:cs="Arial"/>
                <w:b/>
                <w:color w:val="333333"/>
                <w:sz w:val="20"/>
                <w:szCs w:val="20"/>
                <w:lang w:val="en-NZ" w:eastAsia="en-NZ"/>
              </w:rPr>
              <w:t>0</w:t>
            </w:r>
          </w:p>
        </w:tc>
        <w:tc>
          <w:tcPr>
            <w:tcW w:w="907" w:type="dxa"/>
            <w:noWrap/>
          </w:tcPr>
          <w:p w14:paraId="5777DF22" w14:textId="2788D2AF" w:rsidR="001A4023" w:rsidRPr="00C5765C" w:rsidRDefault="00C5765C"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333333"/>
                <w:sz w:val="20"/>
                <w:szCs w:val="20"/>
                <w:lang w:val="en-NZ" w:eastAsia="en-NZ"/>
              </w:rPr>
            </w:pPr>
            <w:r w:rsidRPr="00C5765C">
              <w:rPr>
                <w:rFonts w:eastAsia="Times New Roman" w:cs="Arial"/>
                <w:b/>
                <w:color w:val="333333"/>
                <w:sz w:val="20"/>
                <w:szCs w:val="20"/>
                <w:lang w:val="en-NZ" w:eastAsia="en-NZ"/>
              </w:rPr>
              <w:t>100%</w:t>
            </w:r>
          </w:p>
        </w:tc>
      </w:tr>
    </w:tbl>
    <w:p w14:paraId="0D04921D" w14:textId="77777777" w:rsidR="00FE3520" w:rsidRDefault="00702203" w:rsidP="00A56A58">
      <w:pPr>
        <w:rPr>
          <w:rFonts w:cs="Arial"/>
          <w:color w:val="000000" w:themeColor="text1"/>
          <w:sz w:val="20"/>
          <w:szCs w:val="20"/>
          <w:lang w:val="en-NZ"/>
        </w:rPr>
      </w:pPr>
      <w:r w:rsidRPr="007E043C">
        <w:rPr>
          <w:rFonts w:cs="Arial"/>
          <w:color w:val="000000" w:themeColor="text1"/>
          <w:sz w:val="20"/>
          <w:szCs w:val="20"/>
          <w:lang w:val="en-NZ"/>
        </w:rPr>
        <w:t xml:space="preserve">* </w:t>
      </w:r>
      <w:r w:rsidR="00EC169C" w:rsidRPr="007E043C">
        <w:rPr>
          <w:rFonts w:cs="Arial"/>
          <w:color w:val="000000" w:themeColor="text1"/>
          <w:sz w:val="20"/>
          <w:szCs w:val="20"/>
          <w:lang w:val="en-NZ"/>
        </w:rPr>
        <w:t>Respondents specify</w:t>
      </w:r>
      <w:r w:rsidR="00D47C81" w:rsidRPr="007E043C">
        <w:rPr>
          <w:rFonts w:cs="Arial"/>
          <w:color w:val="000000" w:themeColor="text1"/>
          <w:sz w:val="20"/>
          <w:szCs w:val="20"/>
          <w:lang w:val="en-NZ"/>
        </w:rPr>
        <w:t>ing o</w:t>
      </w:r>
      <w:r w:rsidR="00EC169C" w:rsidRPr="007E043C">
        <w:rPr>
          <w:rFonts w:cs="Arial"/>
          <w:color w:val="000000" w:themeColor="text1"/>
          <w:sz w:val="20"/>
          <w:szCs w:val="20"/>
          <w:lang w:val="en-NZ"/>
        </w:rPr>
        <w:t>ther</w:t>
      </w:r>
      <w:r w:rsidR="00A56A58" w:rsidRPr="007E043C">
        <w:rPr>
          <w:rFonts w:cs="Arial"/>
          <w:color w:val="000000" w:themeColor="text1"/>
          <w:sz w:val="20"/>
          <w:szCs w:val="20"/>
          <w:lang w:val="en-NZ"/>
        </w:rPr>
        <w:t xml:space="preserve"> were</w:t>
      </w:r>
      <w:r w:rsidR="00EC169C" w:rsidRPr="007E043C">
        <w:rPr>
          <w:rFonts w:cs="Arial"/>
          <w:color w:val="000000" w:themeColor="text1"/>
          <w:sz w:val="20"/>
          <w:szCs w:val="20"/>
          <w:lang w:val="en-NZ"/>
        </w:rPr>
        <w:t xml:space="preserve"> </w:t>
      </w:r>
      <w:r w:rsidR="00AE2CE7" w:rsidRPr="007E043C">
        <w:rPr>
          <w:rFonts w:cs="Arial"/>
          <w:color w:val="000000" w:themeColor="text1"/>
          <w:sz w:val="20"/>
          <w:szCs w:val="20"/>
          <w:lang w:val="en-NZ"/>
        </w:rPr>
        <w:t>h</w:t>
      </w:r>
      <w:r w:rsidR="00D47C81" w:rsidRPr="007E043C">
        <w:rPr>
          <w:rFonts w:cs="Arial"/>
          <w:color w:val="000000" w:themeColor="text1"/>
          <w:sz w:val="20"/>
          <w:szCs w:val="20"/>
          <w:lang w:val="en-NZ"/>
        </w:rPr>
        <w:t>ealth professionals</w:t>
      </w:r>
      <w:r w:rsidR="00A27FC7" w:rsidRPr="007E043C">
        <w:rPr>
          <w:rFonts w:cs="Arial"/>
          <w:color w:val="000000" w:themeColor="text1"/>
          <w:sz w:val="20"/>
          <w:szCs w:val="20"/>
          <w:lang w:val="en-NZ"/>
        </w:rPr>
        <w:t xml:space="preserve"> such as </w:t>
      </w:r>
      <w:r w:rsidR="00D47C81" w:rsidRPr="007E043C">
        <w:rPr>
          <w:rFonts w:cs="Arial"/>
          <w:color w:val="000000" w:themeColor="text1"/>
          <w:sz w:val="20"/>
          <w:szCs w:val="20"/>
          <w:lang w:val="en-NZ"/>
        </w:rPr>
        <w:t>clinical psychologists</w:t>
      </w:r>
      <w:r w:rsidR="00F25B4A" w:rsidRPr="007E043C">
        <w:rPr>
          <w:rFonts w:cs="Arial"/>
          <w:color w:val="000000" w:themeColor="text1"/>
          <w:sz w:val="20"/>
          <w:szCs w:val="20"/>
          <w:lang w:val="en-NZ"/>
        </w:rPr>
        <w:t xml:space="preserve"> and</w:t>
      </w:r>
      <w:r w:rsidR="00D47C81" w:rsidRPr="007E043C">
        <w:rPr>
          <w:rFonts w:cs="Arial"/>
          <w:color w:val="000000" w:themeColor="text1"/>
          <w:sz w:val="20"/>
          <w:szCs w:val="20"/>
          <w:lang w:val="en-NZ"/>
        </w:rPr>
        <w:t xml:space="preserve"> </w:t>
      </w:r>
      <w:r w:rsidR="00E254F2" w:rsidRPr="007E043C">
        <w:rPr>
          <w:rFonts w:cs="Arial"/>
          <w:color w:val="000000" w:themeColor="text1"/>
          <w:sz w:val="20"/>
          <w:szCs w:val="20"/>
          <w:lang w:val="en-NZ"/>
        </w:rPr>
        <w:t>GP</w:t>
      </w:r>
      <w:r w:rsidR="00AE2CE7" w:rsidRPr="007E043C">
        <w:rPr>
          <w:rFonts w:cs="Arial"/>
          <w:color w:val="000000" w:themeColor="text1"/>
          <w:sz w:val="20"/>
          <w:szCs w:val="20"/>
          <w:lang w:val="en-NZ"/>
        </w:rPr>
        <w:t>s</w:t>
      </w:r>
      <w:r w:rsidR="00E254F2" w:rsidRPr="007E043C">
        <w:rPr>
          <w:rFonts w:cs="Arial"/>
          <w:color w:val="000000" w:themeColor="text1"/>
          <w:sz w:val="20"/>
          <w:szCs w:val="20"/>
          <w:lang w:val="en-NZ"/>
        </w:rPr>
        <w:t xml:space="preserve"> includ</w:t>
      </w:r>
      <w:r w:rsidR="009F215A" w:rsidRPr="007E043C">
        <w:rPr>
          <w:rFonts w:cs="Arial"/>
          <w:color w:val="000000" w:themeColor="text1"/>
          <w:sz w:val="20"/>
          <w:szCs w:val="20"/>
          <w:lang w:val="en-NZ"/>
        </w:rPr>
        <w:t>in</w:t>
      </w:r>
      <w:r w:rsidR="00E254F2" w:rsidRPr="007E043C">
        <w:rPr>
          <w:rFonts w:cs="Arial"/>
          <w:color w:val="000000" w:themeColor="text1"/>
          <w:sz w:val="20"/>
          <w:szCs w:val="20"/>
          <w:lang w:val="en-NZ"/>
        </w:rPr>
        <w:t>g</w:t>
      </w:r>
      <w:r w:rsidR="009F215A" w:rsidRPr="007E043C">
        <w:rPr>
          <w:rFonts w:cs="Arial"/>
          <w:color w:val="000000" w:themeColor="text1"/>
          <w:sz w:val="20"/>
          <w:szCs w:val="20"/>
          <w:lang w:val="en-NZ"/>
        </w:rPr>
        <w:t xml:space="preserve"> </w:t>
      </w:r>
      <w:r w:rsidR="00E254F2" w:rsidRPr="007E043C">
        <w:rPr>
          <w:rFonts w:cs="Arial"/>
          <w:color w:val="000000" w:themeColor="text1"/>
          <w:sz w:val="20"/>
          <w:szCs w:val="20"/>
          <w:lang w:val="en-NZ"/>
        </w:rPr>
        <w:t xml:space="preserve">those working </w:t>
      </w:r>
      <w:r w:rsidR="00F25B4A" w:rsidRPr="007E043C">
        <w:rPr>
          <w:rFonts w:cs="Arial"/>
          <w:color w:val="000000" w:themeColor="text1"/>
          <w:sz w:val="20"/>
          <w:szCs w:val="20"/>
          <w:lang w:val="en-NZ"/>
        </w:rPr>
        <w:t>in</w:t>
      </w:r>
      <w:r w:rsidR="00D47C81" w:rsidRPr="007E043C">
        <w:rPr>
          <w:rFonts w:cs="Arial"/>
          <w:color w:val="000000" w:themeColor="text1"/>
          <w:sz w:val="20"/>
          <w:szCs w:val="20"/>
          <w:lang w:val="en-NZ"/>
        </w:rPr>
        <w:t xml:space="preserve"> primary mental health care</w:t>
      </w:r>
      <w:r w:rsidR="009F215A" w:rsidRPr="007E043C">
        <w:rPr>
          <w:rFonts w:cs="Arial"/>
          <w:color w:val="000000" w:themeColor="text1"/>
          <w:sz w:val="20"/>
          <w:szCs w:val="20"/>
          <w:lang w:val="en-NZ"/>
        </w:rPr>
        <w:t>; p</w:t>
      </w:r>
      <w:r w:rsidR="00EB1225" w:rsidRPr="007E043C">
        <w:rPr>
          <w:rFonts w:cs="Arial"/>
          <w:color w:val="000000" w:themeColor="text1"/>
          <w:sz w:val="20"/>
          <w:szCs w:val="20"/>
          <w:lang w:val="en-NZ"/>
        </w:rPr>
        <w:t xml:space="preserve">eople working in </w:t>
      </w:r>
      <w:r w:rsidR="00E254F2" w:rsidRPr="007E043C">
        <w:rPr>
          <w:rFonts w:cs="Arial"/>
          <w:color w:val="000000" w:themeColor="text1"/>
          <w:sz w:val="20"/>
          <w:szCs w:val="20"/>
          <w:lang w:val="en-NZ"/>
        </w:rPr>
        <w:t xml:space="preserve">Māori health research, </w:t>
      </w:r>
      <w:r w:rsidR="00D47C81" w:rsidRPr="007E043C">
        <w:rPr>
          <w:rFonts w:cs="Arial"/>
          <w:color w:val="000000" w:themeColor="text1"/>
          <w:sz w:val="20"/>
          <w:szCs w:val="20"/>
          <w:lang w:val="en-NZ"/>
        </w:rPr>
        <w:t>Māori health planning and funding</w:t>
      </w:r>
      <w:r w:rsidR="00EB1225" w:rsidRPr="007E043C">
        <w:rPr>
          <w:rFonts w:cs="Arial"/>
          <w:color w:val="000000" w:themeColor="text1"/>
          <w:sz w:val="20"/>
          <w:szCs w:val="20"/>
          <w:lang w:val="en-NZ"/>
        </w:rPr>
        <w:t xml:space="preserve">, </w:t>
      </w:r>
      <w:r w:rsidR="00E254F2" w:rsidRPr="007E043C">
        <w:rPr>
          <w:rFonts w:cs="Arial"/>
          <w:color w:val="000000" w:themeColor="text1"/>
          <w:sz w:val="20"/>
          <w:szCs w:val="20"/>
          <w:lang w:val="en-NZ"/>
        </w:rPr>
        <w:t>and those in c</w:t>
      </w:r>
      <w:r w:rsidR="00EB1225" w:rsidRPr="007E043C">
        <w:rPr>
          <w:rFonts w:cs="Arial"/>
          <w:color w:val="000000" w:themeColor="text1"/>
          <w:sz w:val="20"/>
          <w:szCs w:val="20"/>
          <w:lang w:val="en-NZ"/>
        </w:rPr>
        <w:t>linical and managerial roles in mental health and addiction services</w:t>
      </w:r>
      <w:r w:rsidR="009F215A" w:rsidRPr="007E043C">
        <w:rPr>
          <w:rFonts w:cs="Arial"/>
          <w:color w:val="000000" w:themeColor="text1"/>
          <w:sz w:val="20"/>
          <w:szCs w:val="20"/>
          <w:lang w:val="en-NZ"/>
        </w:rPr>
        <w:t>; a</w:t>
      </w:r>
      <w:r w:rsidR="00E254F2" w:rsidRPr="007E043C">
        <w:rPr>
          <w:rFonts w:cs="Arial"/>
          <w:color w:val="000000" w:themeColor="text1"/>
          <w:sz w:val="20"/>
          <w:szCs w:val="20"/>
          <w:lang w:val="en-NZ"/>
        </w:rPr>
        <w:t>dvocates for p</w:t>
      </w:r>
      <w:r w:rsidR="00D47C81" w:rsidRPr="007E043C">
        <w:rPr>
          <w:rFonts w:cs="Arial"/>
          <w:color w:val="000000" w:themeColor="text1"/>
          <w:sz w:val="20"/>
          <w:szCs w:val="20"/>
          <w:lang w:val="en-NZ"/>
        </w:rPr>
        <w:t>ēpi, tamariki and their whānau/families</w:t>
      </w:r>
      <w:r w:rsidR="00E254F2" w:rsidRPr="007E043C">
        <w:rPr>
          <w:rFonts w:cs="Arial"/>
          <w:color w:val="000000" w:themeColor="text1"/>
          <w:sz w:val="20"/>
          <w:szCs w:val="20"/>
          <w:lang w:val="en-NZ"/>
        </w:rPr>
        <w:t xml:space="preserve">, and </w:t>
      </w:r>
      <w:r w:rsidR="00F25B4A" w:rsidRPr="007E043C">
        <w:rPr>
          <w:rFonts w:cs="Arial"/>
          <w:color w:val="000000" w:themeColor="text1"/>
          <w:sz w:val="20"/>
          <w:szCs w:val="20"/>
          <w:lang w:val="en-NZ"/>
        </w:rPr>
        <w:t xml:space="preserve">advocates </w:t>
      </w:r>
      <w:r w:rsidR="00E254F2" w:rsidRPr="007E043C">
        <w:rPr>
          <w:rFonts w:cs="Arial"/>
          <w:color w:val="000000" w:themeColor="text1"/>
          <w:sz w:val="20"/>
          <w:szCs w:val="20"/>
          <w:lang w:val="en-NZ"/>
        </w:rPr>
        <w:t xml:space="preserve">for </w:t>
      </w:r>
      <w:r w:rsidR="00D47C81" w:rsidRPr="007E043C">
        <w:rPr>
          <w:rFonts w:cs="Arial"/>
          <w:color w:val="000000" w:themeColor="text1"/>
          <w:sz w:val="20"/>
          <w:szCs w:val="20"/>
          <w:lang w:val="en-NZ"/>
        </w:rPr>
        <w:t>survivors of sexual violence and their families and communities</w:t>
      </w:r>
    </w:p>
    <w:p w14:paraId="6B778127" w14:textId="440B9FF7" w:rsidR="001A4023" w:rsidRDefault="001A4023" w:rsidP="001A4023">
      <w:pPr>
        <w:spacing w:after="120" w:line="268" w:lineRule="auto"/>
        <w:rPr>
          <w:lang w:val="en-NZ"/>
        </w:rPr>
      </w:pPr>
      <w:r>
        <w:rPr>
          <w:lang w:val="en-NZ"/>
        </w:rPr>
        <w:t xml:space="preserve">We asked people to specify whether they were submitting their response as individual(s), or on behalf of an advisory group / other group, or on behalf of an organisation. The responses included: </w:t>
      </w:r>
    </w:p>
    <w:p w14:paraId="62A2ACC0" w14:textId="7B2AAAAA" w:rsidR="001A4023" w:rsidRDefault="005F0E24" w:rsidP="001A4023">
      <w:pPr>
        <w:pStyle w:val="ListParagraph"/>
        <w:numPr>
          <w:ilvl w:val="0"/>
          <w:numId w:val="27"/>
        </w:numPr>
        <w:spacing w:line="268" w:lineRule="auto"/>
        <w:rPr>
          <w:lang w:val="en-NZ"/>
        </w:rPr>
      </w:pPr>
      <w:r>
        <w:rPr>
          <w:lang w:val="en-NZ"/>
        </w:rPr>
        <w:t xml:space="preserve">44 </w:t>
      </w:r>
      <w:r w:rsidR="001A4023">
        <w:rPr>
          <w:lang w:val="en-NZ"/>
        </w:rPr>
        <w:t>were from an individual or individuals</w:t>
      </w:r>
    </w:p>
    <w:p w14:paraId="15CA3E0F" w14:textId="2EE247BA" w:rsidR="001A4023" w:rsidRDefault="005F0E24" w:rsidP="001A4023">
      <w:pPr>
        <w:pStyle w:val="ListParagraph"/>
        <w:numPr>
          <w:ilvl w:val="0"/>
          <w:numId w:val="27"/>
        </w:numPr>
        <w:spacing w:line="268" w:lineRule="auto"/>
        <w:rPr>
          <w:lang w:val="en-NZ"/>
        </w:rPr>
      </w:pPr>
      <w:r>
        <w:rPr>
          <w:lang w:val="en-NZ"/>
        </w:rPr>
        <w:t xml:space="preserve">5 </w:t>
      </w:r>
      <w:r w:rsidR="001A4023">
        <w:rPr>
          <w:lang w:val="en-NZ"/>
        </w:rPr>
        <w:t>were from an advisory group or other group</w:t>
      </w:r>
    </w:p>
    <w:p w14:paraId="0ABB860A" w14:textId="39E669BC" w:rsidR="001A4023" w:rsidRDefault="005F0E24" w:rsidP="001A4023">
      <w:pPr>
        <w:pStyle w:val="ListParagraph"/>
        <w:numPr>
          <w:ilvl w:val="0"/>
          <w:numId w:val="27"/>
        </w:numPr>
        <w:spacing w:line="268" w:lineRule="auto"/>
        <w:rPr>
          <w:lang w:val="en-NZ"/>
        </w:rPr>
      </w:pPr>
      <w:r>
        <w:rPr>
          <w:lang w:val="en-NZ"/>
        </w:rPr>
        <w:t xml:space="preserve">37 </w:t>
      </w:r>
      <w:r w:rsidR="001A4023">
        <w:rPr>
          <w:lang w:val="en-NZ"/>
        </w:rPr>
        <w:t>were on behalf of an organisation</w:t>
      </w:r>
    </w:p>
    <w:p w14:paraId="15712523" w14:textId="77777777" w:rsidR="002512BA" w:rsidRDefault="001A4023">
      <w:pPr>
        <w:spacing w:before="0" w:after="160" w:line="259" w:lineRule="auto"/>
        <w:rPr>
          <w:i/>
          <w:iCs/>
          <w:sz w:val="20"/>
          <w:szCs w:val="18"/>
        </w:rPr>
      </w:pPr>
      <w:r>
        <w:rPr>
          <w:lang w:val="en-NZ"/>
        </w:rPr>
        <w:t>For responses on behalf of an</w:t>
      </w:r>
      <w:r w:rsidR="005F0E24">
        <w:rPr>
          <w:lang w:val="en-NZ"/>
        </w:rPr>
        <w:t xml:space="preserve"> advisory group or an</w:t>
      </w:r>
      <w:r>
        <w:rPr>
          <w:lang w:val="en-NZ"/>
        </w:rPr>
        <w:t xml:space="preserve"> organisation, </w:t>
      </w:r>
      <w:r w:rsidR="007E043C">
        <w:rPr>
          <w:lang w:val="en-NZ"/>
        </w:rPr>
        <w:fldChar w:fldCharType="begin"/>
      </w:r>
      <w:r w:rsidR="007E043C">
        <w:rPr>
          <w:lang w:val="en-NZ"/>
        </w:rPr>
        <w:instrText xml:space="preserve"> REF _Ref51742134 \h </w:instrText>
      </w:r>
      <w:r w:rsidR="007E043C">
        <w:rPr>
          <w:lang w:val="en-NZ"/>
        </w:rPr>
      </w:r>
      <w:r w:rsidR="007E043C">
        <w:rPr>
          <w:lang w:val="en-NZ"/>
        </w:rPr>
        <w:fldChar w:fldCharType="separate"/>
      </w:r>
      <w:r w:rsidR="002512BA">
        <w:br w:type="page"/>
      </w:r>
    </w:p>
    <w:p w14:paraId="03AFCB46" w14:textId="153E8E5F" w:rsidR="001A4023" w:rsidRPr="008B2EC9" w:rsidRDefault="002512BA" w:rsidP="00125178">
      <w:pPr>
        <w:tabs>
          <w:tab w:val="left" w:pos="851"/>
        </w:tabs>
        <w:spacing w:after="120" w:line="268" w:lineRule="auto"/>
        <w:rPr>
          <w:rFonts w:cs="Arial"/>
          <w:color w:val="000000" w:themeColor="text1"/>
          <w:sz w:val="20"/>
          <w:szCs w:val="20"/>
          <w:lang w:val="en-NZ"/>
        </w:rPr>
      </w:pPr>
      <w:r w:rsidRPr="003622CE">
        <w:lastRenderedPageBreak/>
        <w:t xml:space="preserve">Table </w:t>
      </w:r>
      <w:r>
        <w:rPr>
          <w:noProof/>
        </w:rPr>
        <w:t>2</w:t>
      </w:r>
      <w:r w:rsidR="007E043C">
        <w:rPr>
          <w:lang w:val="en-NZ"/>
        </w:rPr>
        <w:fldChar w:fldCharType="end"/>
      </w:r>
      <w:r w:rsidR="001A4023">
        <w:rPr>
          <w:lang w:val="en-NZ"/>
        </w:rPr>
        <w:t xml:space="preserve"> shows the type of organisation represented.</w:t>
      </w:r>
    </w:p>
    <w:p w14:paraId="62F6B776" w14:textId="77777777" w:rsidR="0061513F" w:rsidRDefault="0061513F">
      <w:pPr>
        <w:spacing w:before="0" w:after="160" w:line="259" w:lineRule="auto"/>
        <w:rPr>
          <w:i/>
          <w:iCs/>
          <w:sz w:val="20"/>
          <w:szCs w:val="18"/>
        </w:rPr>
      </w:pPr>
      <w:bookmarkStart w:id="31" w:name="_Ref51742134"/>
      <w:r>
        <w:br w:type="page"/>
      </w:r>
    </w:p>
    <w:p w14:paraId="10B38AFD" w14:textId="5E25D762" w:rsidR="00CF2F10" w:rsidRPr="003622CE" w:rsidRDefault="00CF2F10" w:rsidP="00223C9F">
      <w:pPr>
        <w:pStyle w:val="Caption"/>
        <w:tabs>
          <w:tab w:val="left" w:pos="851"/>
        </w:tabs>
      </w:pPr>
      <w:r w:rsidRPr="003622CE">
        <w:lastRenderedPageBreak/>
        <w:t xml:space="preserve">Table </w:t>
      </w:r>
      <w:r w:rsidRPr="003622CE">
        <w:fldChar w:fldCharType="begin"/>
      </w:r>
      <w:r w:rsidRPr="003622CE">
        <w:instrText xml:space="preserve"> SEQ Table \* ARABIC </w:instrText>
      </w:r>
      <w:r w:rsidRPr="003622CE">
        <w:fldChar w:fldCharType="separate"/>
      </w:r>
      <w:r w:rsidR="002512BA">
        <w:rPr>
          <w:noProof/>
        </w:rPr>
        <w:t>2</w:t>
      </w:r>
      <w:r w:rsidRPr="003622CE">
        <w:fldChar w:fldCharType="end"/>
      </w:r>
      <w:bookmarkEnd w:id="31"/>
      <w:r w:rsidRPr="003622CE">
        <w:tab/>
        <w:t>Sectors represented</w:t>
      </w:r>
      <w:r w:rsidR="00C42027" w:rsidRPr="003622CE">
        <w:t xml:space="preserve"> in feedback through the consultation document</w:t>
      </w:r>
    </w:p>
    <w:tbl>
      <w:tblPr>
        <w:tblStyle w:val="GridTable1Light"/>
        <w:tblW w:w="9638" w:type="dxa"/>
        <w:tblLayout w:type="fixed"/>
        <w:tblLook w:val="04A0" w:firstRow="1" w:lastRow="0" w:firstColumn="1" w:lastColumn="0" w:noHBand="0" w:noVBand="1"/>
      </w:tblPr>
      <w:tblGrid>
        <w:gridCol w:w="7824"/>
        <w:gridCol w:w="907"/>
        <w:gridCol w:w="907"/>
      </w:tblGrid>
      <w:tr w:rsidR="00CF2F10" w:rsidRPr="002378D3" w14:paraId="47C08699" w14:textId="77777777" w:rsidTr="0050639B">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7824" w:type="dxa"/>
            <w:noWrap/>
            <w:vAlign w:val="center"/>
          </w:tcPr>
          <w:p w14:paraId="776B2019" w14:textId="1B13980F" w:rsidR="00CF2F10" w:rsidRPr="002378D3" w:rsidRDefault="00CF2F10" w:rsidP="002378D3">
            <w:pPr>
              <w:spacing w:before="40" w:after="40"/>
              <w:rPr>
                <w:rFonts w:eastAsia="Times New Roman" w:cs="Arial"/>
                <w:sz w:val="20"/>
                <w:szCs w:val="20"/>
                <w:lang w:val="en-NZ" w:eastAsia="en-NZ"/>
              </w:rPr>
            </w:pPr>
            <w:r w:rsidRPr="002378D3">
              <w:rPr>
                <w:rFonts w:eastAsia="Times New Roman" w:cs="Arial"/>
                <w:sz w:val="20"/>
                <w:szCs w:val="20"/>
                <w:lang w:val="en-NZ" w:eastAsia="en-NZ"/>
              </w:rPr>
              <w:t>Sector</w:t>
            </w:r>
            <w:r w:rsidR="003622CE">
              <w:rPr>
                <w:rFonts w:eastAsia="Times New Roman" w:cs="Arial"/>
                <w:sz w:val="20"/>
                <w:szCs w:val="20"/>
                <w:lang w:val="en-NZ" w:eastAsia="en-NZ"/>
              </w:rPr>
              <w:t xml:space="preserve"> (organisational respondents)</w:t>
            </w:r>
          </w:p>
        </w:tc>
        <w:tc>
          <w:tcPr>
            <w:tcW w:w="907" w:type="dxa"/>
            <w:vAlign w:val="center"/>
          </w:tcPr>
          <w:p w14:paraId="63BB4668" w14:textId="77777777" w:rsidR="00CF2F10" w:rsidRPr="002378D3" w:rsidRDefault="00CF2F10" w:rsidP="002378D3">
            <w:pPr>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333333"/>
                <w:sz w:val="20"/>
                <w:szCs w:val="20"/>
                <w:lang w:val="en-NZ" w:eastAsia="en-NZ"/>
              </w:rPr>
            </w:pPr>
            <w:r w:rsidRPr="002378D3">
              <w:rPr>
                <w:rFonts w:eastAsia="Times New Roman" w:cs="Arial"/>
                <w:color w:val="333333"/>
                <w:sz w:val="20"/>
                <w:szCs w:val="20"/>
                <w:lang w:val="en-NZ" w:eastAsia="en-NZ"/>
              </w:rPr>
              <w:t>N</w:t>
            </w:r>
          </w:p>
          <w:p w14:paraId="2288F034" w14:textId="3A2C4352" w:rsidR="00CF2F10" w:rsidRPr="002378D3" w:rsidRDefault="00CF2F10" w:rsidP="002378D3">
            <w:pPr>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sidRPr="002378D3">
              <w:rPr>
                <w:rFonts w:eastAsia="Times New Roman" w:cs="Arial"/>
                <w:color w:val="333333"/>
                <w:sz w:val="20"/>
                <w:szCs w:val="20"/>
                <w:lang w:val="en-NZ" w:eastAsia="en-NZ"/>
              </w:rPr>
              <w:t>(N=</w:t>
            </w:r>
            <w:r w:rsidR="00A5241C">
              <w:rPr>
                <w:rFonts w:eastAsia="Times New Roman" w:cs="Arial"/>
                <w:color w:val="333333"/>
                <w:sz w:val="20"/>
                <w:szCs w:val="20"/>
                <w:lang w:val="en-NZ" w:eastAsia="en-NZ"/>
              </w:rPr>
              <w:t>40</w:t>
            </w:r>
            <w:r w:rsidRPr="002378D3">
              <w:rPr>
                <w:rFonts w:eastAsia="Times New Roman" w:cs="Arial"/>
                <w:color w:val="333333"/>
                <w:sz w:val="20"/>
                <w:szCs w:val="20"/>
                <w:lang w:val="en-NZ" w:eastAsia="en-NZ"/>
              </w:rPr>
              <w:t>)</w:t>
            </w:r>
          </w:p>
        </w:tc>
        <w:tc>
          <w:tcPr>
            <w:tcW w:w="907" w:type="dxa"/>
            <w:vAlign w:val="center"/>
          </w:tcPr>
          <w:p w14:paraId="7A73CE5C" w14:textId="77777777" w:rsidR="00CF2F10" w:rsidRPr="002378D3" w:rsidRDefault="00CF2F10" w:rsidP="002378D3">
            <w:pPr>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sidRPr="002378D3">
              <w:rPr>
                <w:rFonts w:eastAsia="Times New Roman" w:cs="Arial"/>
                <w:color w:val="333333"/>
                <w:sz w:val="20"/>
                <w:szCs w:val="20"/>
                <w:lang w:val="en-NZ" w:eastAsia="en-NZ"/>
              </w:rPr>
              <w:t>%</w:t>
            </w:r>
          </w:p>
        </w:tc>
      </w:tr>
      <w:tr w:rsidR="00CF2F10" w:rsidRPr="0045291C" w14:paraId="56435348" w14:textId="77777777" w:rsidTr="002236EF">
        <w:trPr>
          <w:trHeight w:val="283"/>
        </w:trPr>
        <w:tc>
          <w:tcPr>
            <w:cnfStyle w:val="001000000000" w:firstRow="0" w:lastRow="0" w:firstColumn="1" w:lastColumn="0" w:oddVBand="0" w:evenVBand="0" w:oddHBand="0" w:evenHBand="0" w:firstRowFirstColumn="0" w:firstRowLastColumn="0" w:lastRowFirstColumn="0" w:lastRowLastColumn="0"/>
            <w:tcW w:w="7824" w:type="dxa"/>
            <w:noWrap/>
            <w:hideMark/>
          </w:tcPr>
          <w:p w14:paraId="3FF87A11" w14:textId="6C3AE01B" w:rsidR="00CF2F10" w:rsidRPr="008C7F26" w:rsidRDefault="00CF2F10" w:rsidP="002236EF">
            <w:pPr>
              <w:spacing w:before="40" w:after="40"/>
              <w:rPr>
                <w:rFonts w:eastAsia="Times New Roman" w:cs="Arial"/>
                <w:b w:val="0"/>
                <w:sz w:val="20"/>
                <w:szCs w:val="20"/>
                <w:lang w:val="en-NZ" w:eastAsia="en-NZ"/>
              </w:rPr>
            </w:pPr>
            <w:r>
              <w:rPr>
                <w:rFonts w:eastAsia="Times New Roman" w:cs="Arial"/>
                <w:b w:val="0"/>
                <w:sz w:val="20"/>
                <w:szCs w:val="20"/>
                <w:lang w:val="en-NZ" w:eastAsia="en-NZ"/>
              </w:rPr>
              <w:t>Mental health service</w:t>
            </w:r>
          </w:p>
        </w:tc>
        <w:tc>
          <w:tcPr>
            <w:tcW w:w="907" w:type="dxa"/>
          </w:tcPr>
          <w:p w14:paraId="3A6FB9E4" w14:textId="05AD644B" w:rsidR="00CF2F10" w:rsidRPr="0045291C" w:rsidRDefault="00A5241C"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7</w:t>
            </w:r>
          </w:p>
        </w:tc>
        <w:tc>
          <w:tcPr>
            <w:tcW w:w="907" w:type="dxa"/>
          </w:tcPr>
          <w:p w14:paraId="6B3B1FE4" w14:textId="2D967527" w:rsidR="00CF2F10" w:rsidRPr="0045291C" w:rsidRDefault="00A5241C"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18%</w:t>
            </w:r>
          </w:p>
        </w:tc>
      </w:tr>
      <w:tr w:rsidR="00CF2F10" w:rsidRPr="0045291C" w14:paraId="7BF864A4" w14:textId="77777777" w:rsidTr="00CF2F10">
        <w:trPr>
          <w:trHeight w:val="283"/>
        </w:trPr>
        <w:tc>
          <w:tcPr>
            <w:cnfStyle w:val="001000000000" w:firstRow="0" w:lastRow="0" w:firstColumn="1" w:lastColumn="0" w:oddVBand="0" w:evenVBand="0" w:oddHBand="0" w:evenHBand="0" w:firstRowFirstColumn="0" w:firstRowLastColumn="0" w:lastRowFirstColumn="0" w:lastRowLastColumn="0"/>
            <w:tcW w:w="7824" w:type="dxa"/>
            <w:noWrap/>
          </w:tcPr>
          <w:p w14:paraId="6FDEC8E5" w14:textId="3AAF6F90" w:rsidR="00CF2F10" w:rsidRPr="008C7F26" w:rsidRDefault="00CF2F10" w:rsidP="002236EF">
            <w:pPr>
              <w:spacing w:before="40" w:after="40"/>
              <w:rPr>
                <w:rFonts w:eastAsia="Times New Roman" w:cs="Arial"/>
                <w:b w:val="0"/>
                <w:sz w:val="20"/>
                <w:szCs w:val="20"/>
                <w:lang w:val="en-NZ" w:eastAsia="en-NZ"/>
              </w:rPr>
            </w:pPr>
            <w:r>
              <w:rPr>
                <w:rFonts w:eastAsia="Times New Roman" w:cs="Arial"/>
                <w:b w:val="0"/>
                <w:sz w:val="20"/>
                <w:szCs w:val="20"/>
                <w:lang w:val="en-NZ" w:eastAsia="en-NZ"/>
              </w:rPr>
              <w:t>Addiction service</w:t>
            </w:r>
          </w:p>
        </w:tc>
        <w:tc>
          <w:tcPr>
            <w:tcW w:w="907" w:type="dxa"/>
          </w:tcPr>
          <w:p w14:paraId="50CDEDEE" w14:textId="5CCD3EB0" w:rsidR="00CF2F10" w:rsidRPr="0045291C" w:rsidRDefault="00A5241C"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7</w:t>
            </w:r>
          </w:p>
        </w:tc>
        <w:tc>
          <w:tcPr>
            <w:tcW w:w="907" w:type="dxa"/>
          </w:tcPr>
          <w:p w14:paraId="072D9D4E" w14:textId="409B268E" w:rsidR="00CF2F10" w:rsidRPr="0045291C" w:rsidRDefault="00A5241C"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18%</w:t>
            </w:r>
          </w:p>
        </w:tc>
      </w:tr>
      <w:tr w:rsidR="00CF2F10" w:rsidRPr="0045291C" w14:paraId="67B7A22E" w14:textId="77777777" w:rsidTr="00CF2F10">
        <w:trPr>
          <w:trHeight w:val="283"/>
        </w:trPr>
        <w:tc>
          <w:tcPr>
            <w:cnfStyle w:val="001000000000" w:firstRow="0" w:lastRow="0" w:firstColumn="1" w:lastColumn="0" w:oddVBand="0" w:evenVBand="0" w:oddHBand="0" w:evenHBand="0" w:firstRowFirstColumn="0" w:firstRowLastColumn="0" w:lastRowFirstColumn="0" w:lastRowLastColumn="0"/>
            <w:tcW w:w="7824" w:type="dxa"/>
            <w:noWrap/>
          </w:tcPr>
          <w:p w14:paraId="0339E756" w14:textId="300DD3B5" w:rsidR="00CF2F10" w:rsidRPr="008C7F26" w:rsidRDefault="00CF2F10" w:rsidP="002236EF">
            <w:pPr>
              <w:spacing w:before="40" w:after="40"/>
              <w:rPr>
                <w:rFonts w:eastAsia="Times New Roman" w:cs="Arial"/>
                <w:b w:val="0"/>
                <w:sz w:val="20"/>
                <w:szCs w:val="20"/>
                <w:lang w:val="en-NZ" w:eastAsia="en-NZ"/>
              </w:rPr>
            </w:pPr>
            <w:r>
              <w:rPr>
                <w:rFonts w:eastAsia="Times New Roman" w:cs="Arial"/>
                <w:b w:val="0"/>
                <w:sz w:val="20"/>
                <w:szCs w:val="20"/>
                <w:lang w:val="en-NZ" w:eastAsia="en-NZ"/>
              </w:rPr>
              <w:t>District Health Board</w:t>
            </w:r>
          </w:p>
        </w:tc>
        <w:tc>
          <w:tcPr>
            <w:tcW w:w="907" w:type="dxa"/>
          </w:tcPr>
          <w:p w14:paraId="5F6C762D" w14:textId="24878E72" w:rsidR="00CF2F10" w:rsidRPr="0045291C" w:rsidRDefault="00A5241C"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3</w:t>
            </w:r>
          </w:p>
        </w:tc>
        <w:tc>
          <w:tcPr>
            <w:tcW w:w="907" w:type="dxa"/>
          </w:tcPr>
          <w:p w14:paraId="5EFE956F" w14:textId="193F311A" w:rsidR="00CF2F10" w:rsidRPr="0045291C" w:rsidRDefault="00A5241C"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8</w:t>
            </w:r>
            <w:r w:rsidR="00CF2F10">
              <w:rPr>
                <w:rFonts w:eastAsia="Times New Roman" w:cs="Arial"/>
                <w:color w:val="333333"/>
                <w:sz w:val="20"/>
                <w:szCs w:val="20"/>
                <w:lang w:val="en-NZ" w:eastAsia="en-NZ"/>
              </w:rPr>
              <w:t>%</w:t>
            </w:r>
          </w:p>
        </w:tc>
      </w:tr>
      <w:tr w:rsidR="00CF2F10" w:rsidRPr="0045291C" w14:paraId="13CFE1B6" w14:textId="77777777" w:rsidTr="00CF2F10">
        <w:trPr>
          <w:trHeight w:val="283"/>
        </w:trPr>
        <w:tc>
          <w:tcPr>
            <w:cnfStyle w:val="001000000000" w:firstRow="0" w:lastRow="0" w:firstColumn="1" w:lastColumn="0" w:oddVBand="0" w:evenVBand="0" w:oddHBand="0" w:evenHBand="0" w:firstRowFirstColumn="0" w:firstRowLastColumn="0" w:lastRowFirstColumn="0" w:lastRowLastColumn="0"/>
            <w:tcW w:w="7824" w:type="dxa"/>
            <w:noWrap/>
          </w:tcPr>
          <w:p w14:paraId="0AD5BD45" w14:textId="43E231D5" w:rsidR="00CF2F10" w:rsidRPr="008C7F26" w:rsidRDefault="00CF2F10" w:rsidP="002236EF">
            <w:pPr>
              <w:spacing w:before="40" w:after="40"/>
              <w:rPr>
                <w:rFonts w:eastAsia="Times New Roman" w:cs="Arial"/>
                <w:b w:val="0"/>
                <w:sz w:val="20"/>
                <w:szCs w:val="20"/>
                <w:lang w:val="en-NZ" w:eastAsia="en-NZ"/>
              </w:rPr>
            </w:pPr>
            <w:r>
              <w:rPr>
                <w:rFonts w:eastAsia="Times New Roman" w:cs="Arial"/>
                <w:b w:val="0"/>
                <w:sz w:val="20"/>
                <w:szCs w:val="20"/>
                <w:lang w:val="en-NZ" w:eastAsia="en-NZ"/>
              </w:rPr>
              <w:t>Non-governmental organisation</w:t>
            </w:r>
          </w:p>
        </w:tc>
        <w:tc>
          <w:tcPr>
            <w:tcW w:w="907" w:type="dxa"/>
          </w:tcPr>
          <w:p w14:paraId="44CAAB86" w14:textId="6F4CE382" w:rsidR="00CF2F10" w:rsidRPr="0045291C" w:rsidRDefault="00CF2F10"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2</w:t>
            </w:r>
            <w:r w:rsidR="00A5241C">
              <w:rPr>
                <w:rFonts w:eastAsia="Times New Roman" w:cs="Arial"/>
                <w:color w:val="333333"/>
                <w:sz w:val="20"/>
                <w:szCs w:val="20"/>
                <w:lang w:val="en-NZ" w:eastAsia="en-NZ"/>
              </w:rPr>
              <w:t>0</w:t>
            </w:r>
          </w:p>
        </w:tc>
        <w:tc>
          <w:tcPr>
            <w:tcW w:w="907" w:type="dxa"/>
          </w:tcPr>
          <w:p w14:paraId="2E231B02" w14:textId="10532776" w:rsidR="00CF2F10" w:rsidRPr="0045291C" w:rsidRDefault="00A5241C"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50</w:t>
            </w:r>
            <w:r w:rsidR="00CF2F10">
              <w:rPr>
                <w:rFonts w:eastAsia="Times New Roman" w:cs="Arial"/>
                <w:color w:val="333333"/>
                <w:sz w:val="20"/>
                <w:szCs w:val="20"/>
                <w:lang w:val="en-NZ" w:eastAsia="en-NZ"/>
              </w:rPr>
              <w:t>%</w:t>
            </w:r>
          </w:p>
        </w:tc>
      </w:tr>
      <w:tr w:rsidR="00CF2F10" w:rsidRPr="0045291C" w14:paraId="2F0A304B" w14:textId="77777777" w:rsidTr="00CF2F10">
        <w:trPr>
          <w:trHeight w:val="283"/>
        </w:trPr>
        <w:tc>
          <w:tcPr>
            <w:cnfStyle w:val="001000000000" w:firstRow="0" w:lastRow="0" w:firstColumn="1" w:lastColumn="0" w:oddVBand="0" w:evenVBand="0" w:oddHBand="0" w:evenHBand="0" w:firstRowFirstColumn="0" w:firstRowLastColumn="0" w:lastRowFirstColumn="0" w:lastRowLastColumn="0"/>
            <w:tcW w:w="7824" w:type="dxa"/>
            <w:noWrap/>
          </w:tcPr>
          <w:p w14:paraId="2912CF9F" w14:textId="4ED07E42" w:rsidR="00CF2F10" w:rsidRPr="008C7F26" w:rsidRDefault="00CF2F10" w:rsidP="002236EF">
            <w:pPr>
              <w:spacing w:before="40" w:after="40"/>
              <w:rPr>
                <w:rFonts w:eastAsia="Times New Roman" w:cs="Arial"/>
                <w:b w:val="0"/>
                <w:sz w:val="20"/>
                <w:szCs w:val="20"/>
                <w:lang w:val="en-NZ" w:eastAsia="en-NZ"/>
              </w:rPr>
            </w:pPr>
            <w:r>
              <w:rPr>
                <w:rFonts w:eastAsia="Times New Roman" w:cs="Arial"/>
                <w:b w:val="0"/>
                <w:sz w:val="20"/>
                <w:szCs w:val="20"/>
                <w:lang w:val="en-NZ" w:eastAsia="en-NZ"/>
              </w:rPr>
              <w:t>Kaupapa Māori provider</w:t>
            </w:r>
          </w:p>
        </w:tc>
        <w:tc>
          <w:tcPr>
            <w:tcW w:w="907" w:type="dxa"/>
          </w:tcPr>
          <w:p w14:paraId="51B3CBB2" w14:textId="5B33C49C" w:rsidR="00CF2F10" w:rsidRPr="0045291C" w:rsidRDefault="003622CE"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1</w:t>
            </w:r>
          </w:p>
        </w:tc>
        <w:tc>
          <w:tcPr>
            <w:tcW w:w="907" w:type="dxa"/>
          </w:tcPr>
          <w:p w14:paraId="799A49B2" w14:textId="6BA256B1" w:rsidR="00CF2F10" w:rsidRPr="0045291C" w:rsidRDefault="003622CE"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3</w:t>
            </w:r>
            <w:r w:rsidR="00CF2F10">
              <w:rPr>
                <w:rFonts w:eastAsia="Times New Roman" w:cs="Arial"/>
                <w:color w:val="333333"/>
                <w:sz w:val="20"/>
                <w:szCs w:val="20"/>
                <w:lang w:val="en-NZ" w:eastAsia="en-NZ"/>
              </w:rPr>
              <w:t>%</w:t>
            </w:r>
          </w:p>
        </w:tc>
      </w:tr>
      <w:tr w:rsidR="00CF2F10" w:rsidRPr="0045291C" w14:paraId="17DE4C99" w14:textId="77777777" w:rsidTr="00CF2F10">
        <w:trPr>
          <w:trHeight w:val="283"/>
        </w:trPr>
        <w:tc>
          <w:tcPr>
            <w:cnfStyle w:val="001000000000" w:firstRow="0" w:lastRow="0" w:firstColumn="1" w:lastColumn="0" w:oddVBand="0" w:evenVBand="0" w:oddHBand="0" w:evenHBand="0" w:firstRowFirstColumn="0" w:firstRowLastColumn="0" w:lastRowFirstColumn="0" w:lastRowLastColumn="0"/>
            <w:tcW w:w="7824" w:type="dxa"/>
            <w:noWrap/>
          </w:tcPr>
          <w:p w14:paraId="34EB8630" w14:textId="67303895" w:rsidR="00CF2F10" w:rsidRPr="008C7F26" w:rsidRDefault="00CF2F10" w:rsidP="002236EF">
            <w:pPr>
              <w:spacing w:before="40" w:after="40"/>
              <w:rPr>
                <w:rFonts w:eastAsia="Times New Roman" w:cs="Arial"/>
                <w:b w:val="0"/>
                <w:sz w:val="20"/>
                <w:szCs w:val="20"/>
                <w:lang w:val="en-NZ" w:eastAsia="en-NZ"/>
              </w:rPr>
            </w:pPr>
            <w:r>
              <w:rPr>
                <w:rFonts w:eastAsia="Times New Roman" w:cs="Arial"/>
                <w:b w:val="0"/>
                <w:sz w:val="20"/>
                <w:szCs w:val="20"/>
                <w:lang w:val="en-NZ" w:eastAsia="en-NZ"/>
              </w:rPr>
              <w:t>Government organisation</w:t>
            </w:r>
          </w:p>
        </w:tc>
        <w:tc>
          <w:tcPr>
            <w:tcW w:w="907" w:type="dxa"/>
          </w:tcPr>
          <w:p w14:paraId="4A87AA37" w14:textId="3FF7AB6F" w:rsidR="00CF2F10" w:rsidRPr="0045291C" w:rsidRDefault="00CF2F10"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3</w:t>
            </w:r>
          </w:p>
        </w:tc>
        <w:tc>
          <w:tcPr>
            <w:tcW w:w="907" w:type="dxa"/>
          </w:tcPr>
          <w:p w14:paraId="5199E475" w14:textId="5C421B62" w:rsidR="00CF2F10" w:rsidRPr="0045291C" w:rsidRDefault="003622CE"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8</w:t>
            </w:r>
            <w:r w:rsidR="00CF2F10">
              <w:rPr>
                <w:rFonts w:eastAsia="Times New Roman" w:cs="Arial"/>
                <w:color w:val="333333"/>
                <w:sz w:val="20"/>
                <w:szCs w:val="20"/>
                <w:lang w:val="en-NZ" w:eastAsia="en-NZ"/>
              </w:rPr>
              <w:t>%</w:t>
            </w:r>
          </w:p>
        </w:tc>
      </w:tr>
      <w:tr w:rsidR="00CF2F10" w:rsidRPr="0045291C" w14:paraId="6C35F122" w14:textId="77777777" w:rsidTr="00CF2F10">
        <w:trPr>
          <w:trHeight w:val="283"/>
        </w:trPr>
        <w:tc>
          <w:tcPr>
            <w:cnfStyle w:val="001000000000" w:firstRow="0" w:lastRow="0" w:firstColumn="1" w:lastColumn="0" w:oddVBand="0" w:evenVBand="0" w:oddHBand="0" w:evenHBand="0" w:firstRowFirstColumn="0" w:firstRowLastColumn="0" w:lastRowFirstColumn="0" w:lastRowLastColumn="0"/>
            <w:tcW w:w="7824" w:type="dxa"/>
            <w:noWrap/>
          </w:tcPr>
          <w:p w14:paraId="462D593B" w14:textId="37F65949" w:rsidR="00CF2F10" w:rsidRPr="008C7F26" w:rsidRDefault="00CF2F10" w:rsidP="002236EF">
            <w:pPr>
              <w:spacing w:before="40" w:after="40"/>
              <w:rPr>
                <w:rFonts w:eastAsia="Times New Roman" w:cs="Arial"/>
                <w:b w:val="0"/>
                <w:sz w:val="20"/>
                <w:szCs w:val="20"/>
                <w:lang w:val="en-NZ" w:eastAsia="en-NZ"/>
              </w:rPr>
            </w:pPr>
            <w:r>
              <w:rPr>
                <w:rFonts w:eastAsia="Times New Roman" w:cs="Arial"/>
                <w:b w:val="0"/>
                <w:sz w:val="20"/>
                <w:szCs w:val="20"/>
                <w:lang w:val="en-NZ" w:eastAsia="en-NZ"/>
              </w:rPr>
              <w:t>Commissioning agency</w:t>
            </w:r>
          </w:p>
        </w:tc>
        <w:tc>
          <w:tcPr>
            <w:tcW w:w="907" w:type="dxa"/>
          </w:tcPr>
          <w:p w14:paraId="54C5097E" w14:textId="00CC049D" w:rsidR="00CF2F10" w:rsidRPr="0045291C" w:rsidRDefault="00CF2F10"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3</w:t>
            </w:r>
          </w:p>
        </w:tc>
        <w:tc>
          <w:tcPr>
            <w:tcW w:w="907" w:type="dxa"/>
          </w:tcPr>
          <w:p w14:paraId="260A178B" w14:textId="71F962CB" w:rsidR="00CF2F10" w:rsidRPr="0045291C" w:rsidRDefault="003622CE"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8</w:t>
            </w:r>
            <w:r w:rsidR="00CF2F10">
              <w:rPr>
                <w:rFonts w:eastAsia="Times New Roman" w:cs="Arial"/>
                <w:color w:val="333333"/>
                <w:sz w:val="20"/>
                <w:szCs w:val="20"/>
                <w:lang w:val="en-NZ" w:eastAsia="en-NZ"/>
              </w:rPr>
              <w:t>%</w:t>
            </w:r>
          </w:p>
        </w:tc>
      </w:tr>
      <w:tr w:rsidR="00CF2F10" w:rsidRPr="0045291C" w14:paraId="2D4D157C" w14:textId="77777777" w:rsidTr="00CF2F10">
        <w:trPr>
          <w:trHeight w:val="283"/>
        </w:trPr>
        <w:tc>
          <w:tcPr>
            <w:cnfStyle w:val="001000000000" w:firstRow="0" w:lastRow="0" w:firstColumn="1" w:lastColumn="0" w:oddVBand="0" w:evenVBand="0" w:oddHBand="0" w:evenHBand="0" w:firstRowFirstColumn="0" w:firstRowLastColumn="0" w:lastRowFirstColumn="0" w:lastRowLastColumn="0"/>
            <w:tcW w:w="7824" w:type="dxa"/>
            <w:noWrap/>
          </w:tcPr>
          <w:p w14:paraId="6C7083AF" w14:textId="6F62D38A" w:rsidR="00CF2F10" w:rsidRPr="008C7F26" w:rsidRDefault="00CF2F10" w:rsidP="002236EF">
            <w:pPr>
              <w:spacing w:before="40" w:after="40"/>
              <w:rPr>
                <w:rFonts w:eastAsia="Times New Roman" w:cs="Arial"/>
                <w:b w:val="0"/>
                <w:sz w:val="20"/>
                <w:szCs w:val="20"/>
                <w:lang w:val="en-NZ" w:eastAsia="en-NZ"/>
              </w:rPr>
            </w:pPr>
            <w:r>
              <w:rPr>
                <w:rFonts w:eastAsia="Times New Roman" w:cs="Arial"/>
                <w:b w:val="0"/>
                <w:sz w:val="20"/>
                <w:szCs w:val="20"/>
                <w:lang w:val="en-NZ" w:eastAsia="en-NZ"/>
              </w:rPr>
              <w:t>Primary care</w:t>
            </w:r>
          </w:p>
        </w:tc>
        <w:tc>
          <w:tcPr>
            <w:tcW w:w="907" w:type="dxa"/>
          </w:tcPr>
          <w:p w14:paraId="3378C4CA" w14:textId="1F60C24F" w:rsidR="00CF2F10" w:rsidRPr="0045291C" w:rsidRDefault="003622CE"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2</w:t>
            </w:r>
          </w:p>
        </w:tc>
        <w:tc>
          <w:tcPr>
            <w:tcW w:w="907" w:type="dxa"/>
          </w:tcPr>
          <w:p w14:paraId="3B2248BC" w14:textId="6A2187B2" w:rsidR="00CF2F10" w:rsidRPr="0045291C" w:rsidRDefault="003622CE"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5</w:t>
            </w:r>
            <w:r w:rsidR="00CF2F10">
              <w:rPr>
                <w:rFonts w:eastAsia="Times New Roman" w:cs="Arial"/>
                <w:color w:val="333333"/>
                <w:sz w:val="20"/>
                <w:szCs w:val="20"/>
                <w:lang w:val="en-NZ" w:eastAsia="en-NZ"/>
              </w:rPr>
              <w:t>%</w:t>
            </w:r>
          </w:p>
        </w:tc>
      </w:tr>
      <w:tr w:rsidR="00CF2F10" w:rsidRPr="0045291C" w14:paraId="43125156" w14:textId="77777777" w:rsidTr="00CF2F10">
        <w:trPr>
          <w:trHeight w:val="283"/>
        </w:trPr>
        <w:tc>
          <w:tcPr>
            <w:cnfStyle w:val="001000000000" w:firstRow="0" w:lastRow="0" w:firstColumn="1" w:lastColumn="0" w:oddVBand="0" w:evenVBand="0" w:oddHBand="0" w:evenHBand="0" w:firstRowFirstColumn="0" w:firstRowLastColumn="0" w:lastRowFirstColumn="0" w:lastRowLastColumn="0"/>
            <w:tcW w:w="7824" w:type="dxa"/>
            <w:noWrap/>
          </w:tcPr>
          <w:p w14:paraId="013E10F0" w14:textId="2E99A2AD" w:rsidR="00CF2F10" w:rsidRPr="008C7F26" w:rsidRDefault="00CF2F10" w:rsidP="002236EF">
            <w:pPr>
              <w:spacing w:before="40" w:after="40"/>
              <w:rPr>
                <w:rFonts w:eastAsia="Times New Roman" w:cs="Arial"/>
                <w:b w:val="0"/>
                <w:sz w:val="20"/>
                <w:szCs w:val="20"/>
                <w:lang w:val="en-NZ" w:eastAsia="en-NZ"/>
              </w:rPr>
            </w:pPr>
            <w:r>
              <w:rPr>
                <w:rFonts w:eastAsia="Times New Roman" w:cs="Arial"/>
                <w:b w:val="0"/>
                <w:sz w:val="20"/>
                <w:szCs w:val="20"/>
                <w:lang w:val="en-NZ" w:eastAsia="en-NZ"/>
              </w:rPr>
              <w:t>Other service provider</w:t>
            </w:r>
          </w:p>
        </w:tc>
        <w:tc>
          <w:tcPr>
            <w:tcW w:w="907" w:type="dxa"/>
          </w:tcPr>
          <w:p w14:paraId="451C8753" w14:textId="5702A209" w:rsidR="00CF2F10" w:rsidRPr="0045291C" w:rsidRDefault="00CF2F10"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3</w:t>
            </w:r>
          </w:p>
        </w:tc>
        <w:tc>
          <w:tcPr>
            <w:tcW w:w="907" w:type="dxa"/>
          </w:tcPr>
          <w:p w14:paraId="72806792" w14:textId="270714E3" w:rsidR="00CF2F10" w:rsidRPr="0045291C" w:rsidRDefault="003622CE"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8</w:t>
            </w:r>
            <w:r w:rsidR="00CF2F10">
              <w:rPr>
                <w:rFonts w:eastAsia="Times New Roman" w:cs="Arial"/>
                <w:color w:val="333333"/>
                <w:sz w:val="20"/>
                <w:szCs w:val="20"/>
                <w:lang w:val="en-NZ" w:eastAsia="en-NZ"/>
              </w:rPr>
              <w:t>%</w:t>
            </w:r>
          </w:p>
        </w:tc>
      </w:tr>
      <w:tr w:rsidR="00CF2F10" w:rsidRPr="0045291C" w14:paraId="7BB7049B" w14:textId="77777777" w:rsidTr="002236EF">
        <w:trPr>
          <w:trHeight w:val="283"/>
        </w:trPr>
        <w:tc>
          <w:tcPr>
            <w:cnfStyle w:val="001000000000" w:firstRow="0" w:lastRow="0" w:firstColumn="1" w:lastColumn="0" w:oddVBand="0" w:evenVBand="0" w:oddHBand="0" w:evenHBand="0" w:firstRowFirstColumn="0" w:firstRowLastColumn="0" w:lastRowFirstColumn="0" w:lastRowLastColumn="0"/>
            <w:tcW w:w="7824" w:type="dxa"/>
          </w:tcPr>
          <w:p w14:paraId="30C72F7A" w14:textId="5F47C16C" w:rsidR="00CF2F10" w:rsidRPr="008C7F26" w:rsidRDefault="00CF2F10" w:rsidP="002236EF">
            <w:pPr>
              <w:spacing w:before="40" w:after="40"/>
              <w:rPr>
                <w:rFonts w:eastAsia="Times New Roman" w:cs="Arial"/>
                <w:b w:val="0"/>
                <w:sz w:val="20"/>
                <w:szCs w:val="20"/>
                <w:lang w:val="en-NZ" w:eastAsia="en-NZ"/>
              </w:rPr>
            </w:pPr>
            <w:r>
              <w:rPr>
                <w:rFonts w:eastAsia="Times New Roman" w:cs="Arial"/>
                <w:b w:val="0"/>
                <w:sz w:val="20"/>
                <w:szCs w:val="20"/>
                <w:lang w:val="en-NZ" w:eastAsia="en-NZ"/>
              </w:rPr>
              <w:t>Advocacy organisation</w:t>
            </w:r>
          </w:p>
        </w:tc>
        <w:tc>
          <w:tcPr>
            <w:tcW w:w="907" w:type="dxa"/>
          </w:tcPr>
          <w:p w14:paraId="64752FFD" w14:textId="0EFB9397" w:rsidR="00CF2F10" w:rsidRPr="0045291C" w:rsidRDefault="00CF2F10"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11</w:t>
            </w:r>
          </w:p>
        </w:tc>
        <w:tc>
          <w:tcPr>
            <w:tcW w:w="907" w:type="dxa"/>
            <w:noWrap/>
          </w:tcPr>
          <w:p w14:paraId="7EBEE07D" w14:textId="37B11B2D" w:rsidR="00CF2F10" w:rsidRPr="0045291C" w:rsidRDefault="00CF2F10"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2</w:t>
            </w:r>
            <w:r w:rsidR="003622CE">
              <w:rPr>
                <w:rFonts w:eastAsia="Times New Roman" w:cs="Arial"/>
                <w:color w:val="333333"/>
                <w:sz w:val="20"/>
                <w:szCs w:val="20"/>
                <w:lang w:val="en-NZ" w:eastAsia="en-NZ"/>
              </w:rPr>
              <w:t>8</w:t>
            </w:r>
            <w:r>
              <w:rPr>
                <w:rFonts w:eastAsia="Times New Roman" w:cs="Arial"/>
                <w:color w:val="333333"/>
                <w:sz w:val="20"/>
                <w:szCs w:val="20"/>
                <w:lang w:val="en-NZ" w:eastAsia="en-NZ"/>
              </w:rPr>
              <w:t>%</w:t>
            </w:r>
          </w:p>
        </w:tc>
      </w:tr>
      <w:tr w:rsidR="00CF2F10" w:rsidRPr="0045291C" w14:paraId="4272287C" w14:textId="77777777" w:rsidTr="002236EF">
        <w:trPr>
          <w:trHeight w:val="283"/>
        </w:trPr>
        <w:tc>
          <w:tcPr>
            <w:cnfStyle w:val="001000000000" w:firstRow="0" w:lastRow="0" w:firstColumn="1" w:lastColumn="0" w:oddVBand="0" w:evenVBand="0" w:oddHBand="0" w:evenHBand="0" w:firstRowFirstColumn="0" w:firstRowLastColumn="0" w:lastRowFirstColumn="0" w:lastRowLastColumn="0"/>
            <w:tcW w:w="7824" w:type="dxa"/>
          </w:tcPr>
          <w:p w14:paraId="3738AF69" w14:textId="27B7E41D" w:rsidR="00CF2F10" w:rsidRPr="008C7F26" w:rsidRDefault="00CF2F10" w:rsidP="002236EF">
            <w:pPr>
              <w:spacing w:before="40" w:after="40"/>
              <w:rPr>
                <w:rFonts w:eastAsia="Times New Roman" w:cs="Arial"/>
                <w:b w:val="0"/>
                <w:sz w:val="20"/>
                <w:szCs w:val="20"/>
                <w:lang w:val="en-NZ" w:eastAsia="en-NZ"/>
              </w:rPr>
            </w:pPr>
            <w:r>
              <w:rPr>
                <w:rFonts w:eastAsia="Times New Roman" w:cs="Arial"/>
                <w:b w:val="0"/>
                <w:sz w:val="20"/>
                <w:szCs w:val="20"/>
                <w:lang w:val="en-NZ" w:eastAsia="en-NZ"/>
              </w:rPr>
              <w:t>Professional association</w:t>
            </w:r>
          </w:p>
        </w:tc>
        <w:tc>
          <w:tcPr>
            <w:tcW w:w="907" w:type="dxa"/>
          </w:tcPr>
          <w:p w14:paraId="14AE27CA" w14:textId="54B6F810" w:rsidR="00CF2F10" w:rsidRPr="0045291C" w:rsidRDefault="00CF2F10"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8</w:t>
            </w:r>
          </w:p>
        </w:tc>
        <w:tc>
          <w:tcPr>
            <w:tcW w:w="907" w:type="dxa"/>
            <w:noWrap/>
          </w:tcPr>
          <w:p w14:paraId="78391F49" w14:textId="25B102EA" w:rsidR="00CF2F10" w:rsidRPr="0045291C" w:rsidRDefault="003622CE"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20</w:t>
            </w:r>
            <w:r w:rsidR="00CF2F10">
              <w:rPr>
                <w:rFonts w:eastAsia="Times New Roman" w:cs="Arial"/>
                <w:color w:val="333333"/>
                <w:sz w:val="20"/>
                <w:szCs w:val="20"/>
                <w:lang w:val="en-NZ" w:eastAsia="en-NZ"/>
              </w:rPr>
              <w:t>%</w:t>
            </w:r>
          </w:p>
        </w:tc>
      </w:tr>
      <w:tr w:rsidR="00CF2F10" w:rsidRPr="0045291C" w14:paraId="1F0E1697" w14:textId="77777777" w:rsidTr="002236EF">
        <w:trPr>
          <w:trHeight w:val="283"/>
        </w:trPr>
        <w:tc>
          <w:tcPr>
            <w:cnfStyle w:val="001000000000" w:firstRow="0" w:lastRow="0" w:firstColumn="1" w:lastColumn="0" w:oddVBand="0" w:evenVBand="0" w:oddHBand="0" w:evenHBand="0" w:firstRowFirstColumn="0" w:firstRowLastColumn="0" w:lastRowFirstColumn="0" w:lastRowLastColumn="0"/>
            <w:tcW w:w="7824" w:type="dxa"/>
          </w:tcPr>
          <w:p w14:paraId="3087E55B" w14:textId="6FBF83E2" w:rsidR="00CF2F10" w:rsidRPr="008C7F26" w:rsidRDefault="00CF2F10" w:rsidP="002236EF">
            <w:pPr>
              <w:spacing w:before="40" w:after="40"/>
              <w:rPr>
                <w:rFonts w:eastAsia="Times New Roman" w:cs="Arial"/>
                <w:b w:val="0"/>
                <w:sz w:val="20"/>
                <w:szCs w:val="20"/>
                <w:lang w:val="en-NZ" w:eastAsia="en-NZ"/>
              </w:rPr>
            </w:pPr>
            <w:r>
              <w:rPr>
                <w:rFonts w:eastAsia="Times New Roman" w:cs="Arial"/>
                <w:b w:val="0"/>
                <w:sz w:val="20"/>
                <w:szCs w:val="20"/>
                <w:lang w:val="en-NZ" w:eastAsia="en-NZ"/>
              </w:rPr>
              <w:t>Academic/research</w:t>
            </w:r>
          </w:p>
        </w:tc>
        <w:tc>
          <w:tcPr>
            <w:tcW w:w="907" w:type="dxa"/>
          </w:tcPr>
          <w:p w14:paraId="68769266" w14:textId="5B81191E" w:rsidR="00CF2F10" w:rsidRPr="0045291C" w:rsidRDefault="003622CE"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2</w:t>
            </w:r>
          </w:p>
        </w:tc>
        <w:tc>
          <w:tcPr>
            <w:tcW w:w="907" w:type="dxa"/>
            <w:noWrap/>
          </w:tcPr>
          <w:p w14:paraId="27DB31B1" w14:textId="531294ED" w:rsidR="00CF2F10" w:rsidRPr="0045291C" w:rsidRDefault="003622CE"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5</w:t>
            </w:r>
            <w:r w:rsidR="00CF2F10">
              <w:rPr>
                <w:rFonts w:eastAsia="Times New Roman" w:cs="Arial"/>
                <w:color w:val="333333"/>
                <w:sz w:val="20"/>
                <w:szCs w:val="20"/>
                <w:lang w:val="en-NZ" w:eastAsia="en-NZ"/>
              </w:rPr>
              <w:t>%</w:t>
            </w:r>
          </w:p>
        </w:tc>
      </w:tr>
      <w:tr w:rsidR="00CF2F10" w:rsidRPr="0045291C" w14:paraId="671B450F" w14:textId="77777777" w:rsidTr="002236EF">
        <w:trPr>
          <w:trHeight w:val="283"/>
        </w:trPr>
        <w:tc>
          <w:tcPr>
            <w:cnfStyle w:val="001000000000" w:firstRow="0" w:lastRow="0" w:firstColumn="1" w:lastColumn="0" w:oddVBand="0" w:evenVBand="0" w:oddHBand="0" w:evenHBand="0" w:firstRowFirstColumn="0" w:firstRowLastColumn="0" w:lastRowFirstColumn="0" w:lastRowLastColumn="0"/>
            <w:tcW w:w="7824" w:type="dxa"/>
          </w:tcPr>
          <w:p w14:paraId="6C40A45B" w14:textId="77777777" w:rsidR="00CF2F10" w:rsidRPr="008C7F26" w:rsidRDefault="00CF2F10" w:rsidP="002236EF">
            <w:pPr>
              <w:spacing w:before="40" w:after="40"/>
              <w:rPr>
                <w:rFonts w:eastAsia="Times New Roman" w:cs="Arial"/>
                <w:b w:val="0"/>
                <w:sz w:val="20"/>
                <w:szCs w:val="20"/>
                <w:lang w:val="en-NZ" w:eastAsia="en-NZ"/>
              </w:rPr>
            </w:pPr>
            <w:r w:rsidRPr="008C7F26">
              <w:rPr>
                <w:rFonts w:eastAsia="Times New Roman" w:cs="Arial"/>
                <w:b w:val="0"/>
                <w:color w:val="333333"/>
                <w:sz w:val="20"/>
                <w:szCs w:val="20"/>
                <w:lang w:val="en-NZ" w:eastAsia="en-NZ"/>
              </w:rPr>
              <w:t>Other</w:t>
            </w:r>
            <w:r>
              <w:rPr>
                <w:rFonts w:eastAsia="Times New Roman" w:cs="Arial"/>
                <w:b w:val="0"/>
                <w:color w:val="333333"/>
                <w:sz w:val="20"/>
                <w:szCs w:val="20"/>
                <w:lang w:val="en-NZ" w:eastAsia="en-NZ"/>
              </w:rPr>
              <w:t>*</w:t>
            </w:r>
          </w:p>
        </w:tc>
        <w:tc>
          <w:tcPr>
            <w:tcW w:w="907" w:type="dxa"/>
          </w:tcPr>
          <w:p w14:paraId="06EE2B20" w14:textId="06737C7A" w:rsidR="00CF2F10" w:rsidRPr="0045291C" w:rsidRDefault="003622CE"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8</w:t>
            </w:r>
          </w:p>
        </w:tc>
        <w:tc>
          <w:tcPr>
            <w:tcW w:w="907" w:type="dxa"/>
            <w:noWrap/>
          </w:tcPr>
          <w:p w14:paraId="79F92C09" w14:textId="685F5254" w:rsidR="00CF2F10" w:rsidRPr="0045291C" w:rsidRDefault="00CF2F10"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en-NZ" w:eastAsia="en-NZ"/>
              </w:rPr>
            </w:pPr>
            <w:r>
              <w:rPr>
                <w:rFonts w:eastAsia="Times New Roman" w:cs="Arial"/>
                <w:color w:val="333333"/>
                <w:sz w:val="20"/>
                <w:szCs w:val="20"/>
                <w:lang w:val="en-NZ" w:eastAsia="en-NZ"/>
              </w:rPr>
              <w:t>2</w:t>
            </w:r>
            <w:r w:rsidR="003622CE">
              <w:rPr>
                <w:rFonts w:eastAsia="Times New Roman" w:cs="Arial"/>
                <w:color w:val="333333"/>
                <w:sz w:val="20"/>
                <w:szCs w:val="20"/>
                <w:lang w:val="en-NZ" w:eastAsia="en-NZ"/>
              </w:rPr>
              <w:t>0</w:t>
            </w:r>
            <w:r>
              <w:rPr>
                <w:rFonts w:eastAsia="Times New Roman" w:cs="Arial"/>
                <w:color w:val="333333"/>
                <w:sz w:val="20"/>
                <w:szCs w:val="20"/>
                <w:lang w:val="en-NZ" w:eastAsia="en-NZ"/>
              </w:rPr>
              <w:t>%</w:t>
            </w:r>
          </w:p>
        </w:tc>
      </w:tr>
      <w:tr w:rsidR="001A4023" w:rsidRPr="0045291C" w14:paraId="53B06095" w14:textId="77777777" w:rsidTr="002236EF">
        <w:trPr>
          <w:trHeight w:val="283"/>
        </w:trPr>
        <w:tc>
          <w:tcPr>
            <w:cnfStyle w:val="001000000000" w:firstRow="0" w:lastRow="0" w:firstColumn="1" w:lastColumn="0" w:oddVBand="0" w:evenVBand="0" w:oddHBand="0" w:evenHBand="0" w:firstRowFirstColumn="0" w:firstRowLastColumn="0" w:lastRowFirstColumn="0" w:lastRowLastColumn="0"/>
            <w:tcW w:w="7824" w:type="dxa"/>
          </w:tcPr>
          <w:p w14:paraId="17843A98" w14:textId="47FF7D17" w:rsidR="001A4023" w:rsidRPr="007E043C" w:rsidRDefault="001A4023" w:rsidP="002236EF">
            <w:pPr>
              <w:spacing w:before="40" w:after="40"/>
              <w:rPr>
                <w:rFonts w:eastAsia="Times New Roman" w:cs="Arial"/>
                <w:color w:val="333333"/>
                <w:sz w:val="20"/>
                <w:szCs w:val="20"/>
                <w:lang w:val="en-NZ" w:eastAsia="en-NZ"/>
              </w:rPr>
            </w:pPr>
            <w:r w:rsidRPr="007E043C">
              <w:rPr>
                <w:rFonts w:eastAsia="Times New Roman" w:cs="Arial"/>
                <w:color w:val="333333"/>
                <w:sz w:val="20"/>
                <w:szCs w:val="20"/>
                <w:lang w:val="en-NZ" w:eastAsia="en-NZ"/>
              </w:rPr>
              <w:t>Total</w:t>
            </w:r>
          </w:p>
        </w:tc>
        <w:tc>
          <w:tcPr>
            <w:tcW w:w="907" w:type="dxa"/>
          </w:tcPr>
          <w:p w14:paraId="46C8A6C5" w14:textId="6BC3A4FC" w:rsidR="001A4023" w:rsidRPr="007E043C" w:rsidRDefault="007E043C"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333333"/>
                <w:sz w:val="20"/>
                <w:szCs w:val="20"/>
                <w:lang w:val="en-NZ" w:eastAsia="en-NZ"/>
              </w:rPr>
            </w:pPr>
            <w:r w:rsidRPr="007E043C">
              <w:rPr>
                <w:rFonts w:eastAsia="Times New Roman" w:cs="Arial"/>
                <w:b/>
                <w:color w:val="333333"/>
                <w:sz w:val="20"/>
                <w:szCs w:val="20"/>
                <w:lang w:val="en-NZ" w:eastAsia="en-NZ"/>
              </w:rPr>
              <w:t>40</w:t>
            </w:r>
          </w:p>
        </w:tc>
        <w:tc>
          <w:tcPr>
            <w:tcW w:w="907" w:type="dxa"/>
            <w:noWrap/>
          </w:tcPr>
          <w:p w14:paraId="1AB2AD55" w14:textId="39DD38B4" w:rsidR="001A4023" w:rsidRPr="007E043C" w:rsidRDefault="007E043C" w:rsidP="00CF2F10">
            <w:pPr>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333333"/>
                <w:sz w:val="20"/>
                <w:szCs w:val="20"/>
                <w:lang w:val="en-NZ" w:eastAsia="en-NZ"/>
              </w:rPr>
            </w:pPr>
            <w:r w:rsidRPr="007E043C">
              <w:rPr>
                <w:rFonts w:eastAsia="Times New Roman" w:cs="Arial"/>
                <w:b/>
                <w:color w:val="333333"/>
                <w:sz w:val="20"/>
                <w:szCs w:val="20"/>
                <w:lang w:val="en-NZ" w:eastAsia="en-NZ"/>
              </w:rPr>
              <w:t>100%</w:t>
            </w:r>
          </w:p>
        </w:tc>
      </w:tr>
    </w:tbl>
    <w:p w14:paraId="7E114403" w14:textId="44857C48" w:rsidR="00CF2F10" w:rsidRPr="008B2EC9" w:rsidRDefault="00847578" w:rsidP="008B2EC9">
      <w:pPr>
        <w:spacing w:before="0"/>
        <w:rPr>
          <w:rFonts w:cs="Arial"/>
          <w:color w:val="000000" w:themeColor="text1"/>
          <w:sz w:val="20"/>
          <w:szCs w:val="20"/>
          <w:lang w:val="en-NZ"/>
        </w:rPr>
      </w:pPr>
      <w:r>
        <w:rPr>
          <w:rFonts w:cs="Arial"/>
          <w:color w:val="000000" w:themeColor="text1"/>
          <w:lang w:val="en-NZ"/>
        </w:rPr>
        <w:t xml:space="preserve">* </w:t>
      </w:r>
      <w:r w:rsidRPr="008B2EC9">
        <w:rPr>
          <w:rFonts w:cs="Arial"/>
          <w:color w:val="000000" w:themeColor="text1"/>
          <w:sz w:val="20"/>
          <w:szCs w:val="20"/>
          <w:lang w:val="en-NZ"/>
        </w:rPr>
        <w:t xml:space="preserve">Respondents specifying other included those working in schools, </w:t>
      </w:r>
      <w:r w:rsidR="003622CE">
        <w:rPr>
          <w:rFonts w:cs="Arial"/>
          <w:color w:val="000000" w:themeColor="text1"/>
          <w:sz w:val="20"/>
          <w:szCs w:val="20"/>
          <w:lang w:val="en-NZ"/>
        </w:rPr>
        <w:t xml:space="preserve">and </w:t>
      </w:r>
      <w:r w:rsidRPr="008B2EC9">
        <w:rPr>
          <w:rFonts w:cs="Arial"/>
          <w:color w:val="000000" w:themeColor="text1"/>
          <w:sz w:val="20"/>
          <w:szCs w:val="20"/>
          <w:lang w:val="en-NZ"/>
        </w:rPr>
        <w:t>with Asian communities, providing services to survivors of sexual abuse, training providers and those representing medical specialities.</w:t>
      </w:r>
    </w:p>
    <w:p w14:paraId="7CDA949B" w14:textId="77777777" w:rsidR="00FE3520" w:rsidRDefault="00643455" w:rsidP="00643455">
      <w:pPr>
        <w:spacing w:after="120" w:line="268" w:lineRule="auto"/>
        <w:rPr>
          <w:lang w:val="en-NZ"/>
        </w:rPr>
      </w:pPr>
      <w:r>
        <w:rPr>
          <w:lang w:val="en-NZ"/>
        </w:rPr>
        <w:t>Appendix 1 gives an overview of the diversity of people, groups and organisations who responded (if they provided consent to be named).</w:t>
      </w:r>
    </w:p>
    <w:p w14:paraId="5A8FD958" w14:textId="03660BAD" w:rsidR="001A4023" w:rsidRPr="0050639B" w:rsidRDefault="001A4023" w:rsidP="001A4023">
      <w:pPr>
        <w:pStyle w:val="Heading3"/>
      </w:pPr>
      <w:r>
        <w:t>Other sources of feedback</w:t>
      </w:r>
    </w:p>
    <w:p w14:paraId="600B5335" w14:textId="3F6EC771" w:rsidR="001A4023" w:rsidRDefault="001A4023" w:rsidP="001A4023">
      <w:pPr>
        <w:rPr>
          <w:lang w:val="en-NZ"/>
        </w:rPr>
      </w:pPr>
      <w:r>
        <w:t xml:space="preserve">Other sources of feedback include a Māori focus group, </w:t>
      </w:r>
      <w:r w:rsidR="00223C9F">
        <w:t xml:space="preserve">a </w:t>
      </w:r>
      <w:r>
        <w:t xml:space="preserve">lived experience focus group, Pacific engagement, </w:t>
      </w:r>
      <w:proofErr w:type="gramStart"/>
      <w:r>
        <w:t>Zoom</w:t>
      </w:r>
      <w:proofErr w:type="gramEnd"/>
      <w:r>
        <w:t xml:space="preserve"> discussions and responses received in </w:t>
      </w:r>
      <w:r>
        <w:rPr>
          <w:lang w:val="en-NZ"/>
        </w:rPr>
        <w:t>written / letter form:</w:t>
      </w:r>
    </w:p>
    <w:p w14:paraId="2D83F23F" w14:textId="2A28CB9A" w:rsidR="001A4023" w:rsidRDefault="001A4023" w:rsidP="001A4023">
      <w:pPr>
        <w:pStyle w:val="ListParagraph"/>
        <w:numPr>
          <w:ilvl w:val="0"/>
          <w:numId w:val="29"/>
        </w:numPr>
        <w:spacing w:before="0" w:after="60"/>
        <w:ind w:left="1077" w:hanging="357"/>
        <w:contextualSpacing w:val="0"/>
      </w:pPr>
      <w:r w:rsidRPr="009162C0">
        <w:rPr>
          <w:b/>
        </w:rPr>
        <w:t>M</w:t>
      </w:r>
      <w:proofErr w:type="spellStart"/>
      <w:r w:rsidRPr="009162C0">
        <w:rPr>
          <w:b/>
          <w:lang w:val="en-NZ"/>
        </w:rPr>
        <w:t>āori</w:t>
      </w:r>
      <w:proofErr w:type="spellEnd"/>
      <w:r w:rsidRPr="009162C0">
        <w:rPr>
          <w:b/>
          <w:lang w:val="en-NZ"/>
        </w:rPr>
        <w:t xml:space="preserve"> focus group:</w:t>
      </w:r>
      <w:r w:rsidRPr="009162C0">
        <w:rPr>
          <w:lang w:val="en-NZ"/>
        </w:rPr>
        <w:t xml:space="preserve"> </w:t>
      </w:r>
      <w:r>
        <w:rPr>
          <w:lang w:val="en-NZ"/>
        </w:rPr>
        <w:t>H</w:t>
      </w:r>
      <w:proofErr w:type="spellStart"/>
      <w:r>
        <w:t>eld</w:t>
      </w:r>
      <w:proofErr w:type="spellEnd"/>
      <w:r>
        <w:t xml:space="preserve"> via Zoom with 7 participants, with descent from 21 iwi</w:t>
      </w:r>
      <w:r w:rsidR="00223C9F">
        <w:t>.</w:t>
      </w:r>
      <w:r>
        <w:rPr>
          <w:rStyle w:val="FootnoteReference"/>
        </w:rPr>
        <w:footnoteReference w:id="8"/>
      </w:r>
      <w:r>
        <w:t xml:space="preserve"> All of the Commission’s priority groups were represented by participants</w:t>
      </w:r>
      <w:r w:rsidR="00D97845">
        <w:t xml:space="preserve"> – </w:t>
      </w:r>
      <w:r>
        <w:t>either identifying with or in a supporting role.</w:t>
      </w:r>
    </w:p>
    <w:p w14:paraId="514F5432" w14:textId="77777777" w:rsidR="001A4023" w:rsidRDefault="001A4023" w:rsidP="004D0A44">
      <w:pPr>
        <w:pStyle w:val="ListParagraph"/>
        <w:numPr>
          <w:ilvl w:val="0"/>
          <w:numId w:val="29"/>
        </w:numPr>
        <w:spacing w:before="0" w:after="60"/>
        <w:ind w:left="1077" w:hanging="357"/>
        <w:contextualSpacing w:val="0"/>
      </w:pPr>
      <w:r w:rsidRPr="009162C0">
        <w:rPr>
          <w:b/>
        </w:rPr>
        <w:t>Lived experience focus group:</w:t>
      </w:r>
      <w:r>
        <w:t xml:space="preserve"> Held via Zoom with 7 participants.</w:t>
      </w:r>
    </w:p>
    <w:p w14:paraId="1B0FA263" w14:textId="76C8C922" w:rsidR="0003237C" w:rsidRPr="0003237C" w:rsidRDefault="001A4023" w:rsidP="0003237C">
      <w:pPr>
        <w:pStyle w:val="ListParagraph"/>
        <w:numPr>
          <w:ilvl w:val="0"/>
          <w:numId w:val="29"/>
        </w:numPr>
        <w:spacing w:before="0" w:after="60"/>
        <w:ind w:left="1077" w:hanging="357"/>
        <w:contextualSpacing w:val="0"/>
      </w:pPr>
      <w:r w:rsidRPr="0003237C">
        <w:rPr>
          <w:b/>
        </w:rPr>
        <w:t>Pacific engagement:</w:t>
      </w:r>
      <w:r w:rsidRPr="0003237C">
        <w:t xml:space="preserve"> </w:t>
      </w:r>
      <w:r w:rsidR="0003237C" w:rsidRPr="0003237C">
        <w:rPr>
          <w:lang w:val="en-NZ"/>
        </w:rPr>
        <w:t>Consultation with Pacific peoples was added to interviews being carried out by a Commission</w:t>
      </w:r>
      <w:r w:rsidR="0003237C" w:rsidRPr="00ED56A7">
        <w:rPr>
          <w:lang w:val="en-NZ"/>
        </w:rPr>
        <w:t xml:space="preserve"> board member and a member of the </w:t>
      </w:r>
      <w:r w:rsidR="00223C9F">
        <w:rPr>
          <w:lang w:val="en-NZ"/>
        </w:rPr>
        <w:t xml:space="preserve">Commission’s </w:t>
      </w:r>
      <w:r w:rsidR="0003237C" w:rsidRPr="00ED56A7">
        <w:rPr>
          <w:lang w:val="en-NZ"/>
        </w:rPr>
        <w:t>E</w:t>
      </w:r>
      <w:r w:rsidR="00223C9F">
        <w:rPr>
          <w:lang w:val="en-NZ"/>
        </w:rPr>
        <w:t>xpert Advisory Group</w:t>
      </w:r>
      <w:r w:rsidR="0003237C" w:rsidRPr="00ED56A7">
        <w:rPr>
          <w:lang w:val="en-NZ"/>
        </w:rPr>
        <w:t>.</w:t>
      </w:r>
      <w:r w:rsidR="00796BDB">
        <w:rPr>
          <w:lang w:val="en-NZ"/>
        </w:rPr>
        <w:t xml:space="preserve"> </w:t>
      </w:r>
      <w:r w:rsidR="0003237C" w:rsidRPr="00ED56A7">
        <w:rPr>
          <w:lang w:val="en-NZ"/>
        </w:rPr>
        <w:t xml:space="preserve">Invitations were sent out to a wide range of ethnic </w:t>
      </w:r>
      <w:r w:rsidR="0003237C">
        <w:rPr>
          <w:lang w:val="en-NZ"/>
        </w:rPr>
        <w:t>specific, multigenerational, multilingual, diverse sexualities and genders within the Pacific communities.</w:t>
      </w:r>
      <w:r w:rsidR="00796BDB">
        <w:rPr>
          <w:lang w:val="en-NZ"/>
        </w:rPr>
        <w:t xml:space="preserve"> </w:t>
      </w:r>
    </w:p>
    <w:p w14:paraId="709E2D7F" w14:textId="7517D911" w:rsidR="001A4023" w:rsidRDefault="0003237C" w:rsidP="0003237C">
      <w:pPr>
        <w:spacing w:before="0" w:after="60" w:line="280" w:lineRule="atLeast"/>
        <w:ind w:left="1077"/>
      </w:pPr>
      <w:r w:rsidRPr="0003237C">
        <w:rPr>
          <w:lang w:val="en-NZ"/>
        </w:rPr>
        <w:t xml:space="preserve">In summary, </w:t>
      </w:r>
      <w:r w:rsidR="00142603" w:rsidRPr="0003237C">
        <w:rPr>
          <w:lang w:val="en-NZ"/>
        </w:rPr>
        <w:t xml:space="preserve">one face to face </w:t>
      </w:r>
      <w:r w:rsidR="00142603">
        <w:rPr>
          <w:lang w:val="en-NZ"/>
        </w:rPr>
        <w:t xml:space="preserve">and </w:t>
      </w:r>
      <w:r w:rsidRPr="0003237C">
        <w:rPr>
          <w:lang w:val="en-NZ"/>
        </w:rPr>
        <w:t xml:space="preserve">seven </w:t>
      </w:r>
      <w:r w:rsidR="005E0D36">
        <w:rPr>
          <w:lang w:val="en-NZ"/>
        </w:rPr>
        <w:t>Z</w:t>
      </w:r>
      <w:r w:rsidRPr="0003237C">
        <w:rPr>
          <w:lang w:val="en-NZ"/>
        </w:rPr>
        <w:t>oom meetings were held.</w:t>
      </w:r>
      <w:r w:rsidR="00796BDB">
        <w:rPr>
          <w:lang w:val="en-NZ"/>
        </w:rPr>
        <w:t xml:space="preserve"> </w:t>
      </w:r>
      <w:r w:rsidRPr="0003237C">
        <w:rPr>
          <w:lang w:val="en-NZ"/>
        </w:rPr>
        <w:t xml:space="preserve">Participants included members of the Samoan, Tongan, Cook Island, </w:t>
      </w:r>
      <w:r w:rsidR="00142603">
        <w:rPr>
          <w:lang w:val="en-NZ"/>
        </w:rPr>
        <w:t xml:space="preserve">and </w:t>
      </w:r>
      <w:r w:rsidRPr="0003237C">
        <w:rPr>
          <w:lang w:val="en-NZ"/>
        </w:rPr>
        <w:t>Kiriba</w:t>
      </w:r>
      <w:r w:rsidR="00223C9F">
        <w:rPr>
          <w:lang w:val="en-NZ"/>
        </w:rPr>
        <w:t>ti</w:t>
      </w:r>
      <w:r w:rsidRPr="0003237C">
        <w:rPr>
          <w:lang w:val="en-NZ"/>
        </w:rPr>
        <w:t xml:space="preserve"> communities and also included Samoan/Māori, Māori and Māori/</w:t>
      </w:r>
      <w:proofErr w:type="spellStart"/>
      <w:r w:rsidRPr="0003237C">
        <w:rPr>
          <w:lang w:val="en-NZ"/>
        </w:rPr>
        <w:t>Pākehā</w:t>
      </w:r>
      <w:proofErr w:type="spellEnd"/>
      <w:r w:rsidRPr="0003237C">
        <w:rPr>
          <w:lang w:val="en-NZ"/>
        </w:rPr>
        <w:t xml:space="preserve"> members</w:t>
      </w:r>
      <w:r w:rsidR="00223C9F">
        <w:rPr>
          <w:lang w:val="en-NZ"/>
        </w:rPr>
        <w:t>.</w:t>
      </w:r>
      <w:r>
        <w:rPr>
          <w:rStyle w:val="FootnoteReference"/>
          <w:lang w:val="en-NZ"/>
        </w:rPr>
        <w:footnoteReference w:id="9"/>
      </w:r>
      <w:r w:rsidR="00796BDB">
        <w:rPr>
          <w:lang w:val="en-NZ"/>
        </w:rPr>
        <w:t xml:space="preserve"> </w:t>
      </w:r>
      <w:r w:rsidR="00142603">
        <w:rPr>
          <w:lang w:val="en-NZ"/>
        </w:rPr>
        <w:t>K</w:t>
      </w:r>
      <w:r w:rsidRPr="0003237C">
        <w:rPr>
          <w:lang w:val="en-NZ"/>
        </w:rPr>
        <w:t>ey people of the various Pacific communities</w:t>
      </w:r>
      <w:r w:rsidR="00142603">
        <w:rPr>
          <w:lang w:val="en-NZ"/>
        </w:rPr>
        <w:t xml:space="preserve"> were involved</w:t>
      </w:r>
      <w:r w:rsidRPr="0003237C">
        <w:rPr>
          <w:lang w:val="en-NZ"/>
        </w:rPr>
        <w:t>.</w:t>
      </w:r>
      <w:r w:rsidR="00796BDB">
        <w:rPr>
          <w:lang w:val="en-NZ"/>
        </w:rPr>
        <w:t xml:space="preserve"> </w:t>
      </w:r>
      <w:r w:rsidRPr="0003237C">
        <w:rPr>
          <w:lang w:val="en-NZ"/>
        </w:rPr>
        <w:t xml:space="preserve">This included village chiefs, academic leaders, Pacific representatives </w:t>
      </w:r>
      <w:r w:rsidR="00142603" w:rsidRPr="0003237C">
        <w:rPr>
          <w:lang w:val="en-NZ"/>
        </w:rPr>
        <w:t xml:space="preserve">from </w:t>
      </w:r>
      <w:r w:rsidR="00142603" w:rsidRPr="0003237C">
        <w:rPr>
          <w:lang w:val="en-NZ"/>
        </w:rPr>
        <w:lastRenderedPageBreak/>
        <w:t>government</w:t>
      </w:r>
      <w:r w:rsidRPr="0003237C">
        <w:rPr>
          <w:lang w:val="en-NZ"/>
        </w:rPr>
        <w:t xml:space="preserve"> departments such as Education and Corrections, non-government agencies and Pacific community providers.</w:t>
      </w:r>
      <w:r w:rsidR="00796BDB">
        <w:rPr>
          <w:lang w:val="en-NZ"/>
        </w:rPr>
        <w:t xml:space="preserve"> </w:t>
      </w:r>
      <w:r w:rsidRPr="0003237C">
        <w:rPr>
          <w:lang w:val="en-NZ"/>
        </w:rPr>
        <w:t>Consultation was also held with key Pacific leaders (and chiefs) in politics, social services and mental health.</w:t>
      </w:r>
      <w:r w:rsidR="00796BDB">
        <w:rPr>
          <w:lang w:val="en-NZ"/>
        </w:rPr>
        <w:t xml:space="preserve"> </w:t>
      </w:r>
      <w:r w:rsidRPr="0003237C">
        <w:rPr>
          <w:lang w:val="en-NZ"/>
        </w:rPr>
        <w:t>There was also a focus on hearing from the voices of our Pacific youth, bearers of wisdom (elderly) and representatives from the church and directly from key community leaders.</w:t>
      </w:r>
      <w:r w:rsidR="00796BDB">
        <w:rPr>
          <w:lang w:val="en-NZ"/>
        </w:rPr>
        <w:t xml:space="preserve"> </w:t>
      </w:r>
      <w:r w:rsidRPr="0003237C">
        <w:rPr>
          <w:lang w:val="en-NZ"/>
        </w:rPr>
        <w:t>In total, 27 people were involved in the Pacific engagement and talanoa sessions.</w:t>
      </w:r>
      <w:r w:rsidR="00796BDB">
        <w:rPr>
          <w:lang w:val="en-NZ"/>
        </w:rPr>
        <w:t xml:space="preserve"> </w:t>
      </w:r>
      <w:r w:rsidRPr="0003237C">
        <w:rPr>
          <w:lang w:val="en-NZ"/>
        </w:rPr>
        <w:t>Written feedback was also received from former Government Inquiry panel members in relation to the Pacific example</w:t>
      </w:r>
      <w:r w:rsidR="00142603">
        <w:rPr>
          <w:lang w:val="en-NZ"/>
        </w:rPr>
        <w:t>.</w:t>
      </w:r>
      <w:r w:rsidR="00796BDB">
        <w:rPr>
          <w:color w:val="FF0000"/>
          <w:lang w:val="en-NZ"/>
        </w:rPr>
        <w:t xml:space="preserve"> </w:t>
      </w:r>
    </w:p>
    <w:p w14:paraId="7F445679" w14:textId="65D1A6FC" w:rsidR="001A4023" w:rsidRDefault="001A4023" w:rsidP="001A4023">
      <w:pPr>
        <w:pStyle w:val="ListParagraph"/>
        <w:numPr>
          <w:ilvl w:val="0"/>
          <w:numId w:val="29"/>
        </w:numPr>
        <w:spacing w:before="0" w:after="60"/>
        <w:ind w:left="1077" w:hanging="357"/>
        <w:contextualSpacing w:val="0"/>
      </w:pPr>
      <w:r w:rsidRPr="0081192A">
        <w:rPr>
          <w:b/>
        </w:rPr>
        <w:t>Zoom discussions:</w:t>
      </w:r>
      <w:r>
        <w:t xml:space="preserve"> Whilst the online survey and consultation document </w:t>
      </w:r>
      <w:r w:rsidR="00373029">
        <w:t>we</w:t>
      </w:r>
      <w:r>
        <w:t>re the preferred methods to provide feedback, six groups requested a Zoom meeting to discuss the outcomes framework and provide high-level comments.</w:t>
      </w:r>
    </w:p>
    <w:p w14:paraId="29B3C5C1" w14:textId="77777777" w:rsidR="00FE3520" w:rsidRDefault="001A4023" w:rsidP="001A4023">
      <w:pPr>
        <w:pStyle w:val="ListParagraph"/>
        <w:numPr>
          <w:ilvl w:val="0"/>
          <w:numId w:val="29"/>
        </w:numPr>
        <w:spacing w:before="0" w:after="60"/>
        <w:ind w:left="1077" w:hanging="357"/>
        <w:contextualSpacing w:val="0"/>
      </w:pPr>
      <w:r>
        <w:rPr>
          <w:b/>
        </w:rPr>
        <w:t>Written letter:</w:t>
      </w:r>
      <w:r>
        <w:t xml:space="preserve"> Ten organisations sent a written letter providing broader feedback.</w:t>
      </w:r>
    </w:p>
    <w:p w14:paraId="15513A93" w14:textId="54858CD9" w:rsidR="009D0C55" w:rsidRPr="007E043C" w:rsidRDefault="001A4023" w:rsidP="007E043C">
      <w:pPr>
        <w:spacing w:after="120" w:line="269" w:lineRule="auto"/>
        <w:rPr>
          <w:rFonts w:cs="Arial"/>
          <w:color w:val="000000" w:themeColor="text1"/>
          <w:lang w:val="en-NZ"/>
        </w:rPr>
      </w:pPr>
      <w:r>
        <w:rPr>
          <w:rFonts w:cs="Arial"/>
          <w:color w:val="000000" w:themeColor="text1"/>
          <w:lang w:val="en-NZ"/>
        </w:rPr>
        <w:t>All these sources of engagement have been analysed to report the high-level findings in the next section ‘</w:t>
      </w:r>
      <w:r w:rsidR="005A76EB">
        <w:rPr>
          <w:rFonts w:cs="Arial"/>
          <w:color w:val="000000" w:themeColor="text1"/>
          <w:lang w:val="en-NZ"/>
        </w:rPr>
        <w:t>Feedback on the draft outcomes framework’</w:t>
      </w:r>
      <w:r>
        <w:rPr>
          <w:rFonts w:cs="Arial"/>
          <w:color w:val="000000" w:themeColor="text1"/>
          <w:lang w:val="en-NZ"/>
        </w:rPr>
        <w:t>.</w:t>
      </w:r>
    </w:p>
    <w:p w14:paraId="6840E7DA" w14:textId="7D01D73B" w:rsidR="009D0C55" w:rsidRDefault="009D0C55" w:rsidP="007E043C">
      <w:pPr>
        <w:spacing w:after="120" w:line="269" w:lineRule="auto"/>
        <w:rPr>
          <w:rFonts w:cs="Arial"/>
          <w:color w:val="000000" w:themeColor="text1"/>
          <w:lang w:val="en-NZ"/>
        </w:rPr>
      </w:pPr>
      <w:r w:rsidRPr="00624E26">
        <w:rPr>
          <w:rFonts w:cs="Arial"/>
          <w:color w:val="000000" w:themeColor="text1"/>
          <w:lang w:val="en-NZ"/>
        </w:rPr>
        <w:t xml:space="preserve">We </w:t>
      </w:r>
      <w:r>
        <w:rPr>
          <w:rFonts w:cs="Arial"/>
          <w:color w:val="000000" w:themeColor="text1"/>
          <w:lang w:val="en-NZ"/>
        </w:rPr>
        <w:t>are grateful to everyone</w:t>
      </w:r>
      <w:r w:rsidRPr="00624E26">
        <w:rPr>
          <w:rFonts w:cs="Arial"/>
          <w:color w:val="000000" w:themeColor="text1"/>
          <w:lang w:val="en-NZ"/>
        </w:rPr>
        <w:t xml:space="preserve"> who took the time to share their views</w:t>
      </w:r>
      <w:r>
        <w:rPr>
          <w:rFonts w:cs="Arial"/>
          <w:color w:val="000000" w:themeColor="text1"/>
          <w:lang w:val="en-NZ"/>
        </w:rPr>
        <w:t xml:space="preserve"> </w:t>
      </w:r>
      <w:r w:rsidR="00643455">
        <w:rPr>
          <w:rFonts w:cs="Arial"/>
          <w:color w:val="000000" w:themeColor="text1"/>
          <w:lang w:val="en-NZ"/>
        </w:rPr>
        <w:t>and, in some cases,</w:t>
      </w:r>
      <w:r>
        <w:rPr>
          <w:rFonts w:cs="Arial"/>
          <w:color w:val="000000" w:themeColor="text1"/>
          <w:lang w:val="en-NZ"/>
        </w:rPr>
        <w:t xml:space="preserve"> to gather the views of others to produce a collect</w:t>
      </w:r>
      <w:r w:rsidR="00223C9F">
        <w:rPr>
          <w:rFonts w:cs="Arial"/>
          <w:color w:val="000000" w:themeColor="text1"/>
          <w:lang w:val="en-NZ"/>
        </w:rPr>
        <w:t>ive</w:t>
      </w:r>
      <w:r>
        <w:rPr>
          <w:rFonts w:cs="Arial"/>
          <w:color w:val="000000" w:themeColor="text1"/>
          <w:lang w:val="en-NZ"/>
        </w:rPr>
        <w:t xml:space="preserve"> response</w:t>
      </w:r>
      <w:r w:rsidRPr="00624E26">
        <w:rPr>
          <w:rFonts w:cs="Arial"/>
          <w:color w:val="000000" w:themeColor="text1"/>
          <w:lang w:val="en-NZ"/>
        </w:rPr>
        <w:t xml:space="preserve">, especially during </w:t>
      </w:r>
      <w:r>
        <w:rPr>
          <w:rFonts w:cs="Arial"/>
          <w:color w:val="000000" w:themeColor="text1"/>
          <w:lang w:val="en-NZ"/>
        </w:rPr>
        <w:t>a</w:t>
      </w:r>
      <w:r w:rsidRPr="00624E26">
        <w:rPr>
          <w:rFonts w:cs="Arial"/>
          <w:color w:val="000000" w:themeColor="text1"/>
          <w:lang w:val="en-NZ"/>
        </w:rPr>
        <w:t xml:space="preserve"> time </w:t>
      </w:r>
      <w:r>
        <w:rPr>
          <w:rFonts w:cs="Arial"/>
          <w:color w:val="000000" w:themeColor="text1"/>
          <w:lang w:val="en-NZ"/>
        </w:rPr>
        <w:t xml:space="preserve">when New Zealand was in various levels of </w:t>
      </w:r>
      <w:r w:rsidR="005A76EB">
        <w:rPr>
          <w:rFonts w:cs="Arial"/>
          <w:color w:val="000000" w:themeColor="text1"/>
          <w:lang w:val="en-NZ"/>
        </w:rPr>
        <w:t xml:space="preserve">COVID-19 </w:t>
      </w:r>
      <w:r>
        <w:rPr>
          <w:rFonts w:cs="Arial"/>
          <w:color w:val="000000" w:themeColor="text1"/>
          <w:lang w:val="en-NZ"/>
        </w:rPr>
        <w:t>response</w:t>
      </w:r>
      <w:r w:rsidRPr="00624E26">
        <w:rPr>
          <w:rFonts w:cs="Arial"/>
          <w:color w:val="000000" w:themeColor="text1"/>
          <w:lang w:val="en-NZ"/>
        </w:rPr>
        <w:t xml:space="preserve">. </w:t>
      </w:r>
    </w:p>
    <w:p w14:paraId="159FB923" w14:textId="28874851" w:rsidR="007E043C" w:rsidRPr="00FE3520" w:rsidRDefault="009D0C55" w:rsidP="00FE3520">
      <w:pPr>
        <w:spacing w:after="120" w:line="269" w:lineRule="auto"/>
        <w:rPr>
          <w:rFonts w:cs="Arial"/>
          <w:color w:val="000000" w:themeColor="text1"/>
          <w:lang w:val="en-NZ"/>
        </w:rPr>
      </w:pPr>
      <w:r>
        <w:rPr>
          <w:rFonts w:cs="Arial"/>
          <w:color w:val="000000" w:themeColor="text1"/>
          <w:lang w:val="en-NZ"/>
        </w:rPr>
        <w:t xml:space="preserve">We did not hear back from everyone we contacted and acknowledge the timeframes and method of engagement may not have worked for some, especially those involved in the </w:t>
      </w:r>
      <w:r w:rsidR="005A76EB">
        <w:rPr>
          <w:rFonts w:cs="Arial"/>
          <w:color w:val="000000" w:themeColor="text1"/>
          <w:lang w:val="en-NZ"/>
        </w:rPr>
        <w:t xml:space="preserve">COVID-19 </w:t>
      </w:r>
      <w:r>
        <w:rPr>
          <w:rFonts w:cs="Arial"/>
          <w:color w:val="000000" w:themeColor="text1"/>
          <w:lang w:val="en-NZ"/>
        </w:rPr>
        <w:t xml:space="preserve">response. </w:t>
      </w:r>
    </w:p>
    <w:p w14:paraId="06F29AF1" w14:textId="77777777" w:rsidR="007E043C" w:rsidRDefault="007E043C">
      <w:pPr>
        <w:spacing w:before="0" w:after="160" w:line="259" w:lineRule="auto"/>
        <w:rPr>
          <w:rFonts w:eastAsiaTheme="majorEastAsia" w:cs="Arial"/>
          <w:b/>
          <w:sz w:val="28"/>
          <w:szCs w:val="26"/>
          <w:lang w:val="en-NZ"/>
        </w:rPr>
      </w:pPr>
      <w:r>
        <w:rPr>
          <w:lang w:val="en-NZ"/>
        </w:rPr>
        <w:br w:type="page"/>
      </w:r>
    </w:p>
    <w:p w14:paraId="72344BF1" w14:textId="1BE2BF28" w:rsidR="000C6F0B" w:rsidRPr="0095404F" w:rsidRDefault="006B4EF7" w:rsidP="00C669B1">
      <w:pPr>
        <w:pStyle w:val="Heading1"/>
        <w:rPr>
          <w:lang w:val="en-NZ"/>
        </w:rPr>
      </w:pPr>
      <w:bookmarkStart w:id="32" w:name="_Toc56063533"/>
      <w:r>
        <w:rPr>
          <w:lang w:val="en-NZ"/>
        </w:rPr>
        <w:lastRenderedPageBreak/>
        <w:t xml:space="preserve">Section 3: </w:t>
      </w:r>
      <w:r w:rsidR="00841E98">
        <w:rPr>
          <w:lang w:val="en-NZ"/>
        </w:rPr>
        <w:t>Feedback on the draft outcomes framework</w:t>
      </w:r>
      <w:bookmarkEnd w:id="32"/>
    </w:p>
    <w:p w14:paraId="75581E49" w14:textId="2E922BE1" w:rsidR="0016589B" w:rsidRPr="001619DE" w:rsidRDefault="0016589B" w:rsidP="007E043C">
      <w:pPr>
        <w:spacing w:after="120" w:line="269" w:lineRule="auto"/>
        <w:rPr>
          <w:color w:val="FF0000"/>
          <w:lang w:val="en-NZ"/>
        </w:rPr>
      </w:pPr>
      <w:r w:rsidRPr="00624E26">
        <w:rPr>
          <w:lang w:val="en-NZ"/>
        </w:rPr>
        <w:t xml:space="preserve">The following sections summarise </w:t>
      </w:r>
      <w:r w:rsidR="00C52FF2">
        <w:rPr>
          <w:lang w:val="en-NZ"/>
        </w:rPr>
        <w:t>what</w:t>
      </w:r>
      <w:r w:rsidRPr="00624E26">
        <w:rPr>
          <w:lang w:val="en-NZ"/>
        </w:rPr>
        <w:t xml:space="preserve"> we heard </w:t>
      </w:r>
      <w:r>
        <w:rPr>
          <w:lang w:val="en-NZ"/>
        </w:rPr>
        <w:t>about</w:t>
      </w:r>
      <w:r w:rsidRPr="00624E26">
        <w:rPr>
          <w:lang w:val="en-NZ"/>
        </w:rPr>
        <w:t xml:space="preserve"> </w:t>
      </w:r>
      <w:r w:rsidR="008B2EC9">
        <w:rPr>
          <w:lang w:val="en-NZ"/>
        </w:rPr>
        <w:t>the draft outcomes framework</w:t>
      </w:r>
      <w:r w:rsidRPr="00624E26">
        <w:rPr>
          <w:lang w:val="en-NZ"/>
        </w:rPr>
        <w:t xml:space="preserve">. </w:t>
      </w:r>
      <w:r w:rsidR="006433F8">
        <w:rPr>
          <w:lang w:val="en-NZ"/>
        </w:rPr>
        <w:t xml:space="preserve">We have included the numbers of responses to </w:t>
      </w:r>
      <w:r w:rsidR="006433F8" w:rsidRPr="00A27FC7">
        <w:rPr>
          <w:lang w:val="en-NZ"/>
        </w:rPr>
        <w:t xml:space="preserve">the </w:t>
      </w:r>
      <w:r w:rsidR="00A27FC7" w:rsidRPr="00A27FC7">
        <w:rPr>
          <w:lang w:val="en-NZ"/>
        </w:rPr>
        <w:t>closed</w:t>
      </w:r>
      <w:r w:rsidR="006433F8" w:rsidRPr="00A27FC7">
        <w:rPr>
          <w:lang w:val="en-NZ"/>
        </w:rPr>
        <w:t xml:space="preserve"> questions</w:t>
      </w:r>
      <w:r w:rsidR="00A27FC7" w:rsidRPr="00A27FC7">
        <w:rPr>
          <w:lang w:val="en-NZ"/>
        </w:rPr>
        <w:t xml:space="preserve"> (</w:t>
      </w:r>
      <w:r w:rsidR="005C5A8F">
        <w:rPr>
          <w:lang w:val="en-NZ"/>
        </w:rPr>
        <w:t xml:space="preserve">eg, </w:t>
      </w:r>
      <w:r w:rsidR="00A27FC7">
        <w:rPr>
          <w:lang w:val="en-NZ"/>
        </w:rPr>
        <w:t>agree/disagree)</w:t>
      </w:r>
      <w:r w:rsidR="000E5A16">
        <w:rPr>
          <w:lang w:val="en-NZ"/>
        </w:rPr>
        <w:t xml:space="preserve"> </w:t>
      </w:r>
      <w:r w:rsidR="00C670AA">
        <w:rPr>
          <w:lang w:val="en-NZ"/>
        </w:rPr>
        <w:t xml:space="preserve">to indicate the general level of support for aspects of the framework. </w:t>
      </w:r>
      <w:r w:rsidRPr="00624E26">
        <w:rPr>
          <w:lang w:val="en-NZ"/>
        </w:rPr>
        <w:t xml:space="preserve">The number of respondents who </w:t>
      </w:r>
      <w:r w:rsidR="00C670AA">
        <w:rPr>
          <w:lang w:val="en-NZ"/>
        </w:rPr>
        <w:t>commented on</w:t>
      </w:r>
      <w:r w:rsidRPr="00624E26">
        <w:rPr>
          <w:lang w:val="en-NZ"/>
        </w:rPr>
        <w:t xml:space="preserve"> each topic varied. </w:t>
      </w:r>
      <w:r w:rsidR="00EF296C">
        <w:rPr>
          <w:lang w:val="en-NZ"/>
        </w:rPr>
        <w:t xml:space="preserve">We have not </w:t>
      </w:r>
      <w:r w:rsidR="00B84F4E">
        <w:rPr>
          <w:lang w:val="en-NZ"/>
        </w:rPr>
        <w:t>quantified</w:t>
      </w:r>
      <w:r w:rsidR="00EF296C">
        <w:rPr>
          <w:lang w:val="en-NZ"/>
        </w:rPr>
        <w:t xml:space="preserve"> </w:t>
      </w:r>
      <w:r w:rsidR="00B84F4E">
        <w:rPr>
          <w:lang w:val="en-NZ"/>
        </w:rPr>
        <w:t xml:space="preserve">the themes </w:t>
      </w:r>
      <w:r w:rsidR="006433F8">
        <w:rPr>
          <w:lang w:val="en-NZ"/>
        </w:rPr>
        <w:t xml:space="preserve">from respondents’ comments </w:t>
      </w:r>
      <w:r w:rsidR="00B84F4E">
        <w:rPr>
          <w:lang w:val="en-NZ"/>
        </w:rPr>
        <w:t>as some responses represented multiple people</w:t>
      </w:r>
      <w:r>
        <w:rPr>
          <w:color w:val="FF0000"/>
          <w:lang w:val="en-NZ"/>
        </w:rPr>
        <w:t>.</w:t>
      </w:r>
    </w:p>
    <w:p w14:paraId="74E87009" w14:textId="700B49CB" w:rsidR="007E043C" w:rsidRDefault="0016589B" w:rsidP="007E043C">
      <w:pPr>
        <w:spacing w:after="120" w:line="269" w:lineRule="auto"/>
      </w:pPr>
      <w:r w:rsidRPr="00624E26">
        <w:rPr>
          <w:lang w:val="en-NZ"/>
        </w:rPr>
        <w:t xml:space="preserve">We </w:t>
      </w:r>
      <w:r w:rsidR="00C0207F">
        <w:rPr>
          <w:lang w:val="en-NZ"/>
        </w:rPr>
        <w:t xml:space="preserve">have </w:t>
      </w:r>
      <w:r w:rsidRPr="00A27FC7">
        <w:rPr>
          <w:lang w:val="en-NZ"/>
        </w:rPr>
        <w:t>quote</w:t>
      </w:r>
      <w:r w:rsidR="00C0207F">
        <w:rPr>
          <w:lang w:val="en-NZ"/>
        </w:rPr>
        <w:t>d</w:t>
      </w:r>
      <w:r w:rsidRPr="00A27FC7">
        <w:rPr>
          <w:lang w:val="en-NZ"/>
        </w:rPr>
        <w:t xml:space="preserve"> directly from the response documents</w:t>
      </w:r>
      <w:r w:rsidR="006433F8" w:rsidRPr="00A27FC7">
        <w:rPr>
          <w:lang w:val="en-NZ"/>
        </w:rPr>
        <w:t>, and from the notes made during focus groups</w:t>
      </w:r>
      <w:r w:rsidRPr="00A27FC7">
        <w:rPr>
          <w:lang w:val="en-NZ"/>
        </w:rPr>
        <w:t xml:space="preserve"> and </w:t>
      </w:r>
      <w:r w:rsidRPr="005C0DE6">
        <w:t>interviews</w:t>
      </w:r>
      <w:r w:rsidR="00E43F15" w:rsidRPr="005C0DE6">
        <w:t xml:space="preserve"> </w:t>
      </w:r>
      <w:r w:rsidR="00A27FC7" w:rsidRPr="005C0DE6">
        <w:t>(</w:t>
      </w:r>
      <w:r w:rsidR="006433F8" w:rsidRPr="005C0DE6">
        <w:t>these were sent back to participants for checking</w:t>
      </w:r>
      <w:r w:rsidR="00A27FC7" w:rsidRPr="005C0DE6">
        <w:t>)</w:t>
      </w:r>
      <w:r w:rsidRPr="005C0DE6">
        <w:t xml:space="preserve"> to provide a clear indication of what was said, and to </w:t>
      </w:r>
      <w:r w:rsidR="003205B8" w:rsidRPr="005C0DE6">
        <w:t>explain</w:t>
      </w:r>
      <w:r w:rsidRPr="005C0DE6">
        <w:t xml:space="preserve"> proposed </w:t>
      </w:r>
      <w:r w:rsidR="00C0207F">
        <w:t>changes</w:t>
      </w:r>
      <w:r w:rsidRPr="005C0DE6">
        <w:t>.</w:t>
      </w:r>
      <w:bookmarkStart w:id="33" w:name="_Toc42517042"/>
      <w:r w:rsidRPr="005C0DE6">
        <w:t xml:space="preserve"> </w:t>
      </w:r>
      <w:r w:rsidR="005C0DE6" w:rsidRPr="005C0DE6">
        <w:rPr>
          <w:lang w:val="en-NZ" w:eastAsia="en-NZ"/>
        </w:rPr>
        <w:t>Where there is a partial quote in the text, a footnote has been used to keep the text uncluttered.</w:t>
      </w:r>
      <w:r w:rsidR="005C0DE6">
        <w:t xml:space="preserve"> </w:t>
      </w:r>
    </w:p>
    <w:p w14:paraId="78616CC5" w14:textId="1C8B55D6" w:rsidR="00E43F15" w:rsidRPr="005C0DE6" w:rsidRDefault="00E43F15" w:rsidP="007E043C">
      <w:pPr>
        <w:spacing w:after="120" w:line="269" w:lineRule="auto"/>
      </w:pPr>
      <w:r w:rsidRPr="002A54DC">
        <w:rPr>
          <w:lang w:val="en-NZ"/>
        </w:rPr>
        <w:t xml:space="preserve">Quotes are not attributed to named </w:t>
      </w:r>
      <w:r w:rsidR="00C0207F" w:rsidRPr="002A54DC">
        <w:rPr>
          <w:lang w:val="en-NZ"/>
        </w:rPr>
        <w:t>individuals</w:t>
      </w:r>
      <w:r w:rsidR="00C0207F">
        <w:rPr>
          <w:lang w:val="en-NZ"/>
        </w:rPr>
        <w:t xml:space="preserve"> but</w:t>
      </w:r>
      <w:r w:rsidRPr="002A54DC">
        <w:rPr>
          <w:lang w:val="en-NZ"/>
        </w:rPr>
        <w:t xml:space="preserve"> are de-identified as </w:t>
      </w:r>
      <w:r w:rsidR="005D747C">
        <w:rPr>
          <w:lang w:val="en-NZ"/>
        </w:rPr>
        <w:t>‘</w:t>
      </w:r>
      <w:r w:rsidR="00C01272">
        <w:rPr>
          <w:lang w:val="en-NZ"/>
        </w:rPr>
        <w:t>i</w:t>
      </w:r>
      <w:r w:rsidRPr="002A54DC">
        <w:rPr>
          <w:lang w:val="en-NZ"/>
        </w:rPr>
        <w:t>ndividual respondent</w:t>
      </w:r>
      <w:r w:rsidR="005D747C">
        <w:rPr>
          <w:lang w:val="en-NZ"/>
        </w:rPr>
        <w:t>’</w:t>
      </w:r>
      <w:r w:rsidRPr="002A54DC">
        <w:rPr>
          <w:lang w:val="en-NZ"/>
        </w:rPr>
        <w:t>.</w:t>
      </w:r>
      <w:r w:rsidR="009A70F0">
        <w:rPr>
          <w:lang w:val="en-NZ"/>
        </w:rPr>
        <w:t xml:space="preserve"> </w:t>
      </w:r>
      <w:r w:rsidR="003F4460" w:rsidRPr="002A54DC">
        <w:rPr>
          <w:lang w:val="en-NZ"/>
        </w:rPr>
        <w:t>Q</w:t>
      </w:r>
      <w:r w:rsidRPr="002A54DC">
        <w:rPr>
          <w:lang w:val="en-NZ"/>
        </w:rPr>
        <w:t xml:space="preserve">uotes </w:t>
      </w:r>
      <w:r w:rsidR="003F4460" w:rsidRPr="002A54DC">
        <w:rPr>
          <w:lang w:val="en-NZ"/>
        </w:rPr>
        <w:t xml:space="preserve">are attributed </w:t>
      </w:r>
      <w:r w:rsidRPr="002A54DC">
        <w:rPr>
          <w:lang w:val="en-NZ"/>
        </w:rPr>
        <w:t>to groups or organisations</w:t>
      </w:r>
      <w:r w:rsidR="002A54DC" w:rsidRPr="002A54DC">
        <w:rPr>
          <w:lang w:val="en-NZ"/>
        </w:rPr>
        <w:t>, with</w:t>
      </w:r>
      <w:r w:rsidR="002A54DC">
        <w:rPr>
          <w:lang w:val="en-NZ"/>
        </w:rPr>
        <w:t xml:space="preserve"> the permission of the submitter.</w:t>
      </w:r>
      <w:r>
        <w:rPr>
          <w:lang w:val="en-NZ"/>
        </w:rPr>
        <w:t xml:space="preserve"> </w:t>
      </w:r>
    </w:p>
    <w:p w14:paraId="24236EF8" w14:textId="07CA6864" w:rsidR="002B099F" w:rsidRDefault="00FD7B0E" w:rsidP="00C669B1">
      <w:pPr>
        <w:pStyle w:val="Heading2"/>
      </w:pPr>
      <w:bookmarkStart w:id="34" w:name="_Toc56063534"/>
      <w:bookmarkEnd w:id="33"/>
      <w:r>
        <w:t>Overall rele</w:t>
      </w:r>
      <w:r w:rsidR="00C72C5B">
        <w:t>vance of the draft framework</w:t>
      </w:r>
      <w:r w:rsidR="00C84025">
        <w:t xml:space="preserve"> &amp; </w:t>
      </w:r>
      <w:r w:rsidR="009D0C55">
        <w:t>domains</w:t>
      </w:r>
      <w:bookmarkEnd w:id="34"/>
    </w:p>
    <w:p w14:paraId="26C3F5A5" w14:textId="7C1AE21C" w:rsidR="0033193F" w:rsidRPr="0033193F" w:rsidRDefault="0033193F" w:rsidP="007E043C">
      <w:pPr>
        <w:spacing w:after="120" w:line="269" w:lineRule="auto"/>
      </w:pPr>
      <w:r>
        <w:t xml:space="preserve">This section of the report combines the feedback received on the overall resonance of the framework and on how well the six areas of wellbeing cover </w:t>
      </w:r>
      <w:r w:rsidR="00C42027">
        <w:t>‘</w:t>
      </w:r>
      <w:r>
        <w:t>what wellbeing means to you</w:t>
      </w:r>
      <w:r w:rsidR="00C42027">
        <w:t>’</w:t>
      </w:r>
      <w:r>
        <w:t>.</w:t>
      </w:r>
      <w:r w:rsidR="00CA4C12">
        <w:t xml:space="preserve"> </w:t>
      </w:r>
      <w:r>
        <w:t xml:space="preserve">Respondents made very similar comments on both </w:t>
      </w:r>
      <w:r w:rsidR="007E043C">
        <w:t>questions</w:t>
      </w:r>
      <w:r>
        <w:t>.</w:t>
      </w:r>
    </w:p>
    <w:tbl>
      <w:tblPr>
        <w:tblStyle w:val="TableGrid"/>
        <w:tblW w:w="1020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26"/>
        <w:gridCol w:w="5244"/>
      </w:tblGrid>
      <w:tr w:rsidR="00BC0B36" w:rsidRPr="0095404F" w14:paraId="08800F57" w14:textId="77777777" w:rsidTr="009E2778">
        <w:tc>
          <w:tcPr>
            <w:tcW w:w="4531" w:type="dxa"/>
            <w:shd w:val="clear" w:color="auto" w:fill="auto"/>
          </w:tcPr>
          <w:p w14:paraId="09992ED2" w14:textId="22134EFE" w:rsidR="00BC0B36" w:rsidRDefault="00BC0B36" w:rsidP="00223C9F">
            <w:pPr>
              <w:pStyle w:val="Caption"/>
              <w:tabs>
                <w:tab w:val="left" w:pos="825"/>
              </w:tabs>
              <w:spacing w:before="120" w:after="120" w:line="269" w:lineRule="auto"/>
              <w:rPr>
                <w:noProof/>
              </w:rPr>
            </w:pPr>
            <w:bookmarkStart w:id="35" w:name="_Ref51830872"/>
            <w:r>
              <w:t xml:space="preserve">Figure </w:t>
            </w:r>
            <w:r>
              <w:fldChar w:fldCharType="begin"/>
            </w:r>
            <w:r>
              <w:instrText xml:space="preserve"> SEQ Figure \* ARABIC </w:instrText>
            </w:r>
            <w:r>
              <w:fldChar w:fldCharType="separate"/>
            </w:r>
            <w:r w:rsidR="002512BA">
              <w:rPr>
                <w:noProof/>
              </w:rPr>
              <w:t>1</w:t>
            </w:r>
            <w:r>
              <w:fldChar w:fldCharType="end"/>
            </w:r>
            <w:bookmarkEnd w:id="35"/>
            <w:r w:rsidR="00223C9F">
              <w:t xml:space="preserve"> </w:t>
            </w:r>
            <w:r>
              <w:t>Overall resonance of the framework</w:t>
            </w:r>
          </w:p>
        </w:tc>
        <w:tc>
          <w:tcPr>
            <w:tcW w:w="426" w:type="dxa"/>
          </w:tcPr>
          <w:p w14:paraId="54A5F53F" w14:textId="77777777" w:rsidR="00BC0B36" w:rsidRDefault="00BC0B36" w:rsidP="007E043C">
            <w:pPr>
              <w:pStyle w:val="Questionstyle"/>
              <w:spacing w:line="269" w:lineRule="auto"/>
              <w:rPr>
                <w:noProof/>
              </w:rPr>
            </w:pPr>
          </w:p>
        </w:tc>
        <w:tc>
          <w:tcPr>
            <w:tcW w:w="5244" w:type="dxa"/>
            <w:shd w:val="clear" w:color="auto" w:fill="auto"/>
          </w:tcPr>
          <w:p w14:paraId="7DBE4C3F" w14:textId="59B37740" w:rsidR="00BC0B36" w:rsidRDefault="00BC0B36" w:rsidP="007E043C">
            <w:pPr>
              <w:pStyle w:val="Caption"/>
              <w:spacing w:before="120" w:after="120" w:line="269" w:lineRule="auto"/>
              <w:rPr>
                <w:noProof/>
              </w:rPr>
            </w:pPr>
            <w:bookmarkStart w:id="36" w:name="_Ref51830874"/>
            <w:r>
              <w:t xml:space="preserve">Figure </w:t>
            </w:r>
            <w:r>
              <w:fldChar w:fldCharType="begin"/>
            </w:r>
            <w:r>
              <w:instrText xml:space="preserve"> SEQ Figure \* ARABIC </w:instrText>
            </w:r>
            <w:r>
              <w:fldChar w:fldCharType="separate"/>
            </w:r>
            <w:r w:rsidR="002512BA">
              <w:rPr>
                <w:noProof/>
              </w:rPr>
              <w:t>2</w:t>
            </w:r>
            <w:r>
              <w:fldChar w:fldCharType="end"/>
            </w:r>
            <w:bookmarkEnd w:id="36"/>
            <w:r>
              <w:t xml:space="preserve"> How well the six areas cover wellbeing</w:t>
            </w:r>
          </w:p>
        </w:tc>
      </w:tr>
      <w:tr w:rsidR="009E2778" w:rsidRPr="0095404F" w14:paraId="09F969E5" w14:textId="77777777" w:rsidTr="009E2778">
        <w:tc>
          <w:tcPr>
            <w:tcW w:w="4531" w:type="dxa"/>
            <w:shd w:val="clear" w:color="auto" w:fill="auto"/>
          </w:tcPr>
          <w:p w14:paraId="2147D65A" w14:textId="0A581EFB" w:rsidR="009E2778" w:rsidRDefault="009E2778" w:rsidP="007E043C">
            <w:pPr>
              <w:pStyle w:val="Caption"/>
              <w:spacing w:before="120" w:after="120" w:line="269" w:lineRule="auto"/>
            </w:pPr>
            <w:r>
              <w:rPr>
                <w:noProof/>
              </w:rPr>
              <w:drawing>
                <wp:inline distT="0" distB="0" distL="0" distR="0" wp14:anchorId="71A934A2" wp14:editId="1100E6D7">
                  <wp:extent cx="2740025" cy="2077720"/>
                  <wp:effectExtent l="0" t="0" r="3175" b="17780"/>
                  <wp:docPr id="1" name="Chart 1">
                    <a:extLst xmlns:a="http://schemas.openxmlformats.org/drawingml/2006/main">
                      <a:ext uri="{FF2B5EF4-FFF2-40B4-BE49-F238E27FC236}">
                        <a16:creationId xmlns:a16="http://schemas.microsoft.com/office/drawing/2014/main" id="{5EBEDD53-0CE0-4990-B134-1F55EF4C66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26" w:type="dxa"/>
          </w:tcPr>
          <w:p w14:paraId="5BF7101D" w14:textId="77777777" w:rsidR="009E2778" w:rsidRDefault="009E2778" w:rsidP="007E043C">
            <w:pPr>
              <w:pStyle w:val="Questionstyle"/>
              <w:spacing w:line="269" w:lineRule="auto"/>
              <w:rPr>
                <w:noProof/>
              </w:rPr>
            </w:pPr>
          </w:p>
        </w:tc>
        <w:tc>
          <w:tcPr>
            <w:tcW w:w="5244" w:type="dxa"/>
            <w:shd w:val="clear" w:color="auto" w:fill="auto"/>
          </w:tcPr>
          <w:p w14:paraId="30320513" w14:textId="676F3A00" w:rsidR="009E2778" w:rsidRDefault="009E2778" w:rsidP="007E043C">
            <w:pPr>
              <w:pStyle w:val="Caption"/>
              <w:spacing w:before="120" w:after="120" w:line="269" w:lineRule="auto"/>
            </w:pPr>
            <w:r>
              <w:rPr>
                <w:noProof/>
              </w:rPr>
              <w:drawing>
                <wp:inline distT="0" distB="0" distL="0" distR="0" wp14:anchorId="3110FA14" wp14:editId="1814B0F7">
                  <wp:extent cx="3158066" cy="2033270"/>
                  <wp:effectExtent l="0" t="0" r="4445" b="5080"/>
                  <wp:docPr id="7" name="Chart 7">
                    <a:extLst xmlns:a="http://schemas.openxmlformats.org/drawingml/2006/main">
                      <a:ext uri="{FF2B5EF4-FFF2-40B4-BE49-F238E27FC236}">
                        <a16:creationId xmlns:a16="http://schemas.microsoft.com/office/drawing/2014/main" id="{B9A1AFF2-D398-46C4-8A7F-84AD2D62D9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0E663BB3" w14:textId="77777777" w:rsidR="007E043C" w:rsidRDefault="0033193F" w:rsidP="007E043C">
      <w:pPr>
        <w:spacing w:after="120" w:line="269" w:lineRule="auto"/>
        <w:rPr>
          <w:lang w:val="en-NZ"/>
        </w:rPr>
      </w:pPr>
      <w:r>
        <w:rPr>
          <w:lang w:val="en-NZ"/>
        </w:rPr>
        <w:t>In general</w:t>
      </w:r>
      <w:r w:rsidR="007E043C">
        <w:rPr>
          <w:lang w:val="en-NZ"/>
        </w:rPr>
        <w:t>,</w:t>
      </w:r>
      <w:r>
        <w:rPr>
          <w:lang w:val="en-NZ"/>
        </w:rPr>
        <w:t xml:space="preserve"> the outcomes framework does resonate with people, and the </w:t>
      </w:r>
      <w:r w:rsidR="00471880">
        <w:rPr>
          <w:lang w:val="en-NZ"/>
        </w:rPr>
        <w:t>six</w:t>
      </w:r>
      <w:r>
        <w:rPr>
          <w:lang w:val="en-NZ"/>
        </w:rPr>
        <w:t xml:space="preserve"> areas of wellbeing do largely cover what wellbeing means to </w:t>
      </w:r>
      <w:r w:rsidR="007E043C">
        <w:rPr>
          <w:lang w:val="en-NZ"/>
        </w:rPr>
        <w:t>them</w:t>
      </w:r>
      <w:r>
        <w:rPr>
          <w:lang w:val="en-NZ"/>
        </w:rPr>
        <w:t xml:space="preserve">. </w:t>
      </w:r>
    </w:p>
    <w:p w14:paraId="1B38E296" w14:textId="221761B2" w:rsidR="00FE3520" w:rsidRDefault="009E2778" w:rsidP="007E043C">
      <w:pPr>
        <w:spacing w:after="120" w:line="269" w:lineRule="auto"/>
      </w:pPr>
      <w:r>
        <w:rPr>
          <w:lang w:val="en-NZ"/>
        </w:rPr>
        <w:t xml:space="preserve">As shown in </w:t>
      </w:r>
      <w:r>
        <w:rPr>
          <w:lang w:val="en-NZ"/>
        </w:rPr>
        <w:fldChar w:fldCharType="begin"/>
      </w:r>
      <w:r>
        <w:rPr>
          <w:lang w:val="en-NZ"/>
        </w:rPr>
        <w:instrText xml:space="preserve"> REF _Ref51830872 \h </w:instrText>
      </w:r>
      <w:r>
        <w:rPr>
          <w:lang w:val="en-NZ"/>
        </w:rPr>
      </w:r>
      <w:r>
        <w:rPr>
          <w:lang w:val="en-NZ"/>
        </w:rPr>
        <w:fldChar w:fldCharType="separate"/>
      </w:r>
      <w:r w:rsidR="002512BA">
        <w:t xml:space="preserve">Figure </w:t>
      </w:r>
      <w:r w:rsidR="002512BA">
        <w:rPr>
          <w:noProof/>
        </w:rPr>
        <w:t>1</w:t>
      </w:r>
      <w:r>
        <w:rPr>
          <w:lang w:val="en-NZ"/>
        </w:rPr>
        <w:fldChar w:fldCharType="end"/>
      </w:r>
      <w:r>
        <w:rPr>
          <w:lang w:val="en-NZ"/>
        </w:rPr>
        <w:t xml:space="preserve"> and </w:t>
      </w:r>
      <w:r>
        <w:rPr>
          <w:lang w:val="en-NZ"/>
        </w:rPr>
        <w:fldChar w:fldCharType="begin"/>
      </w:r>
      <w:r>
        <w:rPr>
          <w:lang w:val="en-NZ"/>
        </w:rPr>
        <w:instrText xml:space="preserve"> REF _Ref51830874 \h </w:instrText>
      </w:r>
      <w:r>
        <w:rPr>
          <w:lang w:val="en-NZ"/>
        </w:rPr>
      </w:r>
      <w:r>
        <w:rPr>
          <w:lang w:val="en-NZ"/>
        </w:rPr>
        <w:fldChar w:fldCharType="separate"/>
      </w:r>
      <w:r w:rsidR="002512BA">
        <w:t xml:space="preserve">Figure </w:t>
      </w:r>
      <w:r w:rsidR="002512BA">
        <w:rPr>
          <w:noProof/>
        </w:rPr>
        <w:t>2</w:t>
      </w:r>
      <w:r>
        <w:rPr>
          <w:lang w:val="en-NZ"/>
        </w:rPr>
        <w:fldChar w:fldCharType="end"/>
      </w:r>
      <w:r>
        <w:rPr>
          <w:lang w:val="en-NZ"/>
        </w:rPr>
        <w:t xml:space="preserve"> above</w:t>
      </w:r>
      <w:r w:rsidR="00223C9F">
        <w:rPr>
          <w:lang w:val="en-NZ"/>
        </w:rPr>
        <w:t>,</w:t>
      </w:r>
      <w:r>
        <w:rPr>
          <w:lang w:val="en-NZ"/>
        </w:rPr>
        <w:t xml:space="preserve"> m</w:t>
      </w:r>
      <w:r w:rsidR="006238F1" w:rsidRPr="0095404F">
        <w:rPr>
          <w:lang w:val="en-NZ"/>
        </w:rPr>
        <w:t xml:space="preserve">ost </w:t>
      </w:r>
      <w:r w:rsidR="00376851" w:rsidRPr="0095404F">
        <w:rPr>
          <w:lang w:val="en-NZ"/>
        </w:rPr>
        <w:t>respondents</w:t>
      </w:r>
      <w:r w:rsidR="006238F1" w:rsidRPr="0095404F">
        <w:rPr>
          <w:lang w:val="en-NZ"/>
        </w:rPr>
        <w:t xml:space="preserve"> </w:t>
      </w:r>
      <w:r w:rsidR="008D477D">
        <w:rPr>
          <w:lang w:val="en-NZ"/>
        </w:rPr>
        <w:t>(</w:t>
      </w:r>
      <w:r w:rsidR="009D0C55">
        <w:rPr>
          <w:lang w:val="en-NZ"/>
        </w:rPr>
        <w:t>87%</w:t>
      </w:r>
      <w:r w:rsidR="00D97845">
        <w:rPr>
          <w:lang w:val="en-NZ"/>
        </w:rPr>
        <w:t xml:space="preserve"> – </w:t>
      </w:r>
      <w:r w:rsidR="00A27FC7">
        <w:rPr>
          <w:lang w:val="en-NZ"/>
        </w:rPr>
        <w:t>7</w:t>
      </w:r>
      <w:r w:rsidR="004A5073">
        <w:rPr>
          <w:lang w:val="en-NZ"/>
        </w:rPr>
        <w:t>2</w:t>
      </w:r>
      <w:r w:rsidR="00A27FC7">
        <w:rPr>
          <w:lang w:val="en-NZ"/>
        </w:rPr>
        <w:t>/8</w:t>
      </w:r>
      <w:r w:rsidR="004A5073">
        <w:rPr>
          <w:lang w:val="en-NZ"/>
        </w:rPr>
        <w:t>3</w:t>
      </w:r>
      <w:r w:rsidR="008D477D">
        <w:rPr>
          <w:lang w:val="en-NZ"/>
        </w:rPr>
        <w:t xml:space="preserve">) </w:t>
      </w:r>
      <w:r w:rsidR="0041310B">
        <w:rPr>
          <w:lang w:val="en-NZ"/>
        </w:rPr>
        <w:t xml:space="preserve">said the </w:t>
      </w:r>
      <w:r w:rsidR="00B67F8A">
        <w:rPr>
          <w:lang w:val="en-NZ"/>
        </w:rPr>
        <w:t>outcomes</w:t>
      </w:r>
      <w:r w:rsidR="0041310B">
        <w:rPr>
          <w:lang w:val="en-NZ"/>
        </w:rPr>
        <w:t xml:space="preserve"> framework did resonate </w:t>
      </w:r>
      <w:r w:rsidR="00B67F8A">
        <w:rPr>
          <w:lang w:val="en-NZ"/>
        </w:rPr>
        <w:t>with them.</w:t>
      </w:r>
      <w:r w:rsidR="006238F1" w:rsidRPr="0095404F">
        <w:rPr>
          <w:lang w:val="en-NZ"/>
        </w:rPr>
        <w:t xml:space="preserve"> </w:t>
      </w:r>
      <w:r w:rsidR="00C84025">
        <w:t>All 8</w:t>
      </w:r>
      <w:r w:rsidR="004A5073">
        <w:t>3 respondents</w:t>
      </w:r>
      <w:r w:rsidR="00C84025">
        <w:t xml:space="preserve"> who answered this question consider</w:t>
      </w:r>
      <w:r w:rsidR="0033193F">
        <w:t>ed</w:t>
      </w:r>
      <w:r w:rsidR="00C84025">
        <w:t xml:space="preserve"> that the </w:t>
      </w:r>
      <w:r w:rsidR="00471880">
        <w:t>six</w:t>
      </w:r>
      <w:r w:rsidR="00C84025">
        <w:t xml:space="preserve"> areas covered to some extent what wellbeing means to them; 8</w:t>
      </w:r>
      <w:r w:rsidR="004A5073">
        <w:t>8</w:t>
      </w:r>
      <w:r w:rsidR="00C84025">
        <w:t xml:space="preserve">% </w:t>
      </w:r>
      <w:r>
        <w:t xml:space="preserve">(73/83) </w:t>
      </w:r>
      <w:r w:rsidR="00C84025">
        <w:t>of those responding consider</w:t>
      </w:r>
      <w:r w:rsidR="0033193F">
        <w:t>ed</w:t>
      </w:r>
      <w:r w:rsidR="00C84025">
        <w:t xml:space="preserve"> the areas mostly or completely covered what wellbeing means to them.</w:t>
      </w:r>
    </w:p>
    <w:p w14:paraId="322DEE5A" w14:textId="7A50F11D" w:rsidR="00F82529" w:rsidRDefault="00BC50F3" w:rsidP="00C669B1">
      <w:pPr>
        <w:pStyle w:val="Heading2"/>
      </w:pPr>
      <w:bookmarkStart w:id="37" w:name="_Toc56063535"/>
      <w:r>
        <w:lastRenderedPageBreak/>
        <w:t xml:space="preserve">Aspects </w:t>
      </w:r>
      <w:r w:rsidR="00A23106">
        <w:t xml:space="preserve">of the framework </w:t>
      </w:r>
      <w:r>
        <w:t>that resonate with respondents</w:t>
      </w:r>
      <w:r w:rsidR="00C73ADD">
        <w:t xml:space="preserve"> </w:t>
      </w:r>
      <w:r w:rsidR="00C0207F">
        <w:t>and</w:t>
      </w:r>
      <w:r w:rsidR="00C73ADD">
        <w:t xml:space="preserve"> suggested changes</w:t>
      </w:r>
      <w:bookmarkEnd w:id="37"/>
    </w:p>
    <w:p w14:paraId="321ECBCE" w14:textId="59526807" w:rsidR="0012720E" w:rsidRDefault="0012720E" w:rsidP="007E043C">
      <w:pPr>
        <w:pStyle w:val="Heading4"/>
        <w:spacing w:before="120" w:after="120" w:line="269" w:lineRule="auto"/>
      </w:pPr>
      <w:r>
        <w:t>Holistic and comprehensive</w:t>
      </w:r>
    </w:p>
    <w:p w14:paraId="390095EF" w14:textId="289BE253" w:rsidR="007C4ED8" w:rsidRDefault="00FE1AA4" w:rsidP="007E043C">
      <w:pPr>
        <w:spacing w:after="120" w:line="269" w:lineRule="auto"/>
        <w:rPr>
          <w:lang w:val="en-NZ"/>
        </w:rPr>
      </w:pPr>
      <w:r>
        <w:rPr>
          <w:lang w:val="en-NZ"/>
        </w:rPr>
        <w:t>Broadly, r</w:t>
      </w:r>
      <w:r w:rsidR="00471880">
        <w:rPr>
          <w:lang w:val="en-NZ"/>
        </w:rPr>
        <w:t xml:space="preserve">espondents appreciated that the framework </w:t>
      </w:r>
      <w:r w:rsidR="002709AD">
        <w:rPr>
          <w:lang w:val="en-NZ"/>
        </w:rPr>
        <w:t>is applicable</w:t>
      </w:r>
      <w:r w:rsidR="00471880">
        <w:rPr>
          <w:lang w:val="en-NZ"/>
        </w:rPr>
        <w:t xml:space="preserve"> to the ‘whole system’. </w:t>
      </w:r>
      <w:r w:rsidR="00E26FF9">
        <w:rPr>
          <w:lang w:val="en-NZ"/>
        </w:rPr>
        <w:t>Respondents commented favourably on the</w:t>
      </w:r>
      <w:r w:rsidR="00471880">
        <w:rPr>
          <w:lang w:val="en-NZ"/>
        </w:rPr>
        <w:t xml:space="preserve"> </w:t>
      </w:r>
      <w:r w:rsidR="00C048DB">
        <w:rPr>
          <w:lang w:val="en-NZ"/>
        </w:rPr>
        <w:t>holistic</w:t>
      </w:r>
      <w:r w:rsidR="0051010D">
        <w:rPr>
          <w:lang w:val="en-NZ"/>
        </w:rPr>
        <w:t xml:space="preserve"> </w:t>
      </w:r>
      <w:r w:rsidR="00C149B8">
        <w:rPr>
          <w:lang w:val="en-NZ"/>
        </w:rPr>
        <w:t>a</w:t>
      </w:r>
      <w:r w:rsidR="00C149B8" w:rsidRPr="00C149B8">
        <w:rPr>
          <w:lang w:val="en-NZ"/>
        </w:rPr>
        <w:t>pproach</w:t>
      </w:r>
      <w:r w:rsidR="00EE10BA">
        <w:rPr>
          <w:lang w:val="en-NZ"/>
        </w:rPr>
        <w:t xml:space="preserve"> </w:t>
      </w:r>
      <w:r w:rsidR="000F25F1">
        <w:rPr>
          <w:lang w:val="en-NZ"/>
        </w:rPr>
        <w:t xml:space="preserve">that </w:t>
      </w:r>
      <w:r w:rsidR="00C149B8" w:rsidRPr="00C149B8">
        <w:rPr>
          <w:lang w:val="en-NZ"/>
        </w:rPr>
        <w:t>includes structural and systemic factors</w:t>
      </w:r>
      <w:r w:rsidR="00C149B8">
        <w:rPr>
          <w:lang w:val="en-NZ"/>
        </w:rPr>
        <w:t xml:space="preserve"> </w:t>
      </w:r>
      <w:r w:rsidR="00C149B8" w:rsidRPr="00C149B8">
        <w:rPr>
          <w:lang w:val="en-NZ"/>
        </w:rPr>
        <w:t xml:space="preserve">that </w:t>
      </w:r>
      <w:r w:rsidR="00E26FF9">
        <w:rPr>
          <w:lang w:val="en-NZ"/>
        </w:rPr>
        <w:t>affect</w:t>
      </w:r>
      <w:r w:rsidR="00C149B8" w:rsidRPr="00C149B8">
        <w:rPr>
          <w:lang w:val="en-NZ"/>
        </w:rPr>
        <w:t xml:space="preserve"> wellbeing</w:t>
      </w:r>
      <w:r w:rsidR="00C149B8">
        <w:rPr>
          <w:lang w:val="en-NZ"/>
        </w:rPr>
        <w:t xml:space="preserve"> such as economic security</w:t>
      </w:r>
      <w:r w:rsidR="00C42027">
        <w:rPr>
          <w:lang w:val="en-NZ"/>
        </w:rPr>
        <w:t>.</w:t>
      </w:r>
    </w:p>
    <w:p w14:paraId="02C5863A" w14:textId="09F85FD7" w:rsidR="002200C2" w:rsidRDefault="00C42027" w:rsidP="007E043C">
      <w:pPr>
        <w:spacing w:after="120" w:line="269" w:lineRule="auto"/>
        <w:rPr>
          <w:lang w:val="en-NZ"/>
        </w:rPr>
      </w:pPr>
      <w:r>
        <w:rPr>
          <w:lang w:val="en-NZ"/>
        </w:rPr>
        <w:t xml:space="preserve">The framework was </w:t>
      </w:r>
      <w:r w:rsidR="00E26FF9">
        <w:rPr>
          <w:lang w:val="en-NZ"/>
        </w:rPr>
        <w:t xml:space="preserve">also generally </w:t>
      </w:r>
      <w:r>
        <w:rPr>
          <w:lang w:val="en-NZ"/>
        </w:rPr>
        <w:t xml:space="preserve">commended for </w:t>
      </w:r>
      <w:r w:rsidR="00F3667C">
        <w:rPr>
          <w:lang w:val="en-NZ"/>
        </w:rPr>
        <w:t xml:space="preserve">addressing wellbeing at both an individual and a population level, and for </w:t>
      </w:r>
      <w:r>
        <w:rPr>
          <w:lang w:val="en-NZ"/>
        </w:rPr>
        <w:t>being</w:t>
      </w:r>
      <w:r w:rsidR="002200C2">
        <w:rPr>
          <w:lang w:val="en-NZ"/>
        </w:rPr>
        <w:t xml:space="preserve"> </w:t>
      </w:r>
      <w:r w:rsidR="002F19B7">
        <w:rPr>
          <w:lang w:val="en-NZ"/>
        </w:rPr>
        <w:t xml:space="preserve">comprehensive </w:t>
      </w:r>
      <w:r w:rsidR="00B77481">
        <w:rPr>
          <w:lang w:val="en-NZ"/>
        </w:rPr>
        <w:t xml:space="preserve">and </w:t>
      </w:r>
      <w:r w:rsidR="002F19B7">
        <w:rPr>
          <w:lang w:val="en-NZ"/>
        </w:rPr>
        <w:t>inclusive of different population groups</w:t>
      </w:r>
      <w:r w:rsidR="0012720E">
        <w:rPr>
          <w:lang w:val="en-NZ"/>
        </w:rPr>
        <w:t>.</w:t>
      </w:r>
      <w:r w:rsidR="002F19B7" w:rsidRPr="002F19B7">
        <w:rPr>
          <w:lang w:val="en-NZ"/>
        </w:rPr>
        <w:t xml:space="preserve"> </w:t>
      </w:r>
      <w:r w:rsidR="00E26FF9">
        <w:rPr>
          <w:lang w:val="en-NZ"/>
        </w:rPr>
        <w:t>Many respondents appreciated that the framework</w:t>
      </w:r>
      <w:r w:rsidR="00B77481">
        <w:rPr>
          <w:lang w:val="en-NZ"/>
        </w:rPr>
        <w:t xml:space="preserve"> r</w:t>
      </w:r>
      <w:r w:rsidR="002F19B7">
        <w:rPr>
          <w:lang w:val="en-NZ"/>
        </w:rPr>
        <w:t>ecognises the difference in peoples</w:t>
      </w:r>
      <w:r w:rsidR="00B77481">
        <w:rPr>
          <w:lang w:val="en-NZ"/>
        </w:rPr>
        <w:t>’</w:t>
      </w:r>
      <w:r w:rsidR="002F19B7">
        <w:rPr>
          <w:lang w:val="en-NZ"/>
        </w:rPr>
        <w:t xml:space="preserve"> lived experience, </w:t>
      </w:r>
      <w:r w:rsidR="00B77481">
        <w:rPr>
          <w:lang w:val="en-NZ"/>
        </w:rPr>
        <w:t xml:space="preserve">and </w:t>
      </w:r>
      <w:r w:rsidR="002F19B7">
        <w:rPr>
          <w:lang w:val="en-NZ"/>
        </w:rPr>
        <w:t xml:space="preserve">explicitly mentions </w:t>
      </w:r>
      <w:r w:rsidR="009D0C55">
        <w:rPr>
          <w:lang w:val="en-NZ"/>
        </w:rPr>
        <w:t xml:space="preserve">aspects relevant to </w:t>
      </w:r>
      <w:r w:rsidR="002F19B7">
        <w:rPr>
          <w:lang w:val="en-NZ"/>
        </w:rPr>
        <w:t>different communities</w:t>
      </w:r>
      <w:r w:rsidR="00223C9F">
        <w:rPr>
          <w:lang w:val="en-NZ"/>
        </w:rPr>
        <w:t>. An</w:t>
      </w:r>
      <w:r w:rsidR="00B77481">
        <w:rPr>
          <w:lang w:val="en-NZ"/>
        </w:rPr>
        <w:t xml:space="preserve"> example</w:t>
      </w:r>
      <w:r w:rsidR="00223C9F">
        <w:rPr>
          <w:lang w:val="en-NZ"/>
        </w:rPr>
        <w:t xml:space="preserve"> of this is</w:t>
      </w:r>
      <w:r w:rsidR="002F19B7">
        <w:rPr>
          <w:lang w:val="en-NZ"/>
        </w:rPr>
        <w:t xml:space="preserve"> </w:t>
      </w:r>
      <w:r w:rsidR="009D0C55">
        <w:rPr>
          <w:lang w:val="en-NZ"/>
        </w:rPr>
        <w:t xml:space="preserve">discrimination experienced by </w:t>
      </w:r>
      <w:r w:rsidR="00B77481">
        <w:rPr>
          <w:lang w:val="en-NZ"/>
        </w:rPr>
        <w:t xml:space="preserve">the </w:t>
      </w:r>
      <w:r w:rsidR="002F19B7">
        <w:rPr>
          <w:lang w:val="en-NZ"/>
        </w:rPr>
        <w:t xml:space="preserve">rainbow community. </w:t>
      </w:r>
      <w:r w:rsidR="00E26FF9">
        <w:rPr>
          <w:lang w:val="en-NZ"/>
        </w:rPr>
        <w:t>There was general support for the framework speaking to both individual and collective wellbeing, and for placing</w:t>
      </w:r>
      <w:r w:rsidR="002F19B7">
        <w:rPr>
          <w:lang w:val="en-NZ"/>
        </w:rPr>
        <w:t xml:space="preserve"> people </w:t>
      </w:r>
      <w:r w:rsidR="00E26FF9">
        <w:rPr>
          <w:lang w:val="en-NZ"/>
        </w:rPr>
        <w:t>in</w:t>
      </w:r>
      <w:r w:rsidR="002F19B7">
        <w:rPr>
          <w:lang w:val="en-NZ"/>
        </w:rPr>
        <w:t xml:space="preserve"> bigger social groupings</w:t>
      </w:r>
      <w:r w:rsidR="00B77481">
        <w:rPr>
          <w:lang w:val="en-NZ"/>
        </w:rPr>
        <w:t>:</w:t>
      </w:r>
      <w:r w:rsidR="002F19B7">
        <w:rPr>
          <w:lang w:val="en-NZ"/>
        </w:rPr>
        <w:t xml:space="preserve"> whānau, family, </w:t>
      </w:r>
      <w:r w:rsidR="00B77481">
        <w:rPr>
          <w:lang w:val="en-NZ"/>
        </w:rPr>
        <w:t xml:space="preserve">and </w:t>
      </w:r>
      <w:r w:rsidR="002F19B7">
        <w:rPr>
          <w:lang w:val="en-NZ"/>
        </w:rPr>
        <w:t>community</w:t>
      </w:r>
      <w:r>
        <w:rPr>
          <w:lang w:val="en-NZ"/>
        </w:rPr>
        <w:t>.</w:t>
      </w:r>
    </w:p>
    <w:p w14:paraId="4D466A0C" w14:textId="6C759F6D" w:rsidR="002200C2" w:rsidRDefault="002200C2" w:rsidP="007E043C">
      <w:pPr>
        <w:pStyle w:val="Quote"/>
        <w:spacing w:before="120" w:after="120" w:line="269" w:lineRule="auto"/>
        <w:rPr>
          <w:lang w:val="en-NZ"/>
        </w:rPr>
      </w:pPr>
      <w:r w:rsidRPr="00BC50F3">
        <w:rPr>
          <w:lang w:val="en-NZ"/>
        </w:rPr>
        <w:t>It covers in the broadest terms what is needed as a human being to be a well, productive and connected member of society. It covers the three areas of physical, mental and social health but also talks to being part of a greater whole.</w:t>
      </w:r>
      <w:r>
        <w:rPr>
          <w:lang w:val="en-NZ"/>
        </w:rPr>
        <w:t xml:space="preserve"> [</w:t>
      </w:r>
      <w:r w:rsidR="007A7DCF" w:rsidRPr="007A7DCF">
        <w:rPr>
          <w:lang w:val="en-NZ"/>
        </w:rPr>
        <w:t>Royal New Zealand Returned and Services Association</w:t>
      </w:r>
      <w:r>
        <w:rPr>
          <w:lang w:val="en-NZ"/>
        </w:rPr>
        <w:t>]</w:t>
      </w:r>
    </w:p>
    <w:p w14:paraId="544107DC" w14:textId="2D6286E2" w:rsidR="008F3C5B" w:rsidRPr="008F3C5B" w:rsidRDefault="00C73ADD" w:rsidP="007E043C">
      <w:pPr>
        <w:spacing w:after="120" w:line="269" w:lineRule="auto"/>
      </w:pPr>
      <w:r>
        <w:rPr>
          <w:lang w:val="en-NZ"/>
        </w:rPr>
        <w:t>Respondents were generally positive about the comprehensive scope of the domains and the recognition of the interconnectedness of the concepts. However, several respondents thought the scope of the domain concepts tried to cover too much and were too broad ‘</w:t>
      </w:r>
      <w:r w:rsidRPr="00193667">
        <w:rPr>
          <w:lang w:val="en-NZ"/>
        </w:rPr>
        <w:t xml:space="preserve">to provide meaningful comfort for </w:t>
      </w:r>
      <w:r>
        <w:rPr>
          <w:lang w:val="en-NZ"/>
        </w:rPr>
        <w:t>[those who]</w:t>
      </w:r>
      <w:r w:rsidRPr="00193667">
        <w:rPr>
          <w:lang w:val="en-NZ"/>
        </w:rPr>
        <w:t xml:space="preserve"> should be the target of the commission’s work</w:t>
      </w:r>
      <w:r>
        <w:rPr>
          <w:lang w:val="en-NZ"/>
        </w:rPr>
        <w:t>’</w:t>
      </w:r>
      <w:r w:rsidR="00223C9F">
        <w:rPr>
          <w:lang w:val="en-NZ"/>
        </w:rPr>
        <w:t>.</w:t>
      </w:r>
      <w:r w:rsidR="008F3C5B">
        <w:rPr>
          <w:rStyle w:val="FootnoteReference"/>
          <w:lang w:val="en-NZ"/>
        </w:rPr>
        <w:footnoteReference w:id="10"/>
      </w:r>
      <w:r w:rsidR="007A7DCF">
        <w:rPr>
          <w:lang w:val="en-NZ"/>
        </w:rPr>
        <w:t xml:space="preserve"> </w:t>
      </w:r>
      <w:r>
        <w:t xml:space="preserve">It was suggested that the framework would benefit from greater clarity </w:t>
      </w:r>
      <w:r w:rsidR="008F3C5B">
        <w:t>in</w:t>
      </w:r>
      <w:r>
        <w:t xml:space="preserve"> the connection</w:t>
      </w:r>
      <w:r w:rsidRPr="00C0256A">
        <w:t xml:space="preserve"> between </w:t>
      </w:r>
      <w:r>
        <w:t xml:space="preserve">the </w:t>
      </w:r>
      <w:r w:rsidR="00C42027" w:rsidRPr="00C0256A">
        <w:t>high-level</w:t>
      </w:r>
      <w:r w:rsidRPr="00C0256A">
        <w:t xml:space="preserve"> </w:t>
      </w:r>
      <w:r>
        <w:t>domain</w:t>
      </w:r>
      <w:r w:rsidR="008F3C5B">
        <w:t xml:space="preserve"> name</w:t>
      </w:r>
      <w:r>
        <w:t xml:space="preserve"> </w:t>
      </w:r>
      <w:r w:rsidRPr="00C0256A">
        <w:t xml:space="preserve">and </w:t>
      </w:r>
      <w:r>
        <w:t xml:space="preserve">the </w:t>
      </w:r>
      <w:r w:rsidRPr="00C0256A">
        <w:t>descriptor</w:t>
      </w:r>
      <w:r w:rsidR="009D0C55">
        <w:t>s</w:t>
      </w:r>
      <w:r w:rsidR="008F3C5B">
        <w:t>,</w:t>
      </w:r>
      <w:r>
        <w:t xml:space="preserve"> and the distinction between areas</w:t>
      </w:r>
      <w:r w:rsidR="008F3C5B">
        <w:rPr>
          <w:lang w:val="en-NZ"/>
        </w:rPr>
        <w:t>.</w:t>
      </w:r>
    </w:p>
    <w:p w14:paraId="5DD75C3C" w14:textId="6283D3C8" w:rsidR="008F3C5B" w:rsidRDefault="008F3C5B" w:rsidP="007E043C">
      <w:pPr>
        <w:pStyle w:val="Quote"/>
        <w:spacing w:before="120" w:after="120" w:line="269" w:lineRule="auto"/>
        <w:rPr>
          <w:lang w:val="en-NZ"/>
        </w:rPr>
      </w:pPr>
      <w:r w:rsidRPr="007549B0">
        <w:rPr>
          <w:lang w:val="en-NZ"/>
        </w:rPr>
        <w:t>There appears to be some repetition across different outcome areas, for example outcome</w:t>
      </w:r>
      <w:r>
        <w:rPr>
          <w:lang w:val="en-NZ"/>
        </w:rPr>
        <w:t xml:space="preserve"> </w:t>
      </w:r>
      <w:r w:rsidRPr="007549B0">
        <w:rPr>
          <w:lang w:val="en-NZ"/>
        </w:rPr>
        <w:t>area 5 refers to optimism and outcome area 6 refers to hope, which seem to be similar</w:t>
      </w:r>
      <w:r>
        <w:rPr>
          <w:lang w:val="en-NZ"/>
        </w:rPr>
        <w:t xml:space="preserve"> </w:t>
      </w:r>
      <w:r w:rsidRPr="007549B0">
        <w:rPr>
          <w:lang w:val="en-NZ"/>
        </w:rPr>
        <w:t>concepts; and outcome area 5 refers to freedom from discrimination, which seems to about</w:t>
      </w:r>
      <w:r>
        <w:rPr>
          <w:lang w:val="en-NZ"/>
        </w:rPr>
        <w:t xml:space="preserve"> </w:t>
      </w:r>
      <w:r w:rsidRPr="007549B0">
        <w:rPr>
          <w:lang w:val="en-NZ"/>
        </w:rPr>
        <w:t>acceptance, but being accepted is referred to in outcome area 1.</w:t>
      </w:r>
      <w:r>
        <w:rPr>
          <w:lang w:val="en-NZ"/>
        </w:rPr>
        <w:t xml:space="preserve"> [</w:t>
      </w:r>
      <w:r w:rsidR="008B02D4">
        <w:rPr>
          <w:lang w:val="en-NZ"/>
        </w:rPr>
        <w:t>O</w:t>
      </w:r>
      <w:r w:rsidR="009B2C32">
        <w:rPr>
          <w:lang w:val="en-NZ"/>
        </w:rPr>
        <w:t>ffice of the Children’s Commissioner</w:t>
      </w:r>
      <w:r>
        <w:rPr>
          <w:lang w:val="en-NZ"/>
        </w:rPr>
        <w:t>]</w:t>
      </w:r>
    </w:p>
    <w:p w14:paraId="27C14081" w14:textId="04914CF2" w:rsidR="0012720E" w:rsidRDefault="0012720E" w:rsidP="007E043C">
      <w:pPr>
        <w:pStyle w:val="Heading4"/>
        <w:spacing w:before="120" w:after="120" w:line="269" w:lineRule="auto"/>
      </w:pPr>
      <w:r>
        <w:t>Aspirational and strengths-based,</w:t>
      </w:r>
      <w:r w:rsidRPr="0012720E">
        <w:t xml:space="preserve"> </w:t>
      </w:r>
      <w:r>
        <w:t>includes positive metal health concepts</w:t>
      </w:r>
    </w:p>
    <w:p w14:paraId="51AF5B9E" w14:textId="17BBBE6C" w:rsidR="0012720E" w:rsidRDefault="00276DDD" w:rsidP="007E043C">
      <w:pPr>
        <w:spacing w:after="120" w:line="269" w:lineRule="auto"/>
        <w:rPr>
          <w:lang w:val="en-NZ"/>
        </w:rPr>
      </w:pPr>
      <w:r>
        <w:rPr>
          <w:lang w:val="en-NZ"/>
        </w:rPr>
        <w:t xml:space="preserve">The framework </w:t>
      </w:r>
      <w:r w:rsidR="009D20EC">
        <w:rPr>
          <w:lang w:val="en-NZ"/>
        </w:rPr>
        <w:t xml:space="preserve">had support for </w:t>
      </w:r>
      <w:r>
        <w:rPr>
          <w:lang w:val="en-NZ"/>
        </w:rPr>
        <w:t>i</w:t>
      </w:r>
      <w:r w:rsidR="0012720E">
        <w:rPr>
          <w:lang w:val="en-NZ"/>
        </w:rPr>
        <w:t>nclud</w:t>
      </w:r>
      <w:r w:rsidR="009D20EC">
        <w:rPr>
          <w:lang w:val="en-NZ"/>
        </w:rPr>
        <w:t xml:space="preserve">ing </w:t>
      </w:r>
      <w:r w:rsidR="0012720E">
        <w:rPr>
          <w:lang w:val="en-NZ"/>
        </w:rPr>
        <w:t xml:space="preserve">positive mental health concepts: </w:t>
      </w:r>
      <w:r w:rsidR="0012720E" w:rsidRPr="002F19B7">
        <w:rPr>
          <w:lang w:val="en-NZ"/>
        </w:rPr>
        <w:t>such as</w:t>
      </w:r>
      <w:r w:rsidR="0012720E">
        <w:rPr>
          <w:lang w:val="en-NZ"/>
        </w:rPr>
        <w:t xml:space="preserve"> </w:t>
      </w:r>
      <w:r>
        <w:rPr>
          <w:lang w:val="en-NZ"/>
        </w:rPr>
        <w:t xml:space="preserve">development, </w:t>
      </w:r>
      <w:r w:rsidR="0012720E" w:rsidRPr="002F19B7">
        <w:rPr>
          <w:lang w:val="en-NZ"/>
        </w:rPr>
        <w:t>resilience, hope, ‘bounce back from adversity’, meaning, purpose and self</w:t>
      </w:r>
      <w:r w:rsidR="0012720E">
        <w:rPr>
          <w:lang w:val="en-NZ"/>
        </w:rPr>
        <w:t>-</w:t>
      </w:r>
      <w:r w:rsidR="0012720E" w:rsidRPr="002F19B7">
        <w:rPr>
          <w:lang w:val="en-NZ"/>
        </w:rPr>
        <w:t>determination</w:t>
      </w:r>
      <w:r w:rsidR="00B1485C">
        <w:rPr>
          <w:lang w:val="en-NZ"/>
        </w:rPr>
        <w:t>.</w:t>
      </w:r>
    </w:p>
    <w:p w14:paraId="3897C1AB" w14:textId="3068B0F6" w:rsidR="00C73ADD" w:rsidRDefault="00C73ADD" w:rsidP="007E043C">
      <w:pPr>
        <w:spacing w:after="120" w:line="269" w:lineRule="auto"/>
        <w:rPr>
          <w:lang w:val="en-NZ"/>
        </w:rPr>
      </w:pPr>
      <w:r>
        <w:rPr>
          <w:lang w:val="en-NZ"/>
        </w:rPr>
        <w:t>A few respondents expressed concern that the framework may set</w:t>
      </w:r>
      <w:r w:rsidRPr="00D17A84">
        <w:rPr>
          <w:lang w:val="en-NZ"/>
        </w:rPr>
        <w:t xml:space="preserve"> up </w:t>
      </w:r>
      <w:r w:rsidR="009C0BF7">
        <w:rPr>
          <w:lang w:val="en-NZ"/>
        </w:rPr>
        <w:t>‘</w:t>
      </w:r>
      <w:r w:rsidRPr="00D17A84">
        <w:rPr>
          <w:lang w:val="en-NZ"/>
        </w:rPr>
        <w:t>unrealistic expectations and a sense of frustration that the ideal seems too distant from the reality of life for many people</w:t>
      </w:r>
      <w:r>
        <w:rPr>
          <w:lang w:val="en-NZ"/>
        </w:rPr>
        <w:t>.’</w:t>
      </w:r>
      <w:r w:rsidR="009C0BF7">
        <w:rPr>
          <w:rStyle w:val="FootnoteReference"/>
          <w:lang w:val="en-NZ"/>
        </w:rPr>
        <w:footnoteReference w:id="11"/>
      </w:r>
      <w:r>
        <w:rPr>
          <w:lang w:val="en-NZ"/>
        </w:rPr>
        <w:t xml:space="preserve"> </w:t>
      </w:r>
      <w:r w:rsidR="005443F0">
        <w:rPr>
          <w:lang w:val="en-NZ"/>
        </w:rPr>
        <w:t>It was suggested that t</w:t>
      </w:r>
      <w:r w:rsidRPr="001E50D6">
        <w:rPr>
          <w:lang w:val="en-NZ"/>
        </w:rPr>
        <w:t>he outcomes</w:t>
      </w:r>
      <w:r w:rsidR="00D97845">
        <w:rPr>
          <w:lang w:val="en-NZ"/>
        </w:rPr>
        <w:t xml:space="preserve"> – </w:t>
      </w:r>
      <w:r>
        <w:rPr>
          <w:lang w:val="en-NZ"/>
        </w:rPr>
        <w:t>although</w:t>
      </w:r>
      <w:r w:rsidRPr="001E50D6">
        <w:rPr>
          <w:lang w:val="en-NZ"/>
        </w:rPr>
        <w:t xml:space="preserve"> framed for ‘ideals’</w:t>
      </w:r>
      <w:r w:rsidR="00D97845">
        <w:rPr>
          <w:lang w:val="en-NZ"/>
        </w:rPr>
        <w:t xml:space="preserve"> – </w:t>
      </w:r>
      <w:r w:rsidRPr="001E50D6">
        <w:rPr>
          <w:lang w:val="en-NZ"/>
        </w:rPr>
        <w:t xml:space="preserve">need to reflect reality </w:t>
      </w:r>
      <w:r>
        <w:rPr>
          <w:lang w:val="en-NZ"/>
        </w:rPr>
        <w:t>‘</w:t>
      </w:r>
      <w:r w:rsidRPr="001E50D6">
        <w:rPr>
          <w:lang w:val="en-NZ"/>
        </w:rPr>
        <w:t>and not set up a system where people feel they have failed if those ideals are not met</w:t>
      </w:r>
      <w:r>
        <w:rPr>
          <w:lang w:val="en-NZ"/>
        </w:rPr>
        <w:t>’</w:t>
      </w:r>
      <w:r w:rsidR="00223C9F">
        <w:rPr>
          <w:lang w:val="en-NZ"/>
        </w:rPr>
        <w:t>.</w:t>
      </w:r>
      <w:r w:rsidR="009C0BF7">
        <w:rPr>
          <w:rStyle w:val="FootnoteReference"/>
          <w:lang w:val="en-NZ"/>
        </w:rPr>
        <w:footnoteReference w:id="12"/>
      </w:r>
    </w:p>
    <w:p w14:paraId="30ED9AC8" w14:textId="1885111C" w:rsidR="00C73ADD" w:rsidRDefault="00C73ADD" w:rsidP="007E043C">
      <w:pPr>
        <w:pStyle w:val="Quote"/>
        <w:spacing w:before="120" w:after="120" w:line="269" w:lineRule="auto"/>
        <w:rPr>
          <w:lang w:val="en-NZ"/>
        </w:rPr>
      </w:pPr>
      <w:r w:rsidRPr="0074522D">
        <w:rPr>
          <w:lang w:val="en-NZ"/>
        </w:rPr>
        <w:t>Does there need to be more emphasis on resilience through adversity?</w:t>
      </w:r>
      <w:r>
        <w:rPr>
          <w:lang w:val="en-NZ"/>
        </w:rPr>
        <w:t xml:space="preserve"> </w:t>
      </w:r>
      <w:r w:rsidRPr="0074522D">
        <w:rPr>
          <w:lang w:val="en-NZ"/>
        </w:rPr>
        <w:t>For some people, intergenerational trauma and poverty with perspectives of limited possibilities, makes it more difficult to view these areas of well-being as related to their own lives.</w:t>
      </w:r>
      <w:r>
        <w:rPr>
          <w:lang w:val="en-NZ"/>
        </w:rPr>
        <w:t xml:space="preserve"> </w:t>
      </w:r>
      <w:r w:rsidR="007A7DCF">
        <w:rPr>
          <w:lang w:val="en-NZ"/>
        </w:rPr>
        <w:t>[</w:t>
      </w:r>
      <w:r w:rsidR="007A7DCF" w:rsidRPr="007A7DCF">
        <w:rPr>
          <w:lang w:val="en-NZ"/>
        </w:rPr>
        <w:t>Mental Health Nurses Section, NZNO</w:t>
      </w:r>
      <w:r w:rsidR="007A7DCF">
        <w:rPr>
          <w:lang w:val="en-NZ"/>
        </w:rPr>
        <w:t>]</w:t>
      </w:r>
    </w:p>
    <w:p w14:paraId="2657C672" w14:textId="62D68C81" w:rsidR="00C73ADD" w:rsidRPr="003F306C" w:rsidRDefault="00A01C5E" w:rsidP="007E043C">
      <w:pPr>
        <w:spacing w:after="120" w:line="269" w:lineRule="auto"/>
        <w:rPr>
          <w:rFonts w:ascii="Basic Sans" w:hAnsi="Basic Sans" w:cs="Basic Sans"/>
        </w:rPr>
      </w:pPr>
      <w:r>
        <w:rPr>
          <w:lang w:eastAsia="en-GB"/>
        </w:rPr>
        <w:lastRenderedPageBreak/>
        <w:t>Several respondents noted that t</w:t>
      </w:r>
      <w:r w:rsidR="00C73ADD">
        <w:rPr>
          <w:lang w:eastAsia="en-GB"/>
        </w:rPr>
        <w:t xml:space="preserve">he framework </w:t>
      </w:r>
      <w:r w:rsidR="009E2778">
        <w:rPr>
          <w:lang w:eastAsia="en-GB"/>
        </w:rPr>
        <w:t>should</w:t>
      </w:r>
      <w:r w:rsidR="00C73ADD">
        <w:rPr>
          <w:lang w:eastAsia="en-GB"/>
        </w:rPr>
        <w:t xml:space="preserve"> allow people to have </w:t>
      </w:r>
      <w:r w:rsidR="009E2778">
        <w:rPr>
          <w:lang w:eastAsia="en-GB"/>
        </w:rPr>
        <w:t>their own</w:t>
      </w:r>
      <w:r w:rsidR="00C73ADD" w:rsidRPr="007F07EE">
        <w:rPr>
          <w:lang w:eastAsia="en-GB"/>
        </w:rPr>
        <w:t xml:space="preserve"> goals for their li</w:t>
      </w:r>
      <w:r w:rsidR="00C73ADD">
        <w:rPr>
          <w:lang w:eastAsia="en-GB"/>
        </w:rPr>
        <w:t>ves. An example given here was</w:t>
      </w:r>
      <w:r w:rsidR="009D20EC">
        <w:rPr>
          <w:lang w:eastAsia="en-GB"/>
        </w:rPr>
        <w:t xml:space="preserve"> from the descriptor of domain 1 for everyone in Aotearoa (‘are safe and nurtured’)</w:t>
      </w:r>
      <w:r w:rsidR="00C73ADD">
        <w:rPr>
          <w:lang w:eastAsia="en-GB"/>
        </w:rPr>
        <w:t xml:space="preserve"> ‘</w:t>
      </w:r>
      <w:r w:rsidR="00C73ADD" w:rsidRPr="003F306C">
        <w:t>Where people experience disconnection, they are enabled to reconnect with themselves, their family, whānau and communities</w:t>
      </w:r>
      <w:r w:rsidR="00C73ADD">
        <w:t>.’</w:t>
      </w:r>
      <w:r w:rsidR="00AD22D6">
        <w:rPr>
          <w:rStyle w:val="FootnoteReference"/>
        </w:rPr>
        <w:footnoteReference w:id="13"/>
      </w:r>
      <w:r w:rsidR="00C73ADD">
        <w:t xml:space="preserve"> </w:t>
      </w:r>
      <w:r w:rsidR="005443F0">
        <w:t>It was noted that r</w:t>
      </w:r>
      <w:r w:rsidR="00C73ADD">
        <w:t>econnecting with family was not always desirable or possible.</w:t>
      </w:r>
    </w:p>
    <w:p w14:paraId="1064CA73" w14:textId="2B39306C" w:rsidR="00C73ADD" w:rsidRDefault="00C73ADD" w:rsidP="007E043C">
      <w:pPr>
        <w:spacing w:after="120" w:line="269" w:lineRule="auto"/>
        <w:rPr>
          <w:lang w:val="en-NZ"/>
        </w:rPr>
      </w:pPr>
      <w:r>
        <w:rPr>
          <w:lang w:val="en-NZ"/>
        </w:rPr>
        <w:t xml:space="preserve">Another </w:t>
      </w:r>
      <w:r w:rsidR="00F3667C">
        <w:rPr>
          <w:lang w:val="en-NZ"/>
        </w:rPr>
        <w:t xml:space="preserve">respondent </w:t>
      </w:r>
      <w:r>
        <w:rPr>
          <w:lang w:val="en-NZ"/>
        </w:rPr>
        <w:t xml:space="preserve">thought the domains did not go far enough, as </w:t>
      </w:r>
      <w:r w:rsidR="00A34AD5">
        <w:rPr>
          <w:lang w:val="en-NZ"/>
        </w:rPr>
        <w:t>they</w:t>
      </w:r>
      <w:r w:rsidR="00A34AD5" w:rsidRPr="00A34AD5">
        <w:rPr>
          <w:lang w:val="en-NZ"/>
        </w:rPr>
        <w:t xml:space="preserve"> </w:t>
      </w:r>
      <w:r w:rsidR="00A34AD5">
        <w:rPr>
          <w:lang w:val="en-NZ"/>
        </w:rPr>
        <w:t>‘</w:t>
      </w:r>
      <w:r w:rsidR="00A34AD5" w:rsidRPr="00A34AD5">
        <w:rPr>
          <w:lang w:val="en-NZ"/>
        </w:rPr>
        <w:t>seem limited to recovery and maintenance and, at best, aspiration rather than achievement.</w:t>
      </w:r>
      <w:r w:rsidR="00A34AD5">
        <w:rPr>
          <w:lang w:val="en-NZ"/>
        </w:rPr>
        <w:t>’</w:t>
      </w:r>
      <w:r w:rsidR="00A34AD5">
        <w:rPr>
          <w:rStyle w:val="FootnoteReference"/>
          <w:lang w:val="en-NZ"/>
        </w:rPr>
        <w:footnoteReference w:id="14"/>
      </w:r>
    </w:p>
    <w:p w14:paraId="09C07EFB" w14:textId="1B7FF204" w:rsidR="00C73ADD" w:rsidRDefault="00C73ADD" w:rsidP="007E043C">
      <w:pPr>
        <w:pStyle w:val="Heading4"/>
        <w:spacing w:before="120" w:after="120" w:line="269" w:lineRule="auto"/>
      </w:pPr>
      <w:r>
        <w:t>Address</w:t>
      </w:r>
      <w:r w:rsidR="008D5216">
        <w:t>es</w:t>
      </w:r>
      <w:r>
        <w:t xml:space="preserve"> socioeconomic disadvantage</w:t>
      </w:r>
    </w:p>
    <w:p w14:paraId="38D40979" w14:textId="511D1EA4" w:rsidR="00C73ADD" w:rsidRDefault="00F3667C" w:rsidP="007E043C">
      <w:pPr>
        <w:spacing w:after="120" w:line="269" w:lineRule="auto"/>
        <w:rPr>
          <w:lang w:val="en-NZ" w:eastAsia="en-GB"/>
        </w:rPr>
      </w:pPr>
      <w:r>
        <w:rPr>
          <w:lang w:val="en-NZ"/>
        </w:rPr>
        <w:t xml:space="preserve">There was strong support for the explicit </w:t>
      </w:r>
      <w:r>
        <w:rPr>
          <w:lang w:val="en-NZ" w:eastAsia="en-GB"/>
        </w:rPr>
        <w:t xml:space="preserve">link </w:t>
      </w:r>
      <w:r w:rsidR="00EA2AAF">
        <w:rPr>
          <w:lang w:val="en-NZ" w:eastAsia="en-GB"/>
        </w:rPr>
        <w:t xml:space="preserve">in the framework </w:t>
      </w:r>
      <w:r>
        <w:rPr>
          <w:lang w:val="en-NZ" w:eastAsia="en-GB"/>
        </w:rPr>
        <w:t>between</w:t>
      </w:r>
      <w:r w:rsidR="00C73ADD" w:rsidRPr="0022532C">
        <w:rPr>
          <w:lang w:val="en-NZ" w:eastAsia="en-GB"/>
        </w:rPr>
        <w:t xml:space="preserve"> </w:t>
      </w:r>
      <w:r w:rsidR="00EA2AAF" w:rsidRPr="0022532C">
        <w:rPr>
          <w:lang w:val="en-NZ" w:eastAsia="en-GB"/>
        </w:rPr>
        <w:t xml:space="preserve">health and wellbeing </w:t>
      </w:r>
      <w:r w:rsidR="00EA2AAF">
        <w:rPr>
          <w:lang w:val="en-NZ" w:eastAsia="en-GB"/>
        </w:rPr>
        <w:t xml:space="preserve">and </w:t>
      </w:r>
      <w:r w:rsidR="00C73ADD" w:rsidRPr="0022532C">
        <w:rPr>
          <w:lang w:val="en-NZ" w:eastAsia="en-GB"/>
        </w:rPr>
        <w:t>economic security</w:t>
      </w:r>
      <w:r w:rsidR="00EA2AAF">
        <w:rPr>
          <w:lang w:val="en-NZ" w:eastAsia="en-GB"/>
        </w:rPr>
        <w:t>.</w:t>
      </w:r>
      <w:r w:rsidR="00C73ADD" w:rsidRPr="0022532C">
        <w:rPr>
          <w:lang w:val="en-NZ" w:eastAsia="en-GB"/>
        </w:rPr>
        <w:t xml:space="preserve"> </w:t>
      </w:r>
      <w:r w:rsidR="00EA2AAF">
        <w:rPr>
          <w:lang w:val="en-NZ" w:eastAsia="en-GB"/>
        </w:rPr>
        <w:t xml:space="preserve">Similarly, respondents supported the link made between </w:t>
      </w:r>
      <w:r w:rsidR="00EA2AAF" w:rsidRPr="0022532C">
        <w:rPr>
          <w:lang w:val="en-NZ" w:eastAsia="en-GB"/>
        </w:rPr>
        <w:t>having</w:t>
      </w:r>
      <w:r w:rsidR="00EA2AAF">
        <w:rPr>
          <w:lang w:val="en-NZ" w:eastAsia="en-GB"/>
        </w:rPr>
        <w:t xml:space="preserve"> </w:t>
      </w:r>
      <w:r w:rsidR="00C73ADD" w:rsidRPr="0022532C">
        <w:rPr>
          <w:lang w:val="en-NZ" w:eastAsia="en-GB"/>
        </w:rPr>
        <w:t xml:space="preserve">economic resources </w:t>
      </w:r>
      <w:r w:rsidR="00EA2AAF">
        <w:rPr>
          <w:lang w:val="en-NZ" w:eastAsia="en-GB"/>
        </w:rPr>
        <w:t xml:space="preserve">and </w:t>
      </w:r>
      <w:r w:rsidR="00C73ADD" w:rsidRPr="0022532C">
        <w:rPr>
          <w:lang w:val="en-NZ" w:eastAsia="en-GB"/>
        </w:rPr>
        <w:t>self-determination and autonomy</w:t>
      </w:r>
      <w:r w:rsidR="00EA2AAF">
        <w:rPr>
          <w:lang w:val="en-NZ" w:eastAsia="en-GB"/>
        </w:rPr>
        <w:t>. However,</w:t>
      </w:r>
      <w:r w:rsidR="00C73ADD">
        <w:rPr>
          <w:lang w:val="en-NZ" w:eastAsia="en-GB"/>
        </w:rPr>
        <w:t xml:space="preserve"> </w:t>
      </w:r>
      <w:r w:rsidR="002C1F11">
        <w:rPr>
          <w:lang w:val="en-NZ" w:eastAsia="en-GB"/>
        </w:rPr>
        <w:t xml:space="preserve">several </w:t>
      </w:r>
      <w:r w:rsidR="00C73ADD">
        <w:rPr>
          <w:lang w:val="en-NZ" w:eastAsia="en-GB"/>
        </w:rPr>
        <w:t>respondents also thought socioeconomic disadvantage needed to be more strongly addressed.</w:t>
      </w:r>
    </w:p>
    <w:p w14:paraId="4841B314" w14:textId="70BB81FD" w:rsidR="00FC6E70" w:rsidRPr="00FE3520" w:rsidRDefault="00C73ADD" w:rsidP="00FE3520">
      <w:pPr>
        <w:pStyle w:val="Quote"/>
        <w:spacing w:before="120" w:after="120" w:line="269" w:lineRule="auto"/>
        <w:rPr>
          <w:lang w:val="en-NZ" w:eastAsia="en-GB"/>
        </w:rPr>
      </w:pPr>
      <w:r>
        <w:rPr>
          <w:lang w:val="en-NZ" w:eastAsia="en-GB"/>
        </w:rPr>
        <w:t>It</w:t>
      </w:r>
      <w:r w:rsidRPr="001A0534">
        <w:rPr>
          <w:lang w:val="en-NZ" w:eastAsia="en-GB"/>
        </w:rPr>
        <w:t xml:space="preserve"> does not get down to the crux of the matter in that people need to be able to access supports in the first place. People who are already at a disadvantage in location or lack of health/technology literacy are not able to get help where they are and in the manner they need.</w:t>
      </w:r>
      <w:r>
        <w:rPr>
          <w:lang w:val="en-NZ" w:eastAsia="en-GB"/>
        </w:rPr>
        <w:t xml:space="preserve"> </w:t>
      </w:r>
      <w:r w:rsidRPr="001A0534">
        <w:rPr>
          <w:lang w:val="en-NZ" w:eastAsia="en-GB"/>
        </w:rPr>
        <w:t xml:space="preserve">There are so many layers of social disadvantage people have to overcome, access to government departments, healthcare, financial advice and services, communication and decent and affordable housing are all areas that need to be addressed before we can </w:t>
      </w:r>
      <w:r w:rsidR="007F75F3">
        <w:rPr>
          <w:lang w:val="en-NZ" w:eastAsia="en-GB"/>
        </w:rPr>
        <w:t>‘</w:t>
      </w:r>
      <w:r w:rsidRPr="001A0534">
        <w:rPr>
          <w:lang w:val="en-NZ" w:eastAsia="en-GB"/>
        </w:rPr>
        <w:t>fix</w:t>
      </w:r>
      <w:r w:rsidR="007F75F3">
        <w:rPr>
          <w:lang w:val="en-NZ" w:eastAsia="en-GB"/>
        </w:rPr>
        <w:t>’</w:t>
      </w:r>
      <w:r w:rsidRPr="001A0534">
        <w:rPr>
          <w:lang w:val="en-NZ" w:eastAsia="en-GB"/>
        </w:rPr>
        <w:t xml:space="preserve"> the wellbeing issues.</w:t>
      </w:r>
      <w:r>
        <w:rPr>
          <w:lang w:val="en-NZ" w:eastAsia="en-GB"/>
        </w:rPr>
        <w:t xml:space="preserve"> </w:t>
      </w:r>
      <w:r w:rsidR="00862F07">
        <w:rPr>
          <w:lang w:val="en-NZ" w:eastAsia="en-GB"/>
        </w:rPr>
        <w:t>[Individual respondent]</w:t>
      </w:r>
    </w:p>
    <w:p w14:paraId="26A61C81" w14:textId="4D2D0D38" w:rsidR="00623AE5" w:rsidRDefault="00623AE5" w:rsidP="007E043C">
      <w:pPr>
        <w:pStyle w:val="Heading4"/>
        <w:spacing w:before="120" w:after="120" w:line="269" w:lineRule="auto"/>
      </w:pPr>
      <w:r>
        <w:t xml:space="preserve">The </w:t>
      </w:r>
      <w:r w:rsidR="002709AD">
        <w:t xml:space="preserve">layered </w:t>
      </w:r>
      <w:r>
        <w:t>framework</w:t>
      </w:r>
      <w:r w:rsidR="00C73ADD">
        <w:t xml:space="preserve"> </w:t>
      </w:r>
    </w:p>
    <w:p w14:paraId="6FB2AEB5" w14:textId="0DAF0341" w:rsidR="002C1F11" w:rsidRDefault="00CC4102" w:rsidP="007E043C">
      <w:pPr>
        <w:spacing w:after="120" w:line="269" w:lineRule="auto"/>
        <w:rPr>
          <w:lang w:val="en-NZ"/>
        </w:rPr>
      </w:pPr>
      <w:r>
        <w:rPr>
          <w:lang w:val="en-NZ"/>
        </w:rPr>
        <w:t>The l</w:t>
      </w:r>
      <w:r w:rsidR="002200C2">
        <w:rPr>
          <w:lang w:val="en-NZ"/>
        </w:rPr>
        <w:t>ayered design was broadly supported</w:t>
      </w:r>
      <w:r w:rsidR="00980690">
        <w:rPr>
          <w:lang w:val="en-NZ"/>
        </w:rPr>
        <w:t xml:space="preserve"> by Māori and </w:t>
      </w:r>
      <w:r w:rsidR="00810510">
        <w:rPr>
          <w:lang w:val="en-NZ"/>
        </w:rPr>
        <w:t>non-Māori</w:t>
      </w:r>
      <w:r w:rsidR="00980690">
        <w:rPr>
          <w:lang w:val="en-NZ"/>
        </w:rPr>
        <w:t xml:space="preserve"> respondents ‘</w:t>
      </w:r>
      <w:r>
        <w:rPr>
          <w:lang w:val="en-NZ"/>
        </w:rPr>
        <w:t>because it gave Te Tiriti ‘its rightful mana and place in our daily lives</w:t>
      </w:r>
      <w:r w:rsidR="00223C9F">
        <w:rPr>
          <w:lang w:val="en-NZ"/>
        </w:rPr>
        <w:t>,</w:t>
      </w:r>
      <w:r>
        <w:rPr>
          <w:lang w:val="en-NZ"/>
        </w:rPr>
        <w:t>’</w:t>
      </w:r>
      <w:r w:rsidR="008C34A0">
        <w:rPr>
          <w:rStyle w:val="FootnoteReference"/>
          <w:lang w:val="en-NZ"/>
        </w:rPr>
        <w:footnoteReference w:id="15"/>
      </w:r>
      <w:r w:rsidR="00980690">
        <w:rPr>
          <w:lang w:val="en-NZ"/>
        </w:rPr>
        <w:t xml:space="preserve"> </w:t>
      </w:r>
      <w:r w:rsidR="00B2471E">
        <w:rPr>
          <w:lang w:val="en-NZ"/>
        </w:rPr>
        <w:t xml:space="preserve">and </w:t>
      </w:r>
      <w:r w:rsidR="00980690">
        <w:rPr>
          <w:lang w:val="en-NZ"/>
        </w:rPr>
        <w:t>‘</w:t>
      </w:r>
      <w:r w:rsidR="00980690" w:rsidRPr="00980690">
        <w:rPr>
          <w:lang w:val="en-NZ"/>
        </w:rPr>
        <w:t xml:space="preserve">aims to uphold Te Tiriti </w:t>
      </w:r>
      <w:r w:rsidR="00D26F42">
        <w:rPr>
          <w:lang w:val="en-NZ"/>
        </w:rPr>
        <w:t>o</w:t>
      </w:r>
      <w:r w:rsidR="00CA4C12">
        <w:rPr>
          <w:lang w:val="en-NZ"/>
        </w:rPr>
        <w:t xml:space="preserve"> </w:t>
      </w:r>
      <w:r w:rsidR="00980690" w:rsidRPr="00980690">
        <w:rPr>
          <w:lang w:val="en-NZ"/>
        </w:rPr>
        <w:t>Waitangi, recognises Māori as tangata whenua and supports te ao Māori concepts and</w:t>
      </w:r>
      <w:r w:rsidR="00CA4C12">
        <w:rPr>
          <w:lang w:val="en-NZ"/>
        </w:rPr>
        <w:t xml:space="preserve"> </w:t>
      </w:r>
      <w:r w:rsidR="00980690" w:rsidRPr="00980690">
        <w:rPr>
          <w:lang w:val="en-NZ"/>
        </w:rPr>
        <w:t>understandings of wellbeing</w:t>
      </w:r>
      <w:r w:rsidR="00223C9F">
        <w:rPr>
          <w:lang w:val="en-NZ"/>
        </w:rPr>
        <w:t>.</w:t>
      </w:r>
      <w:r w:rsidR="00980690">
        <w:rPr>
          <w:lang w:val="en-NZ"/>
        </w:rPr>
        <w:t>’</w:t>
      </w:r>
      <w:r w:rsidR="00975C13">
        <w:rPr>
          <w:rStyle w:val="FootnoteReference"/>
          <w:lang w:val="en-NZ"/>
        </w:rPr>
        <w:footnoteReference w:id="16"/>
      </w:r>
      <w:r w:rsidR="00B77481" w:rsidRPr="00B77481">
        <w:rPr>
          <w:lang w:val="en-NZ"/>
        </w:rPr>
        <w:t xml:space="preserve"> </w:t>
      </w:r>
      <w:r w:rsidR="00B77481">
        <w:rPr>
          <w:lang w:val="en-NZ"/>
        </w:rPr>
        <w:t xml:space="preserve">The bicultural values, and complementary world views were </w:t>
      </w:r>
      <w:r w:rsidR="002C1F11">
        <w:rPr>
          <w:lang w:val="en-NZ"/>
        </w:rPr>
        <w:t xml:space="preserve">largely </w:t>
      </w:r>
      <w:r w:rsidR="00B77481">
        <w:rPr>
          <w:lang w:val="en-NZ"/>
        </w:rPr>
        <w:t>considered to support all</w:t>
      </w:r>
      <w:r w:rsidR="00EA2AAF">
        <w:rPr>
          <w:lang w:val="en-NZ"/>
        </w:rPr>
        <w:t xml:space="preserve"> people</w:t>
      </w:r>
      <w:r w:rsidR="00B77481">
        <w:rPr>
          <w:lang w:val="en-NZ"/>
        </w:rPr>
        <w:t xml:space="preserve">. </w:t>
      </w:r>
      <w:r w:rsidR="00C73ADD">
        <w:rPr>
          <w:lang w:val="en-NZ"/>
        </w:rPr>
        <w:t>There was general support for the intent in the framework to</w:t>
      </w:r>
      <w:r w:rsidR="00C73ADD" w:rsidRPr="007E77E7">
        <w:rPr>
          <w:lang w:val="en-NZ"/>
        </w:rPr>
        <w:t xml:space="preserve"> acknowledge Māori as tangata whenua and the Crown’s Treaty partner</w:t>
      </w:r>
      <w:r w:rsidR="00C73ADD">
        <w:rPr>
          <w:lang w:val="en-NZ"/>
        </w:rPr>
        <w:t xml:space="preserve">. </w:t>
      </w:r>
    </w:p>
    <w:p w14:paraId="1FB59AC5" w14:textId="6E96830F" w:rsidR="003C3CEF" w:rsidRDefault="002C1F11" w:rsidP="007E043C">
      <w:pPr>
        <w:spacing w:after="120" w:line="269" w:lineRule="auto"/>
        <w:rPr>
          <w:lang w:val="en-NZ"/>
        </w:rPr>
      </w:pPr>
      <w:r>
        <w:rPr>
          <w:lang w:val="en-NZ"/>
        </w:rPr>
        <w:t>However, respondents also suggested that t</w:t>
      </w:r>
      <w:r w:rsidR="00C73ADD" w:rsidRPr="00712808">
        <w:rPr>
          <w:lang w:val="en-NZ"/>
        </w:rPr>
        <w:t>he presentation of this intent need</w:t>
      </w:r>
      <w:r w:rsidR="00D03564">
        <w:rPr>
          <w:lang w:val="en-NZ"/>
        </w:rPr>
        <w:t xml:space="preserve">s </w:t>
      </w:r>
      <w:r w:rsidR="00C73ADD" w:rsidRPr="00712808">
        <w:rPr>
          <w:lang w:val="en-NZ"/>
        </w:rPr>
        <w:t>further work. The imagery</w:t>
      </w:r>
      <w:r w:rsidR="00C73ADD">
        <w:rPr>
          <w:lang w:val="en-NZ"/>
        </w:rPr>
        <w:t xml:space="preserve"> used to show the draft framework showed the interconnection of the domains</w:t>
      </w:r>
      <w:r w:rsidR="003C3CEF">
        <w:rPr>
          <w:lang w:val="en-NZ"/>
        </w:rPr>
        <w:t xml:space="preserve"> to some but to others it suggested a list:</w:t>
      </w:r>
    </w:p>
    <w:p w14:paraId="27381089" w14:textId="0C188F5D" w:rsidR="003C3CEF" w:rsidRDefault="003C3CEF" w:rsidP="007E043C">
      <w:pPr>
        <w:pStyle w:val="Quote"/>
        <w:spacing w:before="120" w:after="120" w:line="269" w:lineRule="auto"/>
        <w:rPr>
          <w:lang w:val="en-NZ"/>
        </w:rPr>
      </w:pPr>
      <w:r w:rsidRPr="003C3CEF">
        <w:rPr>
          <w:lang w:val="en-NZ"/>
        </w:rPr>
        <w:t>While recognising the value of a representation of the framework that can fit on one A4 page, the impression is of a list of priorities or a hierarchy with respect to mental health and wellbeing.</w:t>
      </w:r>
      <w:r w:rsidR="002236EF">
        <w:rPr>
          <w:lang w:val="en-NZ"/>
        </w:rPr>
        <w:t xml:space="preserve"> </w:t>
      </w:r>
      <w:r w:rsidRPr="003C3CEF">
        <w:rPr>
          <w:lang w:val="en-NZ"/>
        </w:rPr>
        <w:t>Presentation of the framework needs to offer an image that recognises how intertwined and interdependent each of the 6 areas of wellbeing are.</w:t>
      </w:r>
      <w:r w:rsidR="00975C13">
        <w:rPr>
          <w:lang w:val="en-NZ"/>
        </w:rPr>
        <w:t xml:space="preserve"> </w:t>
      </w:r>
      <w:r w:rsidR="004601C1">
        <w:rPr>
          <w:lang w:val="en-NZ"/>
        </w:rPr>
        <w:t>[</w:t>
      </w:r>
      <w:proofErr w:type="spellStart"/>
      <w:r w:rsidRPr="003C3CEF">
        <w:rPr>
          <w:lang w:val="en-NZ"/>
        </w:rPr>
        <w:t>Tōpūtanga</w:t>
      </w:r>
      <w:proofErr w:type="spellEnd"/>
      <w:r w:rsidRPr="003C3CEF">
        <w:rPr>
          <w:lang w:val="en-NZ"/>
        </w:rPr>
        <w:t xml:space="preserve"> </w:t>
      </w:r>
      <w:proofErr w:type="spellStart"/>
      <w:r w:rsidRPr="003C3CEF">
        <w:rPr>
          <w:lang w:val="en-NZ"/>
        </w:rPr>
        <w:t>Tapuhi</w:t>
      </w:r>
      <w:proofErr w:type="spellEnd"/>
      <w:r w:rsidRPr="003C3CEF">
        <w:rPr>
          <w:lang w:val="en-NZ"/>
        </w:rPr>
        <w:t xml:space="preserve"> Kaitiaki o Aotearoa New Zealand Nurses Organisation (NZNO)</w:t>
      </w:r>
      <w:r>
        <w:rPr>
          <w:lang w:val="en-NZ"/>
        </w:rPr>
        <w:t>]</w:t>
      </w:r>
    </w:p>
    <w:p w14:paraId="4341A41B" w14:textId="0E526A91" w:rsidR="00C73ADD" w:rsidRDefault="003C3CEF" w:rsidP="007E043C">
      <w:pPr>
        <w:spacing w:after="120" w:line="269" w:lineRule="auto"/>
        <w:rPr>
          <w:lang w:val="en-NZ"/>
        </w:rPr>
      </w:pPr>
      <w:r>
        <w:rPr>
          <w:lang w:val="en-NZ"/>
        </w:rPr>
        <w:t>It</w:t>
      </w:r>
      <w:r w:rsidR="00C73ADD">
        <w:rPr>
          <w:lang w:val="en-NZ"/>
        </w:rPr>
        <w:t xml:space="preserve"> wasn’t clear to all how the two layers (for tangata whenua and for everyone) related to each other.</w:t>
      </w:r>
      <w:r w:rsidR="00712808">
        <w:rPr>
          <w:lang w:val="en-NZ"/>
        </w:rPr>
        <w:t xml:space="preserve"> </w:t>
      </w:r>
      <w:r w:rsidR="00712808">
        <w:rPr>
          <w:lang w:val="en-NZ" w:eastAsia="en-GB"/>
        </w:rPr>
        <w:t xml:space="preserve">Some respondents stated that it was difficult to understand the relationship between the two layers. </w:t>
      </w:r>
      <w:r w:rsidR="0048466D">
        <w:rPr>
          <w:lang w:val="en-NZ"/>
        </w:rPr>
        <w:t>One respondent questioned how people of multiple ethnicities were to interpret the dual framework.</w:t>
      </w:r>
      <w:r w:rsidR="002B6DB8">
        <w:rPr>
          <w:lang w:val="en-NZ"/>
        </w:rPr>
        <w:t xml:space="preserve"> </w:t>
      </w:r>
      <w:r w:rsidR="00712808">
        <w:rPr>
          <w:lang w:val="en-NZ" w:eastAsia="en-GB"/>
        </w:rPr>
        <w:t>Other responses showed various interpretations of the relationship between the two layers.</w:t>
      </w:r>
    </w:p>
    <w:p w14:paraId="48418509" w14:textId="76AC36E3" w:rsidR="00C73ADD" w:rsidRDefault="00C73ADD" w:rsidP="007E043C">
      <w:pPr>
        <w:spacing w:after="120" w:line="269" w:lineRule="auto"/>
        <w:rPr>
          <w:lang w:val="en-NZ"/>
        </w:rPr>
      </w:pPr>
      <w:r>
        <w:rPr>
          <w:lang w:val="en-NZ"/>
        </w:rPr>
        <w:lastRenderedPageBreak/>
        <w:t xml:space="preserve">There was also a view that the </w:t>
      </w:r>
      <w:r w:rsidR="0044245A">
        <w:rPr>
          <w:lang w:val="en-NZ"/>
        </w:rPr>
        <w:t>‘</w:t>
      </w:r>
      <w:r>
        <w:rPr>
          <w:lang w:val="en-NZ"/>
        </w:rPr>
        <w:t xml:space="preserve">for </w:t>
      </w:r>
      <w:r w:rsidR="008C578A">
        <w:rPr>
          <w:lang w:val="en-NZ"/>
        </w:rPr>
        <w:t xml:space="preserve">Māori as </w:t>
      </w:r>
      <w:r>
        <w:rPr>
          <w:lang w:val="en-NZ"/>
        </w:rPr>
        <w:t>tangata whenua</w:t>
      </w:r>
      <w:r w:rsidR="0044245A">
        <w:rPr>
          <w:lang w:val="en-NZ"/>
        </w:rPr>
        <w:t>’</w:t>
      </w:r>
      <w:r>
        <w:rPr>
          <w:lang w:val="en-NZ"/>
        </w:rPr>
        <w:t xml:space="preserve"> domains </w:t>
      </w:r>
      <w:r w:rsidR="00C003F9">
        <w:rPr>
          <w:lang w:val="en-NZ"/>
        </w:rPr>
        <w:t>were</w:t>
      </w:r>
      <w:r>
        <w:rPr>
          <w:lang w:val="en-NZ"/>
        </w:rPr>
        <w:t xml:space="preserve"> universal and ‘can apply to some of us non-Māori too</w:t>
      </w:r>
      <w:r w:rsidR="00223C9F">
        <w:rPr>
          <w:lang w:val="en-NZ"/>
        </w:rPr>
        <w:t>.</w:t>
      </w:r>
      <w:r>
        <w:rPr>
          <w:lang w:val="en-NZ"/>
        </w:rPr>
        <w:t>’</w:t>
      </w:r>
      <w:r w:rsidR="009C0BF7">
        <w:rPr>
          <w:rStyle w:val="FootnoteReference"/>
          <w:lang w:val="en-NZ"/>
        </w:rPr>
        <w:footnoteReference w:id="17"/>
      </w:r>
      <w:r>
        <w:rPr>
          <w:lang w:val="en-NZ"/>
        </w:rPr>
        <w:t xml:space="preserve"> </w:t>
      </w:r>
    </w:p>
    <w:p w14:paraId="14999352" w14:textId="6E728AC8" w:rsidR="00C73ADD" w:rsidRDefault="00C73ADD" w:rsidP="007E043C">
      <w:pPr>
        <w:pStyle w:val="Quote"/>
        <w:spacing w:before="120" w:after="120" w:line="269" w:lineRule="auto"/>
        <w:rPr>
          <w:lang w:val="en-NZ"/>
        </w:rPr>
      </w:pPr>
      <w:r w:rsidRPr="007E77E7">
        <w:rPr>
          <w:lang w:val="en-NZ"/>
        </w:rPr>
        <w:t xml:space="preserve">It is important to note that the aspects of </w:t>
      </w:r>
      <w:r w:rsidR="00A14C43">
        <w:rPr>
          <w:lang w:val="en-NZ"/>
        </w:rPr>
        <w:t xml:space="preserve">Māori </w:t>
      </w:r>
      <w:r w:rsidRPr="007E77E7">
        <w:rPr>
          <w:lang w:val="en-NZ"/>
        </w:rPr>
        <w:t xml:space="preserve">wellbeing are applicable to all and should be seen as principles guiding the operation and practice of better mental health wellbeing by the </w:t>
      </w:r>
      <w:r>
        <w:rPr>
          <w:lang w:val="en-NZ"/>
        </w:rPr>
        <w:t>C</w:t>
      </w:r>
      <w:r w:rsidRPr="007E77E7">
        <w:rPr>
          <w:lang w:val="en-NZ"/>
        </w:rPr>
        <w:t>ommission.</w:t>
      </w:r>
      <w:r w:rsidR="00643A18">
        <w:rPr>
          <w:lang w:val="en-NZ"/>
        </w:rPr>
        <w:t xml:space="preserve"> </w:t>
      </w:r>
      <w:r w:rsidR="004601C1">
        <w:rPr>
          <w:lang w:val="en-NZ"/>
        </w:rPr>
        <w:t>[</w:t>
      </w:r>
      <w:r w:rsidR="00643A18">
        <w:rPr>
          <w:lang w:val="en-NZ"/>
        </w:rPr>
        <w:t>Whānau Ora Commissioning Agency</w:t>
      </w:r>
      <w:r>
        <w:rPr>
          <w:lang w:val="en-NZ"/>
        </w:rPr>
        <w:t>]</w:t>
      </w:r>
    </w:p>
    <w:p w14:paraId="3FC070E7" w14:textId="48C18E81" w:rsidR="0054200E" w:rsidRPr="0054200E" w:rsidRDefault="008C578A" w:rsidP="007E043C">
      <w:pPr>
        <w:spacing w:after="120" w:line="269" w:lineRule="auto"/>
        <w:rPr>
          <w:lang w:val="en-NZ"/>
        </w:rPr>
      </w:pPr>
      <w:r>
        <w:rPr>
          <w:lang w:val="en-NZ"/>
        </w:rPr>
        <w:t>A few respondents commented on the</w:t>
      </w:r>
      <w:r w:rsidR="0054200E" w:rsidRPr="0054200E">
        <w:rPr>
          <w:lang w:val="en-NZ"/>
        </w:rPr>
        <w:t xml:space="preserve"> ‘for everyone in Aotearoa’ layer reflect</w:t>
      </w:r>
      <w:r>
        <w:rPr>
          <w:lang w:val="en-NZ"/>
        </w:rPr>
        <w:t>ing</w:t>
      </w:r>
      <w:r w:rsidR="0054200E" w:rsidRPr="0054200E">
        <w:rPr>
          <w:lang w:val="en-NZ"/>
        </w:rPr>
        <w:t xml:space="preserve"> a Western world view, and in particular, an individualistic culture. </w:t>
      </w:r>
    </w:p>
    <w:p w14:paraId="7C8970FC" w14:textId="66CB7BFF" w:rsidR="0054200E" w:rsidRPr="00075B6B" w:rsidRDefault="0054200E" w:rsidP="007E043C">
      <w:pPr>
        <w:pStyle w:val="Quote"/>
        <w:spacing w:before="120" w:after="120" w:line="269" w:lineRule="auto"/>
        <w:rPr>
          <w:lang w:val="en-NZ"/>
        </w:rPr>
      </w:pPr>
      <w:r w:rsidRPr="0054200E">
        <w:t xml:space="preserve"> </w:t>
      </w:r>
      <w:proofErr w:type="gramStart"/>
      <w:r w:rsidRPr="0054200E">
        <w:t>…‘</w:t>
      </w:r>
      <w:proofErr w:type="gramEnd"/>
      <w:r w:rsidRPr="0054200E">
        <w:t>at the expense of those whose background differs substantially from this – namely people of refugee background</w:t>
      </w:r>
      <w:r w:rsidR="00D97845">
        <w:t xml:space="preserve"> – </w:t>
      </w:r>
      <w:r w:rsidRPr="0054200E">
        <w:t xml:space="preserve">many who come </w:t>
      </w:r>
      <w:r w:rsidR="00EA2AAF">
        <w:t xml:space="preserve">[from] </w:t>
      </w:r>
      <w:r w:rsidRPr="0054200E">
        <w:t>societies that are not heavily individualised. Perhaps some recognition of this in the document would help overcome this discrepancy</w:t>
      </w:r>
      <w:r w:rsidRPr="00075B6B">
        <w:t>.</w:t>
      </w:r>
      <w:r w:rsidRPr="00075B6B">
        <w:rPr>
          <w:lang w:val="en-NZ"/>
        </w:rPr>
        <w:t xml:space="preserve"> </w:t>
      </w:r>
      <w:r w:rsidR="002D6A4B" w:rsidRPr="00075B6B">
        <w:rPr>
          <w:lang w:val="en-NZ"/>
        </w:rPr>
        <w:t xml:space="preserve">[Organisation </w:t>
      </w:r>
      <w:r w:rsidR="002D6A4B">
        <w:rPr>
          <w:lang w:val="en-NZ"/>
        </w:rPr>
        <w:sym w:font="Symbol" w:char="F02D"/>
      </w:r>
      <w:r w:rsidR="002D6A4B" w:rsidRPr="00075B6B">
        <w:rPr>
          <w:lang w:val="en-NZ"/>
        </w:rPr>
        <w:t xml:space="preserve"> </w:t>
      </w:r>
      <w:r w:rsidR="002D6A4B">
        <w:t>did not consent to quotes being attributed</w:t>
      </w:r>
      <w:r w:rsidR="002D6A4B" w:rsidRPr="00075B6B">
        <w:rPr>
          <w:lang w:val="en-NZ"/>
        </w:rPr>
        <w:t>]</w:t>
      </w:r>
    </w:p>
    <w:p w14:paraId="762DCE13" w14:textId="639F45B8" w:rsidR="00C73ADD" w:rsidRDefault="002B6DB8" w:rsidP="007E043C">
      <w:pPr>
        <w:spacing w:after="120" w:line="269" w:lineRule="auto"/>
        <w:rPr>
          <w:lang w:val="en-NZ"/>
        </w:rPr>
      </w:pPr>
      <w:r>
        <w:rPr>
          <w:lang w:val="en-NZ"/>
        </w:rPr>
        <w:t>One respondent</w:t>
      </w:r>
      <w:r w:rsidR="00C73ADD">
        <w:rPr>
          <w:lang w:val="en-NZ"/>
        </w:rPr>
        <w:t xml:space="preserve"> saw a ‘</w:t>
      </w:r>
      <w:r w:rsidR="00C73ADD" w:rsidRPr="00133B50">
        <w:rPr>
          <w:lang w:val="en-NZ"/>
        </w:rPr>
        <w:t xml:space="preserve">disconnect between the outcome areas for all and </w:t>
      </w:r>
      <w:r w:rsidR="00A14C43">
        <w:rPr>
          <w:lang w:val="en-NZ"/>
        </w:rPr>
        <w:t>Māori</w:t>
      </w:r>
      <w:r w:rsidR="00223C9F">
        <w:rPr>
          <w:lang w:val="en-NZ"/>
        </w:rPr>
        <w:t>.</w:t>
      </w:r>
      <w:r w:rsidR="008C578A">
        <w:rPr>
          <w:lang w:val="en-NZ"/>
        </w:rPr>
        <w:t>’</w:t>
      </w:r>
      <w:r w:rsidR="002F0819">
        <w:rPr>
          <w:rStyle w:val="FootnoteReference"/>
          <w:lang w:val="en-NZ"/>
        </w:rPr>
        <w:footnoteReference w:id="18"/>
      </w:r>
      <w:r w:rsidR="00C73ADD">
        <w:rPr>
          <w:lang w:val="en-NZ"/>
        </w:rPr>
        <w:t xml:space="preserve"> T</w:t>
      </w:r>
      <w:r w:rsidR="00C73ADD" w:rsidRPr="007E77E7">
        <w:rPr>
          <w:lang w:val="en-NZ"/>
        </w:rPr>
        <w:t>he t</w:t>
      </w:r>
      <w:r w:rsidR="00474D50">
        <w:rPr>
          <w:lang w:val="en-NZ"/>
        </w:rPr>
        <w:t>e ao</w:t>
      </w:r>
      <w:r w:rsidR="00C73ADD" w:rsidRPr="007E77E7">
        <w:rPr>
          <w:lang w:val="en-NZ"/>
        </w:rPr>
        <w:t xml:space="preserve"> Māori elements </w:t>
      </w:r>
      <w:r w:rsidR="00C73ADD">
        <w:rPr>
          <w:lang w:val="en-NZ"/>
        </w:rPr>
        <w:t>were not just</w:t>
      </w:r>
      <w:r w:rsidR="00C73ADD" w:rsidRPr="007E77E7">
        <w:rPr>
          <w:lang w:val="en-NZ"/>
        </w:rPr>
        <w:t xml:space="preserve"> outcomes but values and cultural</w:t>
      </w:r>
      <w:r w:rsidR="00C73ADD">
        <w:rPr>
          <w:lang w:val="en-NZ"/>
        </w:rPr>
        <w:t xml:space="preserve"> and </w:t>
      </w:r>
      <w:r w:rsidR="00C73ADD" w:rsidRPr="007E77E7">
        <w:rPr>
          <w:lang w:val="en-NZ"/>
        </w:rPr>
        <w:t>social norms</w:t>
      </w:r>
      <w:r w:rsidR="00C73ADD">
        <w:rPr>
          <w:lang w:val="en-NZ"/>
        </w:rPr>
        <w:t xml:space="preserve">. There was also a view that the </w:t>
      </w:r>
      <w:r w:rsidR="00C003F9">
        <w:rPr>
          <w:lang w:val="en-NZ"/>
        </w:rPr>
        <w:t>‘</w:t>
      </w:r>
      <w:r w:rsidR="00C73ADD">
        <w:rPr>
          <w:lang w:val="en-NZ"/>
        </w:rPr>
        <w:t>for Māori’</w:t>
      </w:r>
      <w:r w:rsidR="00C003F9">
        <w:rPr>
          <w:lang w:val="en-NZ"/>
        </w:rPr>
        <w:t xml:space="preserve"> as tangata whenua’</w:t>
      </w:r>
      <w:r w:rsidR="00C73ADD">
        <w:rPr>
          <w:lang w:val="en-NZ"/>
        </w:rPr>
        <w:t xml:space="preserve"> layer read more positively than the ‘for everyone’ layer, and appeared to be at a higher level, for example, services are not mentioned in the ‘for Māori’ layer.</w:t>
      </w:r>
      <w:r w:rsidR="00CA4C12">
        <w:rPr>
          <w:lang w:val="en-NZ"/>
        </w:rPr>
        <w:t xml:space="preserve"> </w:t>
      </w:r>
      <w:r w:rsidR="00C73ADD">
        <w:rPr>
          <w:lang w:val="en-NZ"/>
        </w:rPr>
        <w:t>Also ‘for everyone’ seemed to be ‘harder’ and to have a stronger focus on socioeconomic determinants</w:t>
      </w:r>
      <w:r w:rsidR="008C578A">
        <w:rPr>
          <w:lang w:val="en-NZ"/>
        </w:rPr>
        <w:t xml:space="preserve">. </w:t>
      </w:r>
      <w:r w:rsidR="00C73ADD">
        <w:rPr>
          <w:lang w:val="en-NZ"/>
        </w:rPr>
        <w:t xml:space="preserve">Further there was </w:t>
      </w:r>
      <w:r w:rsidR="00C73ADD" w:rsidRPr="00697D7B">
        <w:rPr>
          <w:lang w:val="en-NZ"/>
        </w:rPr>
        <w:t xml:space="preserve">a stronger focus on spiritual connectedness and wellbeing for Māori than for </w:t>
      </w:r>
      <w:r w:rsidR="00DA07C4">
        <w:rPr>
          <w:lang w:val="en-NZ"/>
        </w:rPr>
        <w:t>everyone</w:t>
      </w:r>
      <w:r w:rsidR="00C73ADD" w:rsidRPr="00697D7B">
        <w:rPr>
          <w:lang w:val="en-NZ"/>
        </w:rPr>
        <w:t xml:space="preserve">, </w:t>
      </w:r>
      <w:r w:rsidR="003971EF">
        <w:rPr>
          <w:lang w:val="en-NZ"/>
        </w:rPr>
        <w:t>‘</w:t>
      </w:r>
      <w:r w:rsidR="00C73ADD" w:rsidRPr="00697D7B">
        <w:rPr>
          <w:lang w:val="en-NZ"/>
        </w:rPr>
        <w:t>which may diminish the importance of spirituality in other cultures</w:t>
      </w:r>
      <w:r w:rsidR="00223C9F">
        <w:rPr>
          <w:lang w:val="en-NZ"/>
        </w:rPr>
        <w:t>.</w:t>
      </w:r>
      <w:r w:rsidR="003971EF">
        <w:rPr>
          <w:lang w:val="en-NZ"/>
        </w:rPr>
        <w:t>’</w:t>
      </w:r>
      <w:r w:rsidR="003971EF">
        <w:rPr>
          <w:rStyle w:val="FootnoteReference"/>
          <w:lang w:val="en-NZ"/>
        </w:rPr>
        <w:footnoteReference w:id="19"/>
      </w:r>
    </w:p>
    <w:p w14:paraId="48E915BE" w14:textId="65838E6A" w:rsidR="008C578A" w:rsidRDefault="002B6DB8" w:rsidP="007E043C">
      <w:pPr>
        <w:spacing w:after="120" w:line="269" w:lineRule="auto"/>
        <w:rPr>
          <w:lang w:val="en-NZ"/>
        </w:rPr>
      </w:pPr>
      <w:r>
        <w:rPr>
          <w:lang w:val="en-NZ"/>
        </w:rPr>
        <w:t>A few</w:t>
      </w:r>
      <w:r w:rsidR="008C578A">
        <w:rPr>
          <w:lang w:val="en-NZ"/>
        </w:rPr>
        <w:t xml:space="preserve"> respondents thought that the dual framework layered design posed some risks:</w:t>
      </w:r>
    </w:p>
    <w:p w14:paraId="30F3FE21" w14:textId="73E2B1C3" w:rsidR="008C578A" w:rsidRDefault="008C578A" w:rsidP="007E043C">
      <w:pPr>
        <w:pStyle w:val="Quote"/>
        <w:spacing w:before="120" w:after="120" w:line="269" w:lineRule="auto"/>
        <w:rPr>
          <w:lang w:val="en-NZ"/>
        </w:rPr>
      </w:pPr>
      <w:r>
        <w:rPr>
          <w:lang w:val="en-NZ"/>
        </w:rPr>
        <w:t>…i</w:t>
      </w:r>
      <w:r w:rsidRPr="00310D99">
        <w:rPr>
          <w:lang w:val="en-NZ"/>
        </w:rPr>
        <w:t>f a layer is read in isolation then other relevant factors detailed in other frameworks are missed. This group-based separation may also overlook the impact on groups that experience overlapping and interdependent systems of discrimination or disadvantage (intersectionality) (</w:t>
      </w:r>
      <w:r w:rsidR="005C5A8F">
        <w:rPr>
          <w:lang w:val="en-NZ"/>
        </w:rPr>
        <w:t xml:space="preserve">eg, </w:t>
      </w:r>
      <w:r w:rsidRPr="00310D99">
        <w:rPr>
          <w:lang w:val="en-NZ"/>
        </w:rPr>
        <w:t>being Māori AND identifying with rainbow communities) and suggest careful consideration be given to how the frameworks can respond to the experience of intersectionality.</w:t>
      </w:r>
      <w:r>
        <w:rPr>
          <w:lang w:val="en-NZ"/>
        </w:rPr>
        <w:t xml:space="preserve"> [Mental Health Foundation]</w:t>
      </w:r>
    </w:p>
    <w:p w14:paraId="14131338" w14:textId="4EE7B457" w:rsidR="00C73ADD" w:rsidRDefault="00C73ADD" w:rsidP="007E043C">
      <w:pPr>
        <w:spacing w:after="120" w:line="269" w:lineRule="auto"/>
        <w:rPr>
          <w:lang w:val="en-NZ"/>
        </w:rPr>
      </w:pPr>
      <w:r>
        <w:rPr>
          <w:lang w:val="en-NZ"/>
        </w:rPr>
        <w:t xml:space="preserve">Suggestions </w:t>
      </w:r>
      <w:r w:rsidR="008268CA">
        <w:rPr>
          <w:lang w:val="en-NZ"/>
        </w:rPr>
        <w:t xml:space="preserve">from some respondents </w:t>
      </w:r>
      <w:r>
        <w:rPr>
          <w:lang w:val="en-NZ"/>
        </w:rPr>
        <w:t xml:space="preserve">for resolving these potential issues </w:t>
      </w:r>
      <w:r w:rsidR="00474D50">
        <w:rPr>
          <w:lang w:val="en-NZ"/>
        </w:rPr>
        <w:t>included</w:t>
      </w:r>
      <w:r>
        <w:rPr>
          <w:lang w:val="en-NZ"/>
        </w:rPr>
        <w:t xml:space="preserve">: </w:t>
      </w:r>
    </w:p>
    <w:p w14:paraId="3AD4FD3F" w14:textId="77777777" w:rsidR="00C73ADD" w:rsidRDefault="00C73ADD" w:rsidP="007E043C">
      <w:pPr>
        <w:pStyle w:val="ListParagraph"/>
        <w:numPr>
          <w:ilvl w:val="0"/>
          <w:numId w:val="17"/>
        </w:numPr>
        <w:spacing w:line="269" w:lineRule="auto"/>
        <w:rPr>
          <w:lang w:val="en-NZ"/>
        </w:rPr>
      </w:pPr>
      <w:r>
        <w:rPr>
          <w:lang w:val="en-NZ"/>
        </w:rPr>
        <w:t>integrate</w:t>
      </w:r>
      <w:r w:rsidRPr="00697D7B">
        <w:rPr>
          <w:lang w:val="en-NZ"/>
        </w:rPr>
        <w:t xml:space="preserve"> aspects that are covered more strongly in the English descriptions into the outcome descriptions for Māori where relevant and mov</w:t>
      </w:r>
      <w:r>
        <w:rPr>
          <w:lang w:val="en-NZ"/>
        </w:rPr>
        <w:t>e</w:t>
      </w:r>
      <w:r w:rsidRPr="00697D7B">
        <w:rPr>
          <w:lang w:val="en-NZ"/>
        </w:rPr>
        <w:t xml:space="preserve"> to a single framework.</w:t>
      </w:r>
    </w:p>
    <w:p w14:paraId="180432AE" w14:textId="4EA3E94F" w:rsidR="00C73ADD" w:rsidRDefault="00C73ADD" w:rsidP="007E043C">
      <w:pPr>
        <w:pStyle w:val="ListParagraph"/>
        <w:numPr>
          <w:ilvl w:val="0"/>
          <w:numId w:val="17"/>
        </w:numPr>
        <w:spacing w:line="269" w:lineRule="auto"/>
        <w:rPr>
          <w:lang w:val="en-NZ"/>
        </w:rPr>
      </w:pPr>
      <w:r w:rsidRPr="00B86B8F">
        <w:rPr>
          <w:lang w:val="en-NZ"/>
        </w:rPr>
        <w:t>have a high</w:t>
      </w:r>
      <w:r w:rsidR="00C42027">
        <w:rPr>
          <w:lang w:val="en-NZ"/>
        </w:rPr>
        <w:t>-</w:t>
      </w:r>
      <w:r w:rsidRPr="00B86B8F">
        <w:rPr>
          <w:lang w:val="en-NZ"/>
        </w:rPr>
        <w:t xml:space="preserve">level of aspirational statements, </w:t>
      </w:r>
      <w:r>
        <w:rPr>
          <w:lang w:val="en-NZ"/>
        </w:rPr>
        <w:t>with the</w:t>
      </w:r>
      <w:r w:rsidRPr="00B86B8F">
        <w:rPr>
          <w:lang w:val="en-NZ"/>
        </w:rPr>
        <w:t xml:space="preserve"> next level down to </w:t>
      </w:r>
      <w:r>
        <w:rPr>
          <w:lang w:val="en-NZ"/>
        </w:rPr>
        <w:t>describe</w:t>
      </w:r>
      <w:r w:rsidRPr="00B86B8F">
        <w:rPr>
          <w:lang w:val="en-NZ"/>
        </w:rPr>
        <w:t xml:space="preserve"> how this applies to different population groups (including </w:t>
      </w:r>
      <w:r>
        <w:rPr>
          <w:lang w:val="en-NZ"/>
        </w:rPr>
        <w:t xml:space="preserve">those with </w:t>
      </w:r>
      <w:r w:rsidRPr="00B86B8F">
        <w:rPr>
          <w:lang w:val="en-NZ"/>
        </w:rPr>
        <w:t xml:space="preserve">lived experience of mental illness, </w:t>
      </w:r>
      <w:r>
        <w:rPr>
          <w:lang w:val="en-NZ"/>
        </w:rPr>
        <w:t xml:space="preserve">or </w:t>
      </w:r>
      <w:r w:rsidRPr="00B86B8F">
        <w:rPr>
          <w:lang w:val="en-NZ"/>
        </w:rPr>
        <w:t>distress and/or addiction)</w:t>
      </w:r>
    </w:p>
    <w:p w14:paraId="7418FA0D" w14:textId="77777777" w:rsidR="00C73ADD" w:rsidRPr="0088688A" w:rsidRDefault="00C73ADD" w:rsidP="007E043C">
      <w:pPr>
        <w:pStyle w:val="ListParagraph"/>
        <w:numPr>
          <w:ilvl w:val="0"/>
          <w:numId w:val="17"/>
        </w:numPr>
        <w:spacing w:line="269" w:lineRule="auto"/>
        <w:rPr>
          <w:lang w:val="en-NZ"/>
        </w:rPr>
      </w:pPr>
      <w:r w:rsidRPr="0088688A">
        <w:rPr>
          <w:lang w:val="en-NZ"/>
        </w:rPr>
        <w:t xml:space="preserve">have standalone documents, rather than incorporating both together </w:t>
      </w:r>
    </w:p>
    <w:p w14:paraId="04DF73C6" w14:textId="77777777" w:rsidR="002B6DB8" w:rsidRDefault="00C73ADD" w:rsidP="007E043C">
      <w:pPr>
        <w:pStyle w:val="ListParagraph"/>
        <w:numPr>
          <w:ilvl w:val="0"/>
          <w:numId w:val="17"/>
        </w:numPr>
        <w:spacing w:line="269" w:lineRule="auto"/>
        <w:rPr>
          <w:lang w:val="en-NZ"/>
        </w:rPr>
      </w:pPr>
      <w:r>
        <w:rPr>
          <w:lang w:val="en-NZ"/>
        </w:rPr>
        <w:t>i</w:t>
      </w:r>
      <w:r w:rsidRPr="0088688A">
        <w:rPr>
          <w:lang w:val="en-NZ"/>
        </w:rPr>
        <w:t xml:space="preserve">nclude discussion of the importance of Māori as a Treaty </w:t>
      </w:r>
      <w:r>
        <w:rPr>
          <w:lang w:val="en-NZ"/>
        </w:rPr>
        <w:t>p</w:t>
      </w:r>
      <w:r w:rsidRPr="0088688A">
        <w:rPr>
          <w:lang w:val="en-NZ"/>
        </w:rPr>
        <w:t>artner.</w:t>
      </w:r>
    </w:p>
    <w:p w14:paraId="1D962617" w14:textId="52E3103E" w:rsidR="00032177" w:rsidRDefault="00C003F9" w:rsidP="00C003F9">
      <w:pPr>
        <w:rPr>
          <w:lang w:val="en-NZ"/>
        </w:rPr>
      </w:pPr>
      <w:r>
        <w:rPr>
          <w:lang w:val="en-NZ"/>
        </w:rPr>
        <w:t>R</w:t>
      </w:r>
      <w:r w:rsidR="00C73ADD" w:rsidRPr="00864152">
        <w:rPr>
          <w:lang w:val="en-NZ"/>
        </w:rPr>
        <w:t>enaming the layers</w:t>
      </w:r>
      <w:r>
        <w:rPr>
          <w:lang w:val="en-NZ"/>
        </w:rPr>
        <w:t xml:space="preserve"> was suggested</w:t>
      </w:r>
      <w:r w:rsidR="00C73ADD" w:rsidRPr="00864152">
        <w:rPr>
          <w:lang w:val="en-NZ"/>
        </w:rPr>
        <w:t xml:space="preserve"> so that they were not framed as ‘for’ particular groups</w:t>
      </w:r>
      <w:r>
        <w:rPr>
          <w:lang w:val="en-NZ"/>
        </w:rPr>
        <w:t>.</w:t>
      </w:r>
      <w:r w:rsidR="00032177" w:rsidRPr="00032177">
        <w:rPr>
          <w:lang w:val="en-NZ"/>
        </w:rPr>
        <w:t xml:space="preserve"> </w:t>
      </w:r>
      <w:r w:rsidR="00032177">
        <w:rPr>
          <w:lang w:val="en-NZ"/>
        </w:rPr>
        <w:t>Examples suggested to replace the heading</w:t>
      </w:r>
      <w:r w:rsidR="00032177" w:rsidRPr="00864152">
        <w:rPr>
          <w:lang w:val="en-NZ"/>
        </w:rPr>
        <w:t xml:space="preserve"> ‘for Māori as tangata whenua’ </w:t>
      </w:r>
      <w:r w:rsidR="00032177">
        <w:rPr>
          <w:lang w:val="en-NZ"/>
        </w:rPr>
        <w:t>were:</w:t>
      </w:r>
      <w:r w:rsidR="00032177" w:rsidRPr="00864152">
        <w:rPr>
          <w:lang w:val="en-NZ"/>
        </w:rPr>
        <w:t xml:space="preserve"> </w:t>
      </w:r>
    </w:p>
    <w:p w14:paraId="54097854" w14:textId="369BE492" w:rsidR="00C73ADD" w:rsidRPr="00032177" w:rsidRDefault="00032177" w:rsidP="007E043C">
      <w:pPr>
        <w:pStyle w:val="ListParagraph"/>
        <w:numPr>
          <w:ilvl w:val="0"/>
          <w:numId w:val="23"/>
        </w:numPr>
        <w:spacing w:line="269" w:lineRule="auto"/>
        <w:rPr>
          <w:lang w:val="en-NZ"/>
        </w:rPr>
      </w:pPr>
      <w:r w:rsidRPr="00032177">
        <w:rPr>
          <w:lang w:val="en-NZ"/>
        </w:rPr>
        <w:t xml:space="preserve">Te </w:t>
      </w:r>
      <w:r w:rsidR="00DA07C4">
        <w:rPr>
          <w:lang w:val="en-NZ"/>
        </w:rPr>
        <w:t>a</w:t>
      </w:r>
      <w:r w:rsidRPr="00032177">
        <w:rPr>
          <w:lang w:val="en-NZ"/>
        </w:rPr>
        <w:t xml:space="preserve">o Māori perspectives </w:t>
      </w:r>
    </w:p>
    <w:p w14:paraId="033D0442" w14:textId="41EC138C" w:rsidR="00032177" w:rsidRDefault="00C73ADD" w:rsidP="007E043C">
      <w:pPr>
        <w:pStyle w:val="ListParagraph"/>
        <w:numPr>
          <w:ilvl w:val="0"/>
          <w:numId w:val="22"/>
        </w:numPr>
        <w:spacing w:line="269" w:lineRule="auto"/>
        <w:rPr>
          <w:lang w:val="en-NZ"/>
        </w:rPr>
      </w:pPr>
      <w:r w:rsidRPr="008C578A">
        <w:rPr>
          <w:lang w:val="en-NZ"/>
        </w:rPr>
        <w:t>Tikanga Māori framework</w:t>
      </w:r>
    </w:p>
    <w:p w14:paraId="5CB6740D" w14:textId="06C79A0B" w:rsidR="00032177" w:rsidRDefault="00C73ADD" w:rsidP="007E043C">
      <w:pPr>
        <w:pStyle w:val="ListParagraph"/>
        <w:numPr>
          <w:ilvl w:val="0"/>
          <w:numId w:val="22"/>
        </w:numPr>
        <w:spacing w:line="269" w:lineRule="auto"/>
        <w:rPr>
          <w:lang w:val="en-NZ"/>
        </w:rPr>
      </w:pPr>
      <w:r w:rsidRPr="008C578A">
        <w:rPr>
          <w:lang w:val="en-NZ"/>
        </w:rPr>
        <w:t>Hauora Māori values framework</w:t>
      </w:r>
      <w:r w:rsidR="00C003F9">
        <w:rPr>
          <w:lang w:val="en-NZ"/>
        </w:rPr>
        <w:t>,</w:t>
      </w:r>
      <w:r w:rsidRPr="008C578A">
        <w:rPr>
          <w:lang w:val="en-NZ"/>
        </w:rPr>
        <w:t xml:space="preserve"> </w:t>
      </w:r>
    </w:p>
    <w:p w14:paraId="0A5A1146" w14:textId="61DD6DBB" w:rsidR="00C73ADD" w:rsidRPr="008C578A" w:rsidRDefault="00C003F9" w:rsidP="007E043C">
      <w:pPr>
        <w:spacing w:after="120" w:line="269" w:lineRule="auto"/>
        <w:rPr>
          <w:lang w:val="en-NZ"/>
        </w:rPr>
      </w:pPr>
      <w:r>
        <w:rPr>
          <w:lang w:val="en-NZ"/>
        </w:rPr>
        <w:lastRenderedPageBreak/>
        <w:t>a</w:t>
      </w:r>
      <w:r w:rsidR="00C73ADD" w:rsidRPr="008C578A">
        <w:rPr>
          <w:lang w:val="en-NZ"/>
        </w:rPr>
        <w:t xml:space="preserve">nd </w:t>
      </w:r>
      <w:r w:rsidR="00DA07C4">
        <w:rPr>
          <w:lang w:val="en-NZ"/>
        </w:rPr>
        <w:t>‘</w:t>
      </w:r>
      <w:r w:rsidR="00C73ADD" w:rsidRPr="008C578A">
        <w:rPr>
          <w:lang w:val="en-NZ"/>
        </w:rPr>
        <w:t>Outcomes framework</w:t>
      </w:r>
      <w:r w:rsidR="00DA07C4">
        <w:rPr>
          <w:lang w:val="en-NZ"/>
        </w:rPr>
        <w:t>’</w:t>
      </w:r>
      <w:r w:rsidR="00C73ADD" w:rsidRPr="008C578A">
        <w:rPr>
          <w:lang w:val="en-NZ"/>
        </w:rPr>
        <w:t xml:space="preserve"> instead of </w:t>
      </w:r>
      <w:r w:rsidR="00DA07C4">
        <w:rPr>
          <w:lang w:val="en-NZ"/>
        </w:rPr>
        <w:t>‘</w:t>
      </w:r>
      <w:r w:rsidR="00C73ADD" w:rsidRPr="008C578A">
        <w:rPr>
          <w:lang w:val="en-NZ"/>
        </w:rPr>
        <w:t>For Everyone</w:t>
      </w:r>
      <w:r w:rsidR="00DA07C4">
        <w:rPr>
          <w:lang w:val="en-NZ"/>
        </w:rPr>
        <w:t>’</w:t>
      </w:r>
      <w:r w:rsidR="00C73ADD" w:rsidRPr="008C578A">
        <w:rPr>
          <w:lang w:val="en-NZ"/>
        </w:rPr>
        <w:t xml:space="preserve">. </w:t>
      </w:r>
    </w:p>
    <w:p w14:paraId="77BB4DE0" w14:textId="77777777" w:rsidR="0054200E" w:rsidRDefault="0054200E" w:rsidP="007E043C">
      <w:pPr>
        <w:pStyle w:val="Heading5"/>
        <w:spacing w:before="120" w:after="120" w:line="269" w:lineRule="auto"/>
      </w:pPr>
      <w:r>
        <w:t>The Pacific example</w:t>
      </w:r>
    </w:p>
    <w:p w14:paraId="67A790DF" w14:textId="3C714562" w:rsidR="0054200E" w:rsidRDefault="0054200E" w:rsidP="007E043C">
      <w:pPr>
        <w:spacing w:after="120" w:line="269" w:lineRule="auto"/>
      </w:pPr>
      <w:r>
        <w:t xml:space="preserve">From the </w:t>
      </w:r>
      <w:r w:rsidR="00DA07C4">
        <w:t>t</w:t>
      </w:r>
      <w:r>
        <w:t xml:space="preserve">alanoa – the </w:t>
      </w:r>
      <w:r w:rsidR="00D97845">
        <w:rPr>
          <w:color w:val="000000" w:themeColor="text1"/>
        </w:rPr>
        <w:t>Pacific</w:t>
      </w:r>
      <w:r w:rsidR="00DA07C4">
        <w:rPr>
          <w:color w:val="000000" w:themeColor="text1"/>
        </w:rPr>
        <w:t xml:space="preserve"> </w:t>
      </w:r>
      <w:r>
        <w:t>engagement – respondents said the Pacific example resonated more with them than the dual-layered foundational outcomes framework. They felt the language was more relatable and easily understood.</w:t>
      </w:r>
    </w:p>
    <w:p w14:paraId="226D96A7" w14:textId="2DF22DB6" w:rsidR="0054200E" w:rsidRDefault="0054200E" w:rsidP="007E043C">
      <w:pPr>
        <w:spacing w:after="120" w:line="269" w:lineRule="auto"/>
      </w:pPr>
      <w:r>
        <w:t xml:space="preserve">However, they suggested that the Pacific example domain headings </w:t>
      </w:r>
      <w:r w:rsidR="007247B2">
        <w:t>should use</w:t>
      </w:r>
      <w:r>
        <w:t xml:space="preserve"> </w:t>
      </w:r>
      <w:r w:rsidR="00D97845">
        <w:t>Pacific</w:t>
      </w:r>
      <w:r>
        <w:t xml:space="preserve"> language</w:t>
      </w:r>
      <w:r w:rsidR="00D97845">
        <w:t>s</w:t>
      </w:r>
      <w:r>
        <w:t>, as this would more clearly articulate the six wellbeing domains, for example:</w:t>
      </w:r>
    </w:p>
    <w:p w14:paraId="61393DC3" w14:textId="48281FC4" w:rsidR="0054200E" w:rsidRDefault="0054200E" w:rsidP="00B83091">
      <w:pPr>
        <w:pStyle w:val="Quote"/>
      </w:pPr>
      <w:r w:rsidRPr="00566917">
        <w:t>Autonomy</w:t>
      </w:r>
      <w:r w:rsidR="00D97845">
        <w:t xml:space="preserve"> – </w:t>
      </w:r>
      <w:r w:rsidRPr="00566917">
        <w:t>I don’t associate it with Pasifika language, what’s stated contradicts our interconnectedness</w:t>
      </w:r>
      <w:r w:rsidR="00B83091">
        <w:t>.</w:t>
      </w:r>
      <w:r w:rsidRPr="00566917">
        <w:t xml:space="preserve"> [</w:t>
      </w:r>
      <w:r w:rsidR="006E004B">
        <w:t>Pasifika</w:t>
      </w:r>
      <w:r w:rsidRPr="00566917">
        <w:t xml:space="preserve"> engagement]</w:t>
      </w:r>
    </w:p>
    <w:p w14:paraId="6C034B69" w14:textId="4F73DF04" w:rsidR="0054200E" w:rsidRDefault="0054200E" w:rsidP="007E043C">
      <w:pPr>
        <w:spacing w:after="120" w:line="269" w:lineRule="auto"/>
      </w:pPr>
      <w:r>
        <w:rPr>
          <w:color w:val="000000" w:themeColor="text1"/>
        </w:rPr>
        <w:t xml:space="preserve">Respondents in the </w:t>
      </w:r>
      <w:r w:rsidR="00D97845">
        <w:rPr>
          <w:color w:val="000000" w:themeColor="text1"/>
        </w:rPr>
        <w:t>Pacific</w:t>
      </w:r>
      <w:r>
        <w:rPr>
          <w:color w:val="000000" w:themeColor="text1"/>
        </w:rPr>
        <w:t xml:space="preserve"> engagement </w:t>
      </w:r>
      <w:r w:rsidR="007247B2">
        <w:rPr>
          <w:color w:val="000000" w:themeColor="text1"/>
        </w:rPr>
        <w:t xml:space="preserve">also </w:t>
      </w:r>
      <w:r>
        <w:rPr>
          <w:color w:val="000000" w:themeColor="text1"/>
        </w:rPr>
        <w:t xml:space="preserve">said that faith and spirituality needed to be more explicit </w:t>
      </w:r>
      <w:r w:rsidR="003B61E0">
        <w:rPr>
          <w:color w:val="000000" w:themeColor="text1"/>
        </w:rPr>
        <w:t>–</w:t>
      </w:r>
      <w:r>
        <w:rPr>
          <w:color w:val="000000" w:themeColor="text1"/>
        </w:rPr>
        <w:t xml:space="preserve"> </w:t>
      </w:r>
      <w:r w:rsidR="003B61E0">
        <w:rPr>
          <w:i/>
          <w:color w:val="000000" w:themeColor="text1"/>
        </w:rPr>
        <w:t>‘</w:t>
      </w:r>
      <w:r w:rsidRPr="00AD1341">
        <w:rPr>
          <w:i/>
          <w:color w:val="000000" w:themeColor="text1"/>
        </w:rPr>
        <w:t>faith is in our DNA</w:t>
      </w:r>
      <w:r w:rsidR="003B61E0">
        <w:rPr>
          <w:i/>
          <w:color w:val="000000" w:themeColor="text1"/>
        </w:rPr>
        <w:t>’</w:t>
      </w:r>
      <w:r w:rsidR="00D97845">
        <w:rPr>
          <w:color w:val="000000" w:themeColor="text1"/>
        </w:rPr>
        <w:t xml:space="preserve"> – </w:t>
      </w:r>
      <w:r>
        <w:rPr>
          <w:color w:val="000000" w:themeColor="text1"/>
        </w:rPr>
        <w:t>and should be incorporated into a domain name.</w:t>
      </w:r>
    </w:p>
    <w:p w14:paraId="31EE9309" w14:textId="0047DB54" w:rsidR="00142603" w:rsidRDefault="00142603" w:rsidP="00142603">
      <w:pPr>
        <w:spacing w:after="120" w:line="269" w:lineRule="auto"/>
      </w:pPr>
      <w:r>
        <w:t xml:space="preserve">It is </w:t>
      </w:r>
      <w:r w:rsidRPr="00142603">
        <w:rPr>
          <w:color w:val="000000" w:themeColor="text1"/>
        </w:rPr>
        <w:t>important</w:t>
      </w:r>
      <w:r>
        <w:t xml:space="preserve"> to note that whilst there were many diverse views heard during the talanoa, it was agreed and shared with participants that key themes would be identified and reflected in the Pacific example.</w:t>
      </w:r>
      <w:r w:rsidR="00796BDB">
        <w:t xml:space="preserve"> </w:t>
      </w:r>
      <w:r>
        <w:t xml:space="preserve">The Pacific example also drew on some of the work in the Ola </w:t>
      </w:r>
      <w:proofErr w:type="spellStart"/>
      <w:r>
        <w:t>Manuia</w:t>
      </w:r>
      <w:proofErr w:type="spellEnd"/>
      <w:r>
        <w:t xml:space="preserve"> (the Pacific Health and Wellbeing Action Plan 2020-2025), and the </w:t>
      </w:r>
      <w:proofErr w:type="spellStart"/>
      <w:r>
        <w:t>Lalanga</w:t>
      </w:r>
      <w:proofErr w:type="spellEnd"/>
      <w:r>
        <w:t xml:space="preserve"> </w:t>
      </w:r>
      <w:proofErr w:type="spellStart"/>
      <w:r>
        <w:t>Fou</w:t>
      </w:r>
      <w:proofErr w:type="spellEnd"/>
      <w:r>
        <w:t xml:space="preserve"> report from Pacific Aotearoa and the </w:t>
      </w:r>
      <w:proofErr w:type="spellStart"/>
      <w:r>
        <w:t>Fonofale</w:t>
      </w:r>
      <w:proofErr w:type="spellEnd"/>
      <w:r>
        <w:t xml:space="preserve"> model of Health.</w:t>
      </w:r>
      <w:r>
        <w:rPr>
          <w:rStyle w:val="FootnoteReference"/>
          <w:bCs/>
        </w:rPr>
        <w:footnoteReference w:id="20"/>
      </w:r>
    </w:p>
    <w:p w14:paraId="3AD28221" w14:textId="70DC6E91" w:rsidR="00D97845" w:rsidRPr="00FD51F9" w:rsidRDefault="00D97845" w:rsidP="007E043C">
      <w:pPr>
        <w:spacing w:after="120" w:line="269" w:lineRule="auto"/>
        <w:rPr>
          <w:bCs/>
        </w:rPr>
      </w:pPr>
      <w:r>
        <w:rPr>
          <w:bCs/>
        </w:rPr>
        <w:t>Comment about each domain in the Pacific example is included later in the report.</w:t>
      </w:r>
    </w:p>
    <w:p w14:paraId="4CC82C7C" w14:textId="4007EE53" w:rsidR="00CC4102" w:rsidRDefault="00CC4102" w:rsidP="007E043C">
      <w:pPr>
        <w:pStyle w:val="Heading4"/>
        <w:spacing w:before="120" w:after="120" w:line="269" w:lineRule="auto"/>
      </w:pPr>
      <w:r>
        <w:t>The models drawn on</w:t>
      </w:r>
    </w:p>
    <w:p w14:paraId="0F8B00C6" w14:textId="3B4D46AB" w:rsidR="001545E5" w:rsidRPr="0095404F" w:rsidRDefault="00245DE8" w:rsidP="007E043C">
      <w:pPr>
        <w:spacing w:after="120" w:line="269" w:lineRule="auto"/>
        <w:rPr>
          <w:lang w:val="en-NZ"/>
        </w:rPr>
      </w:pPr>
      <w:r>
        <w:rPr>
          <w:lang w:val="en-NZ"/>
        </w:rPr>
        <w:t xml:space="preserve">The framework was considered </w:t>
      </w:r>
      <w:r w:rsidR="00DA07C4">
        <w:rPr>
          <w:lang w:val="en-NZ"/>
        </w:rPr>
        <w:t xml:space="preserve">by one respondent </w:t>
      </w:r>
      <w:r>
        <w:rPr>
          <w:lang w:val="en-NZ"/>
        </w:rPr>
        <w:t xml:space="preserve">to balance </w:t>
      </w:r>
      <w:r w:rsidRPr="00623AE5">
        <w:rPr>
          <w:lang w:val="en-NZ"/>
        </w:rPr>
        <w:t xml:space="preserve">the </w:t>
      </w:r>
      <w:r w:rsidR="009C02C8">
        <w:rPr>
          <w:lang w:val="en-NZ"/>
        </w:rPr>
        <w:t>‘</w:t>
      </w:r>
      <w:r w:rsidRPr="00623AE5">
        <w:rPr>
          <w:lang w:val="en-NZ"/>
        </w:rPr>
        <w:t>biomedical and biopsychosocial</w:t>
      </w:r>
      <w:r w:rsidR="009C02C8">
        <w:rPr>
          <w:lang w:val="en-NZ"/>
        </w:rPr>
        <w:t>’</w:t>
      </w:r>
      <w:r w:rsidRPr="00623AE5">
        <w:rPr>
          <w:lang w:val="en-NZ"/>
        </w:rPr>
        <w:t xml:space="preserve"> concepts of health and well-being</w:t>
      </w:r>
      <w:r>
        <w:rPr>
          <w:lang w:val="en-NZ"/>
        </w:rPr>
        <w:t>.</w:t>
      </w:r>
      <w:r w:rsidR="00380974">
        <w:rPr>
          <w:rStyle w:val="FootnoteReference"/>
          <w:lang w:val="en-NZ"/>
        </w:rPr>
        <w:footnoteReference w:id="21"/>
      </w:r>
      <w:r>
        <w:rPr>
          <w:lang w:val="en-NZ"/>
        </w:rPr>
        <w:t xml:space="preserve"> </w:t>
      </w:r>
      <w:r w:rsidR="00DA07C4">
        <w:rPr>
          <w:lang w:val="en-NZ"/>
        </w:rPr>
        <w:t>Another</w:t>
      </w:r>
      <w:r w:rsidR="001545E5">
        <w:rPr>
          <w:lang w:val="en-NZ"/>
        </w:rPr>
        <w:t xml:space="preserve"> respondent endorsed the models that had been drawn on in developing the framework: </w:t>
      </w:r>
    </w:p>
    <w:p w14:paraId="0AC5AB0D" w14:textId="067DCBF9" w:rsidR="008231EC" w:rsidRDefault="001545E5" w:rsidP="007E043C">
      <w:pPr>
        <w:pStyle w:val="Quote"/>
        <w:spacing w:before="120" w:after="120" w:line="269" w:lineRule="auto"/>
        <w:rPr>
          <w:lang w:val="en-NZ"/>
        </w:rPr>
      </w:pPr>
      <w:r w:rsidRPr="001545E5">
        <w:rPr>
          <w:lang w:val="en-NZ"/>
        </w:rPr>
        <w:t xml:space="preserve">I am particularly pleased to see that Te Whare Tapa </w:t>
      </w:r>
      <w:proofErr w:type="spellStart"/>
      <w:r w:rsidRPr="001545E5">
        <w:rPr>
          <w:lang w:val="en-NZ"/>
        </w:rPr>
        <w:t>Wha</w:t>
      </w:r>
      <w:proofErr w:type="spellEnd"/>
      <w:r w:rsidRPr="001545E5">
        <w:rPr>
          <w:lang w:val="en-NZ"/>
        </w:rPr>
        <w:t xml:space="preserve"> and the Power, Threat, Meaning Model have been drawn on. I would like to see the latter applied in specialist mental health services (DHB) rather than the medical model. This is outdated and not holistic.</w:t>
      </w:r>
      <w:r w:rsidR="008D3867">
        <w:rPr>
          <w:lang w:val="en-NZ"/>
        </w:rPr>
        <w:t xml:space="preserve"> </w:t>
      </w:r>
      <w:r w:rsidR="00862F07">
        <w:rPr>
          <w:lang w:val="en-NZ"/>
        </w:rPr>
        <w:t>[Individual respondent]</w:t>
      </w:r>
    </w:p>
    <w:p w14:paraId="06AEAA05" w14:textId="209BDF7E" w:rsidR="00FE3520" w:rsidRDefault="00C73ADD" w:rsidP="007E043C">
      <w:pPr>
        <w:spacing w:after="120" w:line="269" w:lineRule="auto"/>
        <w:rPr>
          <w:lang w:val="en-NZ"/>
        </w:rPr>
      </w:pPr>
      <w:r>
        <w:rPr>
          <w:lang w:val="en-NZ"/>
        </w:rPr>
        <w:t>However</w:t>
      </w:r>
      <w:r w:rsidR="008D3867">
        <w:rPr>
          <w:lang w:val="en-NZ"/>
        </w:rPr>
        <w:t>,</w:t>
      </w:r>
      <w:r>
        <w:rPr>
          <w:lang w:val="en-NZ"/>
        </w:rPr>
        <w:t xml:space="preserve"> </w:t>
      </w:r>
      <w:r w:rsidR="006E36DC">
        <w:rPr>
          <w:lang w:val="en-NZ"/>
        </w:rPr>
        <w:t xml:space="preserve">it was also evident from the responses that </w:t>
      </w:r>
      <w:r>
        <w:rPr>
          <w:lang w:val="en-NZ"/>
        </w:rPr>
        <w:t xml:space="preserve">the use of models in developing the framework </w:t>
      </w:r>
      <w:r w:rsidR="006E36DC">
        <w:rPr>
          <w:lang w:val="en-NZ"/>
        </w:rPr>
        <w:t>was an</w:t>
      </w:r>
      <w:r>
        <w:rPr>
          <w:lang w:val="en-NZ"/>
        </w:rPr>
        <w:t xml:space="preserve"> area where clarity is required.</w:t>
      </w:r>
      <w:r w:rsidR="00CA4C12">
        <w:rPr>
          <w:lang w:val="en-NZ"/>
        </w:rPr>
        <w:t xml:space="preserve"> </w:t>
      </w:r>
      <w:r>
        <w:rPr>
          <w:lang w:val="en-NZ"/>
        </w:rPr>
        <w:t xml:space="preserve">For example, one respondent, while acknowledging the excellence of Te Whare Tapa </w:t>
      </w:r>
      <w:proofErr w:type="spellStart"/>
      <w:r>
        <w:rPr>
          <w:lang w:val="en-NZ"/>
        </w:rPr>
        <w:t>Wh</w:t>
      </w:r>
      <w:r w:rsidR="002A4C70">
        <w:rPr>
          <w:lang w:val="en-NZ"/>
        </w:rPr>
        <w:t>ā</w:t>
      </w:r>
      <w:proofErr w:type="spellEnd"/>
      <w:r>
        <w:rPr>
          <w:lang w:val="en-NZ"/>
        </w:rPr>
        <w:t xml:space="preserve"> as a model of health care, suggested that ‘the</w:t>
      </w:r>
      <w:r w:rsidRPr="00245DE8">
        <w:rPr>
          <w:lang w:val="en-NZ"/>
        </w:rPr>
        <w:t xml:space="preserve"> restrictive application of one model of care could mean missed opportunities for working closely with our Māori partners in developing enduring health outcomes.</w:t>
      </w:r>
      <w:r>
        <w:rPr>
          <w:lang w:val="en-NZ"/>
        </w:rPr>
        <w:t>’</w:t>
      </w:r>
      <w:r w:rsidR="006F298B">
        <w:rPr>
          <w:rStyle w:val="FootnoteReference"/>
          <w:lang w:val="en-NZ"/>
        </w:rPr>
        <w:footnoteReference w:id="22"/>
      </w:r>
    </w:p>
    <w:p w14:paraId="44AA6ABB" w14:textId="35EAAAFE" w:rsidR="00F35E31" w:rsidRDefault="00F35E31" w:rsidP="007E043C">
      <w:pPr>
        <w:pStyle w:val="Heading4"/>
        <w:spacing w:before="120" w:after="120" w:line="269" w:lineRule="auto"/>
      </w:pPr>
      <w:r>
        <w:t>The visual design of the draft framework</w:t>
      </w:r>
      <w:r w:rsidR="000E5A16">
        <w:t xml:space="preserve"> </w:t>
      </w:r>
      <w:r w:rsidR="00474D50">
        <w:t>and translation</w:t>
      </w:r>
    </w:p>
    <w:p w14:paraId="497B8900" w14:textId="4C99A84F" w:rsidR="00C70B68" w:rsidRDefault="00964B17" w:rsidP="007E043C">
      <w:pPr>
        <w:spacing w:after="120" w:line="269" w:lineRule="auto"/>
        <w:rPr>
          <w:lang w:val="en-NZ"/>
        </w:rPr>
      </w:pPr>
      <w:r>
        <w:rPr>
          <w:lang w:val="en-NZ"/>
        </w:rPr>
        <w:t>Several respondents suggested improvements to the visual design of the framework. For one, t</w:t>
      </w:r>
      <w:r w:rsidR="001E2A68">
        <w:rPr>
          <w:lang w:val="en-NZ"/>
        </w:rPr>
        <w:t>he linear design implied hierarchy, which could be addressed by a more circular design</w:t>
      </w:r>
      <w:r w:rsidR="00C70B68">
        <w:rPr>
          <w:lang w:val="en-NZ"/>
        </w:rPr>
        <w:t xml:space="preserve">. </w:t>
      </w:r>
      <w:r>
        <w:rPr>
          <w:lang w:val="en-NZ"/>
        </w:rPr>
        <w:t>Others said t</w:t>
      </w:r>
      <w:r w:rsidR="001E2A68">
        <w:rPr>
          <w:lang w:val="en-NZ"/>
        </w:rPr>
        <w:t xml:space="preserve">he current design </w:t>
      </w:r>
      <w:r w:rsidR="00C70B68">
        <w:rPr>
          <w:lang w:val="en-NZ"/>
        </w:rPr>
        <w:t>(</w:t>
      </w:r>
      <w:r w:rsidR="00266836">
        <w:rPr>
          <w:lang w:val="en-NZ"/>
        </w:rPr>
        <w:t xml:space="preserve">and particularly the </w:t>
      </w:r>
      <w:r w:rsidR="00C70B68">
        <w:rPr>
          <w:lang w:val="en-NZ"/>
        </w:rPr>
        <w:t xml:space="preserve">colours used) </w:t>
      </w:r>
      <w:r w:rsidR="001E2A68">
        <w:rPr>
          <w:lang w:val="en-NZ"/>
        </w:rPr>
        <w:t>was not accessible for the visually impaired</w:t>
      </w:r>
      <w:r w:rsidR="00474D50">
        <w:rPr>
          <w:lang w:val="en-NZ"/>
        </w:rPr>
        <w:t xml:space="preserve"> and did not support clarity of content</w:t>
      </w:r>
      <w:r w:rsidR="00C70B68">
        <w:rPr>
          <w:lang w:val="en-NZ"/>
        </w:rPr>
        <w:t>.</w:t>
      </w:r>
      <w:r w:rsidR="001E2A68">
        <w:rPr>
          <w:lang w:val="en-NZ"/>
        </w:rPr>
        <w:t xml:space="preserve"> </w:t>
      </w:r>
    </w:p>
    <w:p w14:paraId="180C1A3C" w14:textId="3D927755" w:rsidR="00474D50" w:rsidRPr="00BF679E" w:rsidRDefault="00474D50" w:rsidP="007E043C">
      <w:pPr>
        <w:pStyle w:val="Quote"/>
        <w:spacing w:before="120" w:after="120" w:line="269" w:lineRule="auto"/>
      </w:pPr>
      <w:r>
        <w:t>T</w:t>
      </w:r>
      <w:r w:rsidRPr="0055340F">
        <w:t>he format/layout is somewhat problematic, with too much information being contained within too limited a space. [Salvation Army]</w:t>
      </w:r>
    </w:p>
    <w:p w14:paraId="48080368" w14:textId="2B547283" w:rsidR="008E63D3" w:rsidRDefault="008E63D3" w:rsidP="008E63D3">
      <w:pPr>
        <w:spacing w:after="120" w:line="269" w:lineRule="auto"/>
        <w:rPr>
          <w:lang w:val="en-NZ" w:eastAsia="en-GB"/>
        </w:rPr>
      </w:pPr>
      <w:r>
        <w:rPr>
          <w:lang w:val="en-NZ" w:eastAsia="en-GB"/>
        </w:rPr>
        <w:t xml:space="preserve">One respondent considered that </w:t>
      </w:r>
      <w:r w:rsidRPr="000D55AE">
        <w:rPr>
          <w:lang w:val="en-NZ" w:eastAsia="en-GB"/>
        </w:rPr>
        <w:t xml:space="preserve">the Māori section could </w:t>
      </w:r>
      <w:r>
        <w:rPr>
          <w:lang w:val="en-NZ" w:eastAsia="en-GB"/>
        </w:rPr>
        <w:t>‘</w:t>
      </w:r>
      <w:r w:rsidRPr="000D55AE">
        <w:rPr>
          <w:lang w:val="en-NZ" w:eastAsia="en-GB"/>
        </w:rPr>
        <w:t xml:space="preserve">flow better, could </w:t>
      </w:r>
      <w:r w:rsidR="00964B17">
        <w:rPr>
          <w:lang w:val="en-NZ" w:eastAsia="en-GB"/>
        </w:rPr>
        <w:t>be</w:t>
      </w:r>
      <w:r w:rsidRPr="000D55AE">
        <w:rPr>
          <w:lang w:val="en-NZ" w:eastAsia="en-GB"/>
        </w:rPr>
        <w:t xml:space="preserve"> more user friendly or </w:t>
      </w:r>
      <w:r w:rsidR="00964B17">
        <w:rPr>
          <w:lang w:val="en-NZ" w:eastAsia="en-GB"/>
        </w:rPr>
        <w:t xml:space="preserve">use </w:t>
      </w:r>
      <w:r w:rsidRPr="000D55AE">
        <w:rPr>
          <w:lang w:val="en-NZ" w:eastAsia="en-GB"/>
        </w:rPr>
        <w:t>connecting/connective language to inspire whānau wellbeing</w:t>
      </w:r>
      <w:r w:rsidR="00D97845">
        <w:rPr>
          <w:lang w:val="en-NZ" w:eastAsia="en-GB"/>
        </w:rPr>
        <w:t xml:space="preserve"> – </w:t>
      </w:r>
      <w:r w:rsidRPr="000D55AE">
        <w:rPr>
          <w:lang w:val="en-NZ" w:eastAsia="en-GB"/>
        </w:rPr>
        <w:t xml:space="preserve">it comes </w:t>
      </w:r>
      <w:r w:rsidRPr="000D55AE">
        <w:rPr>
          <w:lang w:val="en-NZ" w:eastAsia="en-GB"/>
        </w:rPr>
        <w:lastRenderedPageBreak/>
        <w:t>across as a bit cut and paste of translations of words from the dictionary, as though something is missing</w:t>
      </w:r>
      <w:r>
        <w:rPr>
          <w:lang w:val="en-NZ" w:eastAsia="en-GB"/>
        </w:rPr>
        <w:t>.’</w:t>
      </w:r>
      <w:r>
        <w:rPr>
          <w:rStyle w:val="FootnoteReference"/>
          <w:lang w:val="en-NZ" w:eastAsia="en-GB"/>
        </w:rPr>
        <w:footnoteReference w:id="23"/>
      </w:r>
    </w:p>
    <w:p w14:paraId="7677996D" w14:textId="011648A2" w:rsidR="008E63D3" w:rsidRPr="009571A2" w:rsidRDefault="008E63D3" w:rsidP="008E63D3">
      <w:pPr>
        <w:spacing w:after="120" w:line="269" w:lineRule="auto"/>
      </w:pPr>
      <w:r w:rsidRPr="00AD5B3A">
        <w:rPr>
          <w:lang w:val="en-NZ" w:eastAsia="en-GB"/>
        </w:rPr>
        <w:t xml:space="preserve">The Māori focus group also asked for </w:t>
      </w:r>
      <w:r w:rsidRPr="00AD5B3A">
        <w:rPr>
          <w:lang w:eastAsia="en-NZ"/>
        </w:rPr>
        <w:t>particular care to be used in terms of the language chosen for the framework</w:t>
      </w:r>
      <w:r w:rsidRPr="00AD5B3A">
        <w:t xml:space="preserve"> and for consistent translation practice. They suggested expanding on the definitions of Māori concepts and perhaps using a glossary to avoid cluttering the designed version of the framework. Similarly</w:t>
      </w:r>
      <w:r w:rsidRPr="003A1387">
        <w:t xml:space="preserve">, one organisation asked that the </w:t>
      </w:r>
      <w:r w:rsidR="00C003F9">
        <w:t>‘</w:t>
      </w:r>
      <w:r w:rsidRPr="003A1387">
        <w:t>for Māori as</w:t>
      </w:r>
      <w:r>
        <w:t xml:space="preserve"> tangata whenua</w:t>
      </w:r>
      <w:r w:rsidR="00C003F9">
        <w:t>’</w:t>
      </w:r>
      <w:r>
        <w:t xml:space="preserve"> layer be in te </w:t>
      </w:r>
      <w:proofErr w:type="spellStart"/>
      <w:r>
        <w:t>reo</w:t>
      </w:r>
      <w:proofErr w:type="spellEnd"/>
      <w:r w:rsidR="00C003F9">
        <w:t xml:space="preserve"> Māori</w:t>
      </w:r>
      <w:r w:rsidRPr="009571A2">
        <w:t xml:space="preserve">, with </w:t>
      </w:r>
      <w:r>
        <w:t xml:space="preserve">an </w:t>
      </w:r>
      <w:r w:rsidRPr="009571A2">
        <w:t>English translation</w:t>
      </w:r>
      <w:r>
        <w:t>.</w:t>
      </w:r>
    </w:p>
    <w:p w14:paraId="3933AAA4" w14:textId="77777777" w:rsidR="008F5DBE" w:rsidRPr="00650761" w:rsidRDefault="008F5DBE" w:rsidP="008F5DBE">
      <w:pPr>
        <w:spacing w:after="120" w:line="269" w:lineRule="auto"/>
        <w:rPr>
          <w:lang w:val="en-NZ" w:eastAsia="en-GB"/>
        </w:rPr>
      </w:pPr>
      <w:r>
        <w:rPr>
          <w:lang w:val="en-NZ" w:eastAsia="en-GB"/>
        </w:rPr>
        <w:t xml:space="preserve">Additionally, listing concepts was seen by a few respondents to be a te </w:t>
      </w:r>
      <w:proofErr w:type="spellStart"/>
      <w:r>
        <w:rPr>
          <w:lang w:val="en-NZ" w:eastAsia="en-GB"/>
        </w:rPr>
        <w:t>ao</w:t>
      </w:r>
      <w:proofErr w:type="spellEnd"/>
      <w:r>
        <w:rPr>
          <w:lang w:val="en-NZ" w:eastAsia="en-GB"/>
        </w:rPr>
        <w:t xml:space="preserve"> </w:t>
      </w:r>
      <w:proofErr w:type="spellStart"/>
      <w:r>
        <w:rPr>
          <w:lang w:val="en-NZ" w:eastAsia="en-GB"/>
        </w:rPr>
        <w:t>Pākehā</w:t>
      </w:r>
      <w:proofErr w:type="spellEnd"/>
      <w:r>
        <w:rPr>
          <w:lang w:val="en-NZ" w:eastAsia="en-GB"/>
        </w:rPr>
        <w:t xml:space="preserve"> way of grouping information:</w:t>
      </w:r>
    </w:p>
    <w:p w14:paraId="74FA83B4" w14:textId="77777777" w:rsidR="00FE3520" w:rsidRDefault="008F5DBE" w:rsidP="008F5DBE">
      <w:pPr>
        <w:pStyle w:val="Quote"/>
        <w:spacing w:before="120" w:after="120" w:line="269" w:lineRule="auto"/>
        <w:rPr>
          <w:lang w:val="en-NZ"/>
        </w:rPr>
      </w:pPr>
      <w:r w:rsidRPr="007A583A">
        <w:rPr>
          <w:lang w:val="en-NZ"/>
        </w:rPr>
        <w:t xml:space="preserve">Te </w:t>
      </w:r>
      <w:proofErr w:type="spellStart"/>
      <w:r w:rsidRPr="007A583A">
        <w:rPr>
          <w:lang w:val="en-NZ"/>
        </w:rPr>
        <w:t>reo</w:t>
      </w:r>
      <w:proofErr w:type="spellEnd"/>
      <w:r w:rsidRPr="007A583A">
        <w:rPr>
          <w:lang w:val="en-NZ"/>
        </w:rPr>
        <w:t xml:space="preserve"> Māori is about the words, imagery and storytelling but unfortunately the visual element of these concepts is lost in the list of concepts that are being brought together. Instead, we suggest capturing and reflecting the concepts in six short phrases that provide imagery and connotations of these te </w:t>
      </w:r>
      <w:proofErr w:type="spellStart"/>
      <w:r w:rsidRPr="007A583A">
        <w:rPr>
          <w:lang w:val="en-NZ"/>
        </w:rPr>
        <w:t>reo</w:t>
      </w:r>
      <w:proofErr w:type="spellEnd"/>
      <w:r w:rsidRPr="007A583A">
        <w:rPr>
          <w:lang w:val="en-NZ"/>
        </w:rPr>
        <w:t xml:space="preserve"> Māori wellbeing areas.</w:t>
      </w:r>
      <w:r>
        <w:rPr>
          <w:lang w:val="en-NZ"/>
        </w:rPr>
        <w:t xml:space="preserve"> [Age Concern New Zealand]</w:t>
      </w:r>
    </w:p>
    <w:p w14:paraId="239DD4B3" w14:textId="75BD29D3" w:rsidR="002200C2" w:rsidRDefault="00474D50" w:rsidP="007E043C">
      <w:pPr>
        <w:pStyle w:val="Heading4"/>
        <w:spacing w:before="120" w:after="120" w:line="269" w:lineRule="auto"/>
      </w:pPr>
      <w:r>
        <w:t>Plain English and simpler</w:t>
      </w:r>
    </w:p>
    <w:p w14:paraId="10307794" w14:textId="43B99EC7" w:rsidR="00CE0BC8" w:rsidRDefault="00712808" w:rsidP="007E043C">
      <w:pPr>
        <w:spacing w:after="120" w:line="269" w:lineRule="auto"/>
        <w:rPr>
          <w:lang w:val="en-NZ"/>
        </w:rPr>
      </w:pPr>
      <w:r>
        <w:rPr>
          <w:lang w:val="en-NZ"/>
        </w:rPr>
        <w:t>C</w:t>
      </w:r>
      <w:r w:rsidR="00C70B68">
        <w:rPr>
          <w:lang w:val="en-NZ"/>
        </w:rPr>
        <w:t>ommonly, respondents</w:t>
      </w:r>
      <w:r w:rsidR="001E2A68">
        <w:rPr>
          <w:lang w:val="en-NZ"/>
        </w:rPr>
        <w:t xml:space="preserve"> said the language needed to be simpler an</w:t>
      </w:r>
      <w:r w:rsidR="00316C8E">
        <w:rPr>
          <w:lang w:val="en-NZ"/>
        </w:rPr>
        <w:t>d</w:t>
      </w:r>
      <w:r w:rsidR="001E2A68">
        <w:rPr>
          <w:lang w:val="en-NZ"/>
        </w:rPr>
        <w:t xml:space="preserve"> perhaps briefer.</w:t>
      </w:r>
      <w:r w:rsidR="003B0FE3">
        <w:rPr>
          <w:lang w:val="en-NZ"/>
        </w:rPr>
        <w:t xml:space="preserve"> </w:t>
      </w:r>
      <w:r w:rsidR="00C003F9">
        <w:rPr>
          <w:lang w:val="en-NZ"/>
        </w:rPr>
        <w:t>O</w:t>
      </w:r>
      <w:r w:rsidR="00213691">
        <w:rPr>
          <w:lang w:val="en-NZ"/>
        </w:rPr>
        <w:t xml:space="preserve">ne respondent thought it </w:t>
      </w:r>
      <w:r w:rsidR="003B0FE3">
        <w:rPr>
          <w:lang w:val="en-NZ"/>
        </w:rPr>
        <w:t>‘</w:t>
      </w:r>
      <w:r w:rsidR="003B0FE3" w:rsidRPr="003B0FE3">
        <w:rPr>
          <w:lang w:val="en-NZ"/>
        </w:rPr>
        <w:t>kind of feels like everything was trying to be fit in, whether they fit or not</w:t>
      </w:r>
      <w:r w:rsidR="00223C9F">
        <w:rPr>
          <w:lang w:val="en-NZ"/>
        </w:rPr>
        <w:t>.</w:t>
      </w:r>
      <w:r w:rsidR="003B0FE3">
        <w:rPr>
          <w:lang w:val="en-NZ"/>
        </w:rPr>
        <w:t>’</w:t>
      </w:r>
      <w:r w:rsidR="0085284B">
        <w:rPr>
          <w:rStyle w:val="FootnoteReference"/>
          <w:lang w:val="en-NZ"/>
        </w:rPr>
        <w:footnoteReference w:id="24"/>
      </w:r>
      <w:r w:rsidR="001E2A68">
        <w:rPr>
          <w:lang w:val="en-NZ"/>
        </w:rPr>
        <w:t xml:space="preserve"> If </w:t>
      </w:r>
      <w:r w:rsidR="00C70B68">
        <w:rPr>
          <w:lang w:val="en-NZ"/>
        </w:rPr>
        <w:t>was suggested</w:t>
      </w:r>
      <w:r w:rsidR="001E2A68">
        <w:rPr>
          <w:lang w:val="en-NZ"/>
        </w:rPr>
        <w:t xml:space="preserve"> there could be a brief plain language version with another more detailed version.</w:t>
      </w:r>
      <w:r w:rsidR="00B16AF0">
        <w:rPr>
          <w:lang w:val="en-NZ"/>
        </w:rPr>
        <w:t xml:space="preserve"> </w:t>
      </w:r>
      <w:r w:rsidR="00CE0BC8">
        <w:rPr>
          <w:lang w:val="en-NZ"/>
        </w:rPr>
        <w:t xml:space="preserve">Attention to grammar would </w:t>
      </w:r>
      <w:r w:rsidR="000B2A15">
        <w:rPr>
          <w:lang w:val="en-NZ"/>
        </w:rPr>
        <w:t xml:space="preserve">also </w:t>
      </w:r>
      <w:r w:rsidR="00CE0BC8">
        <w:rPr>
          <w:lang w:val="en-NZ"/>
        </w:rPr>
        <w:t>improve understanding.</w:t>
      </w:r>
    </w:p>
    <w:p w14:paraId="13C03FEC" w14:textId="25FDD37A" w:rsidR="00474D50" w:rsidRPr="00BF679E" w:rsidRDefault="00474D50" w:rsidP="007E043C">
      <w:pPr>
        <w:pStyle w:val="Quote"/>
        <w:spacing w:before="120" w:after="120" w:line="269" w:lineRule="auto"/>
      </w:pPr>
      <w:r w:rsidRPr="00BF679E">
        <w:t xml:space="preserve">[The] outcomes document should be able to use fewer words to champion the vision and key outcomes in a way which is simple and understandable …For </w:t>
      </w:r>
      <w:proofErr w:type="spellStart"/>
      <w:r w:rsidRPr="00BF679E">
        <w:t>Alzheimers</w:t>
      </w:r>
      <w:proofErr w:type="spellEnd"/>
      <w:r w:rsidRPr="00BF679E">
        <w:t xml:space="preserve"> NZ’s population, that means at least being able to read the document. [</w:t>
      </w:r>
      <w:proofErr w:type="spellStart"/>
      <w:r w:rsidRPr="00BF679E">
        <w:t>Alzheimers</w:t>
      </w:r>
      <w:proofErr w:type="spellEnd"/>
      <w:r w:rsidRPr="00BF679E">
        <w:t xml:space="preserve"> New Zealand]</w:t>
      </w:r>
    </w:p>
    <w:p w14:paraId="0176FAC1" w14:textId="2FDDF478" w:rsidR="00CC4102" w:rsidRDefault="00CE0BC8" w:rsidP="007E043C">
      <w:pPr>
        <w:pStyle w:val="Quote"/>
        <w:spacing w:before="120" w:after="120" w:line="269" w:lineRule="auto"/>
        <w:rPr>
          <w:lang w:val="en-NZ"/>
        </w:rPr>
      </w:pPr>
      <w:r>
        <w:rPr>
          <w:lang w:val="en-NZ"/>
        </w:rPr>
        <w:t>T</w:t>
      </w:r>
      <w:r w:rsidRPr="00CE0BC8">
        <w:rPr>
          <w:lang w:val="en-NZ"/>
        </w:rPr>
        <w:t>here are some aspects of the language that could be improved. For example</w:t>
      </w:r>
      <w:r w:rsidR="005A75E8">
        <w:rPr>
          <w:lang w:val="en-NZ"/>
        </w:rPr>
        <w:t>,</w:t>
      </w:r>
      <w:r w:rsidRPr="00CE0BC8">
        <w:rPr>
          <w:lang w:val="en-NZ"/>
        </w:rPr>
        <w:t xml:space="preserve"> the phrase </w:t>
      </w:r>
      <w:r w:rsidR="007F75F3">
        <w:rPr>
          <w:lang w:val="en-NZ"/>
        </w:rPr>
        <w:t>‘</w:t>
      </w:r>
      <w:r w:rsidRPr="00CE0BC8">
        <w:rPr>
          <w:lang w:val="en-NZ"/>
        </w:rPr>
        <w:t>For everyone in Aotearoa</w:t>
      </w:r>
      <w:r w:rsidR="007F75F3">
        <w:rPr>
          <w:lang w:val="en-NZ"/>
        </w:rPr>
        <w:t>’</w:t>
      </w:r>
      <w:r w:rsidRPr="00CE0BC8">
        <w:rPr>
          <w:lang w:val="en-NZ"/>
        </w:rPr>
        <w:t xml:space="preserve"> is grammatically a poor fit with the verbs </w:t>
      </w:r>
      <w:r w:rsidR="007F75F3">
        <w:rPr>
          <w:lang w:val="en-NZ"/>
        </w:rPr>
        <w:t>‘</w:t>
      </w:r>
      <w:r w:rsidRPr="00CE0BC8">
        <w:rPr>
          <w:lang w:val="en-NZ"/>
        </w:rPr>
        <w:t>are</w:t>
      </w:r>
      <w:r w:rsidR="007F75F3">
        <w:rPr>
          <w:lang w:val="en-NZ"/>
        </w:rPr>
        <w:t>’</w:t>
      </w:r>
      <w:r w:rsidRPr="00CE0BC8">
        <w:rPr>
          <w:lang w:val="en-NZ"/>
        </w:rPr>
        <w:t xml:space="preserve"> and </w:t>
      </w:r>
      <w:r w:rsidR="007F75F3">
        <w:rPr>
          <w:lang w:val="en-NZ"/>
        </w:rPr>
        <w:t>‘</w:t>
      </w:r>
      <w:r w:rsidRPr="00CE0BC8">
        <w:rPr>
          <w:lang w:val="en-NZ"/>
        </w:rPr>
        <w:t>have</w:t>
      </w:r>
      <w:r w:rsidR="007F75F3">
        <w:rPr>
          <w:lang w:val="en-NZ"/>
        </w:rPr>
        <w:t>’</w:t>
      </w:r>
      <w:r w:rsidRPr="00CE0BC8">
        <w:rPr>
          <w:lang w:val="en-NZ"/>
        </w:rPr>
        <w:t xml:space="preserve"> in the list of outcomes. </w:t>
      </w:r>
      <w:r>
        <w:rPr>
          <w:lang w:val="en-NZ"/>
        </w:rPr>
        <w:t>…</w:t>
      </w:r>
      <w:r w:rsidRPr="00CE0BC8">
        <w:rPr>
          <w:lang w:val="en-NZ"/>
        </w:rPr>
        <w:t xml:space="preserve"> A better subject–verb agreement like </w:t>
      </w:r>
      <w:r w:rsidR="007F75F3">
        <w:rPr>
          <w:lang w:val="en-NZ"/>
        </w:rPr>
        <w:t>‘</w:t>
      </w:r>
      <w:r w:rsidRPr="00CE0BC8">
        <w:rPr>
          <w:lang w:val="en-NZ"/>
        </w:rPr>
        <w:t>Everyone in Aotearoa…has their rights and dignity upheld</w:t>
      </w:r>
      <w:r w:rsidR="007F75F3">
        <w:rPr>
          <w:lang w:val="en-NZ"/>
        </w:rPr>
        <w:t>’</w:t>
      </w:r>
      <w:r w:rsidRPr="00CE0BC8">
        <w:rPr>
          <w:lang w:val="en-NZ"/>
        </w:rPr>
        <w:t xml:space="preserve"> or </w:t>
      </w:r>
      <w:r w:rsidR="007F75F3">
        <w:rPr>
          <w:lang w:val="en-NZ"/>
        </w:rPr>
        <w:t>‘</w:t>
      </w:r>
      <w:r w:rsidRPr="00CE0BC8">
        <w:rPr>
          <w:lang w:val="en-NZ"/>
        </w:rPr>
        <w:t>For everyone in Aotearoa…to be safe and nurtured</w:t>
      </w:r>
      <w:r w:rsidR="007F75F3">
        <w:rPr>
          <w:lang w:val="en-NZ"/>
        </w:rPr>
        <w:t>’</w:t>
      </w:r>
      <w:r w:rsidRPr="00CE0BC8">
        <w:rPr>
          <w:lang w:val="en-NZ"/>
        </w:rPr>
        <w:t xml:space="preserve"> would be easier to read and understand.</w:t>
      </w:r>
      <w:r w:rsidR="000E5A16">
        <w:rPr>
          <w:lang w:val="en-NZ"/>
        </w:rPr>
        <w:t xml:space="preserve"> </w:t>
      </w:r>
      <w:r>
        <w:rPr>
          <w:lang w:val="en-NZ"/>
        </w:rPr>
        <w:t>[</w:t>
      </w:r>
      <w:r w:rsidR="002C6BCA" w:rsidRPr="002C6BCA">
        <w:rPr>
          <w:lang w:val="en-NZ"/>
        </w:rPr>
        <w:t>Balance Aotearoa</w:t>
      </w:r>
      <w:r>
        <w:rPr>
          <w:lang w:val="en-NZ"/>
        </w:rPr>
        <w:t>]</w:t>
      </w:r>
      <w:r w:rsidR="00CC4102" w:rsidRPr="00CC4102">
        <w:rPr>
          <w:lang w:val="en-NZ"/>
        </w:rPr>
        <w:t xml:space="preserve"> </w:t>
      </w:r>
    </w:p>
    <w:p w14:paraId="52B64827" w14:textId="7808149C" w:rsidR="00355B3D" w:rsidRDefault="00355B3D" w:rsidP="007E043C">
      <w:pPr>
        <w:spacing w:after="120" w:line="269" w:lineRule="auto"/>
        <w:rPr>
          <w:lang w:val="en-NZ"/>
        </w:rPr>
      </w:pPr>
      <w:r>
        <w:rPr>
          <w:lang w:val="en-NZ"/>
        </w:rPr>
        <w:t xml:space="preserve">It was </w:t>
      </w:r>
      <w:r w:rsidR="000B2A15">
        <w:rPr>
          <w:lang w:val="en-NZ"/>
        </w:rPr>
        <w:t xml:space="preserve">further </w:t>
      </w:r>
      <w:r>
        <w:rPr>
          <w:lang w:val="en-NZ"/>
        </w:rPr>
        <w:t>suggested that</w:t>
      </w:r>
      <w:r w:rsidRPr="00355B3D">
        <w:rPr>
          <w:lang w:val="en-NZ"/>
        </w:rPr>
        <w:t xml:space="preserve"> the framework’s wording be changed from plural third-person to plural first-person pronouns. </w:t>
      </w:r>
      <w:r>
        <w:rPr>
          <w:lang w:val="en-NZ"/>
        </w:rPr>
        <w:t>This wou</w:t>
      </w:r>
      <w:r w:rsidR="00006F4A">
        <w:rPr>
          <w:lang w:val="en-NZ"/>
        </w:rPr>
        <w:t>l</w:t>
      </w:r>
      <w:r>
        <w:rPr>
          <w:lang w:val="en-NZ"/>
        </w:rPr>
        <w:t xml:space="preserve">d be </w:t>
      </w:r>
      <w:r w:rsidR="00006F4A">
        <w:rPr>
          <w:lang w:val="en-NZ"/>
        </w:rPr>
        <w:t>‘i</w:t>
      </w:r>
      <w:r w:rsidR="00006F4A" w:rsidRPr="00006F4A">
        <w:rPr>
          <w:lang w:val="en-NZ"/>
        </w:rPr>
        <w:t>nclusive, engaging and empowering and may help the framework resonate to a wider group of people</w:t>
      </w:r>
      <w:r w:rsidR="00006F4A">
        <w:rPr>
          <w:lang w:val="en-NZ"/>
        </w:rPr>
        <w:t>’</w:t>
      </w:r>
      <w:r w:rsidR="0002323C">
        <w:rPr>
          <w:lang w:val="en-NZ"/>
        </w:rPr>
        <w:t>:</w:t>
      </w:r>
    </w:p>
    <w:p w14:paraId="74F5B223" w14:textId="5DD14CE2" w:rsidR="00355B3D" w:rsidRPr="00355B3D" w:rsidRDefault="00355B3D" w:rsidP="007E043C">
      <w:pPr>
        <w:pStyle w:val="Quote"/>
        <w:spacing w:before="120" w:after="120" w:line="269" w:lineRule="auto"/>
        <w:rPr>
          <w:lang w:val="en-NZ"/>
        </w:rPr>
      </w:pPr>
      <w:r w:rsidRPr="00355B3D">
        <w:rPr>
          <w:lang w:val="en-NZ"/>
        </w:rPr>
        <w:t xml:space="preserve">‘Māori’, ‘whānau and communities’, ‘their’, ‘they’ and ‘people, families and communities’ does not speak directly to those reading the framework. The groupings; ‘Māori’ and ‘whānau and communities’ are not as empowering as wording like ‘we’, ‘our’ and ‘us’. </w:t>
      </w:r>
      <w:r w:rsidR="002C57E4">
        <w:rPr>
          <w:lang w:val="en-NZ"/>
        </w:rPr>
        <w:t>[</w:t>
      </w:r>
      <w:r w:rsidRPr="00355B3D">
        <w:rPr>
          <w:lang w:val="en-NZ"/>
        </w:rPr>
        <w:t>Age Concern New Zealand</w:t>
      </w:r>
      <w:r w:rsidR="002C57E4">
        <w:rPr>
          <w:lang w:val="en-NZ"/>
        </w:rPr>
        <w:t>]</w:t>
      </w:r>
    </w:p>
    <w:p w14:paraId="533FE60E" w14:textId="219B441A" w:rsidR="00BC63E8" w:rsidRDefault="00BC63E8" w:rsidP="007E043C">
      <w:pPr>
        <w:spacing w:after="120" w:line="269" w:lineRule="auto"/>
        <w:rPr>
          <w:lang w:val="en-NZ"/>
        </w:rPr>
      </w:pPr>
      <w:r>
        <w:rPr>
          <w:lang w:val="en-NZ"/>
        </w:rPr>
        <w:t xml:space="preserve">It was noted that </w:t>
      </w:r>
      <w:r w:rsidRPr="00BC63E8">
        <w:rPr>
          <w:lang w:val="en-NZ"/>
        </w:rPr>
        <w:t>the definitions for each of the domain</w:t>
      </w:r>
      <w:r>
        <w:rPr>
          <w:lang w:val="en-NZ"/>
        </w:rPr>
        <w:t>s</w:t>
      </w:r>
      <w:r w:rsidRPr="00BC63E8">
        <w:rPr>
          <w:lang w:val="en-NZ"/>
        </w:rPr>
        <w:t xml:space="preserve"> </w:t>
      </w:r>
      <w:r>
        <w:rPr>
          <w:lang w:val="en-NZ"/>
        </w:rPr>
        <w:t>mix</w:t>
      </w:r>
      <w:r w:rsidR="00F0755E">
        <w:rPr>
          <w:lang w:val="en-NZ"/>
        </w:rPr>
        <w:t>ed</w:t>
      </w:r>
      <w:r w:rsidRPr="00BC63E8">
        <w:rPr>
          <w:lang w:val="en-NZ"/>
        </w:rPr>
        <w:t xml:space="preserve"> 'outputs and outcomes' languag</w:t>
      </w:r>
      <w:r>
        <w:rPr>
          <w:lang w:val="en-NZ"/>
        </w:rPr>
        <w:t>e.</w:t>
      </w:r>
      <w:r w:rsidR="000E5A16">
        <w:rPr>
          <w:lang w:val="en-NZ"/>
        </w:rPr>
        <w:t xml:space="preserve"> </w:t>
      </w:r>
    </w:p>
    <w:p w14:paraId="57D9781B" w14:textId="7ACD3108" w:rsidR="00BC63E8" w:rsidRDefault="00BC63E8" w:rsidP="007E043C">
      <w:pPr>
        <w:pStyle w:val="Quote"/>
        <w:spacing w:before="120" w:after="120" w:line="269" w:lineRule="auto"/>
        <w:rPr>
          <w:lang w:val="en-NZ"/>
        </w:rPr>
      </w:pPr>
      <w:r>
        <w:rPr>
          <w:lang w:val="en-NZ"/>
        </w:rPr>
        <w:t>[For example]</w:t>
      </w:r>
      <w:r w:rsidRPr="00BC63E8">
        <w:rPr>
          <w:lang w:val="en-NZ"/>
        </w:rPr>
        <w:t xml:space="preserve"> celebration/honouring are activities that can lead to positive mental health</w:t>
      </w:r>
      <w:r>
        <w:rPr>
          <w:lang w:val="en-NZ"/>
        </w:rPr>
        <w:t>.</w:t>
      </w:r>
      <w:r w:rsidRPr="00BC63E8">
        <w:rPr>
          <w:lang w:val="en-NZ"/>
        </w:rPr>
        <w:t xml:space="preserve"> </w:t>
      </w:r>
      <w:r>
        <w:rPr>
          <w:lang w:val="en-NZ"/>
        </w:rPr>
        <w:t>S</w:t>
      </w:r>
      <w:r w:rsidRPr="00BC63E8">
        <w:rPr>
          <w:lang w:val="en-NZ"/>
        </w:rPr>
        <w:t xml:space="preserve">ense of community, belonging </w:t>
      </w:r>
      <w:r>
        <w:rPr>
          <w:lang w:val="en-NZ"/>
        </w:rPr>
        <w:t>are</w:t>
      </w:r>
      <w:r w:rsidRPr="00BC63E8">
        <w:rPr>
          <w:lang w:val="en-NZ"/>
        </w:rPr>
        <w:t xml:space="preserve"> outcomes</w:t>
      </w:r>
      <w:r>
        <w:rPr>
          <w:lang w:val="en-NZ"/>
        </w:rPr>
        <w:t>. …</w:t>
      </w:r>
      <w:r w:rsidRPr="00BC63E8">
        <w:rPr>
          <w:lang w:val="en-NZ"/>
        </w:rPr>
        <w:t>maybe that’s intentional</w:t>
      </w:r>
      <w:r>
        <w:rPr>
          <w:lang w:val="en-NZ"/>
        </w:rPr>
        <w:t xml:space="preserve">? </w:t>
      </w:r>
      <w:r w:rsidRPr="0002323C">
        <w:rPr>
          <w:lang w:val="en-NZ"/>
        </w:rPr>
        <w:t>[</w:t>
      </w:r>
      <w:r w:rsidR="00FD5A92" w:rsidRPr="0002323C">
        <w:rPr>
          <w:lang w:val="en-NZ"/>
        </w:rPr>
        <w:t>Organisation</w:t>
      </w:r>
      <w:r w:rsidR="00D97845">
        <w:rPr>
          <w:lang w:val="en-NZ"/>
        </w:rPr>
        <w:t xml:space="preserve"> – </w:t>
      </w:r>
      <w:r w:rsidR="009E2778">
        <w:rPr>
          <w:lang w:val="en-NZ"/>
        </w:rPr>
        <w:t>did not consent to quotes being attributed</w:t>
      </w:r>
      <w:r w:rsidRPr="0002323C">
        <w:rPr>
          <w:lang w:val="en-NZ"/>
        </w:rPr>
        <w:t>]</w:t>
      </w:r>
    </w:p>
    <w:p w14:paraId="15EFF969" w14:textId="430D1820" w:rsidR="00662C18" w:rsidRPr="00662C18" w:rsidRDefault="00662C18" w:rsidP="007E043C">
      <w:pPr>
        <w:spacing w:after="120" w:line="269" w:lineRule="auto"/>
        <w:rPr>
          <w:lang w:val="en-NZ"/>
        </w:rPr>
      </w:pPr>
      <w:r>
        <w:rPr>
          <w:lang w:val="en-NZ"/>
        </w:rPr>
        <w:lastRenderedPageBreak/>
        <w:t xml:space="preserve">There were also particular areas where the language </w:t>
      </w:r>
      <w:r w:rsidR="00C003F9">
        <w:rPr>
          <w:lang w:val="en-NZ"/>
        </w:rPr>
        <w:t>needs</w:t>
      </w:r>
      <w:r>
        <w:rPr>
          <w:lang w:val="en-NZ"/>
        </w:rPr>
        <w:t xml:space="preserve"> further consideration. ‘For example, what does autonomy mean for people with disabilities?’</w:t>
      </w:r>
      <w:r w:rsidR="00256738">
        <w:rPr>
          <w:rStyle w:val="FootnoteReference"/>
          <w:lang w:val="en-NZ"/>
        </w:rPr>
        <w:footnoteReference w:id="25"/>
      </w:r>
    </w:p>
    <w:p w14:paraId="6CB9CEFC" w14:textId="48D9FAD2" w:rsidR="00FE3520" w:rsidRDefault="00DF7503" w:rsidP="007E043C">
      <w:pPr>
        <w:spacing w:after="120" w:line="269" w:lineRule="auto"/>
        <w:rPr>
          <w:lang w:val="en-NZ"/>
        </w:rPr>
      </w:pPr>
      <w:r>
        <w:rPr>
          <w:lang w:val="en-NZ"/>
        </w:rPr>
        <w:t>Editing</w:t>
      </w:r>
      <w:r w:rsidR="003A1387" w:rsidRPr="00AA7375">
        <w:rPr>
          <w:lang w:val="en-NZ"/>
        </w:rPr>
        <w:t xml:space="preserve"> </w:t>
      </w:r>
      <w:r w:rsidR="003A1387">
        <w:rPr>
          <w:lang w:val="en-NZ"/>
        </w:rPr>
        <w:t>was also noted: ‘</w:t>
      </w:r>
      <w:r w:rsidR="003A1387" w:rsidRPr="00AA7375">
        <w:rPr>
          <w:lang w:val="en-NZ"/>
        </w:rPr>
        <w:t xml:space="preserve">the words </w:t>
      </w:r>
      <w:proofErr w:type="spellStart"/>
      <w:r w:rsidR="003A1387" w:rsidRPr="00AA7375">
        <w:rPr>
          <w:lang w:val="en-NZ"/>
        </w:rPr>
        <w:t>tāngata</w:t>
      </w:r>
      <w:proofErr w:type="spellEnd"/>
      <w:r w:rsidR="003A1387" w:rsidRPr="00AA7375">
        <w:rPr>
          <w:lang w:val="en-NZ"/>
        </w:rPr>
        <w:t xml:space="preserve"> (people) and </w:t>
      </w:r>
      <w:proofErr w:type="spellStart"/>
      <w:r w:rsidR="003A1387" w:rsidRPr="00AA7375">
        <w:rPr>
          <w:lang w:val="en-NZ"/>
        </w:rPr>
        <w:t>tūpuna</w:t>
      </w:r>
      <w:proofErr w:type="spellEnd"/>
      <w:r w:rsidR="003A1387" w:rsidRPr="00AA7375">
        <w:rPr>
          <w:lang w:val="en-NZ"/>
        </w:rPr>
        <w:t xml:space="preserve"> (ancestors) throughout need to include macrons (plural)</w:t>
      </w:r>
      <w:r w:rsidR="00223C9F">
        <w:rPr>
          <w:lang w:val="en-NZ"/>
        </w:rPr>
        <w:t>.</w:t>
      </w:r>
      <w:r w:rsidR="003A1387">
        <w:rPr>
          <w:lang w:val="en-NZ"/>
        </w:rPr>
        <w:t>’</w:t>
      </w:r>
      <w:r w:rsidR="00127C1A">
        <w:rPr>
          <w:rStyle w:val="FootnoteReference"/>
          <w:lang w:val="en-NZ"/>
        </w:rPr>
        <w:footnoteReference w:id="26"/>
      </w:r>
    </w:p>
    <w:p w14:paraId="48DF0F61" w14:textId="499B7A90" w:rsidR="00C70B68" w:rsidRDefault="00C70B68" w:rsidP="007E043C">
      <w:pPr>
        <w:pStyle w:val="Heading4"/>
        <w:spacing w:before="120" w:after="120" w:line="269" w:lineRule="auto"/>
      </w:pPr>
      <w:r>
        <w:t>Audience</w:t>
      </w:r>
    </w:p>
    <w:p w14:paraId="41181CD9" w14:textId="5D86A2BC" w:rsidR="00FE3520" w:rsidRDefault="000D13D4" w:rsidP="007E043C">
      <w:pPr>
        <w:spacing w:after="120" w:line="269" w:lineRule="auto"/>
        <w:rPr>
          <w:lang w:val="en-NZ"/>
        </w:rPr>
      </w:pPr>
      <w:r>
        <w:rPr>
          <w:lang w:val="en-NZ"/>
        </w:rPr>
        <w:t xml:space="preserve">Related to comments about the design and the language level, </w:t>
      </w:r>
      <w:r w:rsidR="007D7939">
        <w:rPr>
          <w:lang w:val="en-NZ"/>
        </w:rPr>
        <w:t xml:space="preserve">it was also suggested that </w:t>
      </w:r>
      <w:r w:rsidR="005B7DBD">
        <w:rPr>
          <w:lang w:val="en-NZ"/>
        </w:rPr>
        <w:t xml:space="preserve">the intended audience of the framework </w:t>
      </w:r>
      <w:r w:rsidR="00714CD8">
        <w:rPr>
          <w:lang w:val="en-NZ"/>
        </w:rPr>
        <w:t>needs to be made clear</w:t>
      </w:r>
      <w:r w:rsidR="00DF7503">
        <w:rPr>
          <w:lang w:val="en-NZ"/>
        </w:rPr>
        <w:t xml:space="preserve"> – who is </w:t>
      </w:r>
      <w:r w:rsidR="006C5430">
        <w:rPr>
          <w:lang w:val="en-NZ"/>
        </w:rPr>
        <w:t xml:space="preserve">it </w:t>
      </w:r>
      <w:r w:rsidR="00DF7503">
        <w:rPr>
          <w:lang w:val="en-NZ"/>
        </w:rPr>
        <w:t>written for and for what purpose</w:t>
      </w:r>
      <w:r w:rsidR="007D7939">
        <w:rPr>
          <w:lang w:val="en-NZ"/>
        </w:rPr>
        <w:t>?</w:t>
      </w:r>
    </w:p>
    <w:p w14:paraId="76253DCE" w14:textId="2F46903C" w:rsidR="00245DE8" w:rsidRDefault="00245DE8" w:rsidP="007E043C">
      <w:pPr>
        <w:pStyle w:val="Heading4"/>
        <w:spacing w:before="120" w:after="120" w:line="269" w:lineRule="auto"/>
      </w:pPr>
      <w:r>
        <w:t>Specificity for particular outcomes and groups</w:t>
      </w:r>
    </w:p>
    <w:p w14:paraId="6D4198B1" w14:textId="37CF17FA" w:rsidR="00C73ADD" w:rsidRPr="00606A55" w:rsidRDefault="00C73ADD" w:rsidP="007E043C">
      <w:pPr>
        <w:spacing w:after="120" w:line="269" w:lineRule="auto"/>
        <w:rPr>
          <w:lang w:val="en-NZ"/>
        </w:rPr>
      </w:pPr>
      <w:r w:rsidRPr="004F47B4">
        <w:rPr>
          <w:lang w:val="en-NZ"/>
        </w:rPr>
        <w:t>Respondents recommended that the framework explicitly reference</w:t>
      </w:r>
      <w:r>
        <w:rPr>
          <w:lang w:val="en-NZ"/>
        </w:rPr>
        <w:t xml:space="preserve"> </w:t>
      </w:r>
      <w:r w:rsidR="00A14C43">
        <w:rPr>
          <w:lang w:val="en-NZ"/>
        </w:rPr>
        <w:t xml:space="preserve">the </w:t>
      </w:r>
      <w:r>
        <w:rPr>
          <w:lang w:val="en-NZ"/>
        </w:rPr>
        <w:t>particular outcomes and groups</w:t>
      </w:r>
      <w:r w:rsidR="00A14C43">
        <w:rPr>
          <w:lang w:val="en-NZ"/>
        </w:rPr>
        <w:t xml:space="preserve"> set out below</w:t>
      </w:r>
      <w:r>
        <w:rPr>
          <w:lang w:val="en-NZ"/>
        </w:rPr>
        <w:t>.</w:t>
      </w:r>
      <w:r w:rsidRPr="004F47B4">
        <w:rPr>
          <w:lang w:val="en-NZ"/>
        </w:rPr>
        <w:t xml:space="preserve"> </w:t>
      </w:r>
      <w:r w:rsidR="00C003F9">
        <w:rPr>
          <w:lang w:val="en-NZ"/>
        </w:rPr>
        <w:t>Th</w:t>
      </w:r>
      <w:r w:rsidR="009632D0">
        <w:rPr>
          <w:lang w:val="en-NZ"/>
        </w:rPr>
        <w:t xml:space="preserve">is </w:t>
      </w:r>
      <w:r w:rsidRPr="004F47B4">
        <w:rPr>
          <w:lang w:val="en-NZ"/>
        </w:rPr>
        <w:t xml:space="preserve">could be </w:t>
      </w:r>
      <w:r w:rsidR="0087489C">
        <w:rPr>
          <w:lang w:val="en-NZ"/>
        </w:rPr>
        <w:t xml:space="preserve">done </w:t>
      </w:r>
      <w:r w:rsidRPr="004F47B4">
        <w:rPr>
          <w:lang w:val="en-NZ"/>
        </w:rPr>
        <w:t xml:space="preserve">through the </w:t>
      </w:r>
      <w:r>
        <w:rPr>
          <w:lang w:val="en-NZ"/>
        </w:rPr>
        <w:t>descriptors</w:t>
      </w:r>
      <w:r w:rsidRPr="004F47B4">
        <w:rPr>
          <w:lang w:val="en-NZ"/>
        </w:rPr>
        <w:t>, ‘to ensure these groups stay front of mind when developing measures and indicators</w:t>
      </w:r>
      <w:r w:rsidR="00223C9F">
        <w:rPr>
          <w:lang w:val="en-NZ"/>
        </w:rPr>
        <w:t>.</w:t>
      </w:r>
      <w:r w:rsidRPr="004F47B4">
        <w:rPr>
          <w:lang w:val="en-NZ"/>
        </w:rPr>
        <w:t>’</w:t>
      </w:r>
      <w:r w:rsidR="00B42E5E">
        <w:rPr>
          <w:rStyle w:val="FootnoteReference"/>
          <w:lang w:val="en-NZ"/>
        </w:rPr>
        <w:footnoteReference w:id="27"/>
      </w:r>
      <w:r w:rsidRPr="00606A55">
        <w:rPr>
          <w:lang w:val="en-NZ"/>
        </w:rPr>
        <w:t xml:space="preserve"> </w:t>
      </w:r>
      <w:r w:rsidR="008F3C5B">
        <w:rPr>
          <w:lang w:val="en-NZ"/>
        </w:rPr>
        <w:t>It could also be achieved through providing additional layers specific to particular group</w:t>
      </w:r>
      <w:r w:rsidR="006C5430">
        <w:rPr>
          <w:lang w:val="en-NZ"/>
        </w:rPr>
        <w:t>s and analysing data separately for priority groups (pending data availability)</w:t>
      </w:r>
      <w:r w:rsidR="008F3C5B">
        <w:rPr>
          <w:lang w:val="en-NZ"/>
        </w:rPr>
        <w:t>.</w:t>
      </w:r>
    </w:p>
    <w:p w14:paraId="75AD74EF" w14:textId="61C78E3E" w:rsidR="00714CD8" w:rsidRDefault="00B948F7" w:rsidP="007E043C">
      <w:pPr>
        <w:pStyle w:val="Heading5"/>
        <w:spacing w:before="120" w:after="120" w:line="269" w:lineRule="auto"/>
      </w:pPr>
      <w:r>
        <w:t xml:space="preserve">Critical </w:t>
      </w:r>
      <w:r w:rsidR="008F5DBE">
        <w:t xml:space="preserve">wellbeing </w:t>
      </w:r>
      <w:r>
        <w:t>outcomes for Māori</w:t>
      </w:r>
    </w:p>
    <w:p w14:paraId="5CF44129" w14:textId="2D9FC6B3" w:rsidR="002905AC" w:rsidRDefault="00245DE8" w:rsidP="007E043C">
      <w:pPr>
        <w:spacing w:after="120" w:line="269" w:lineRule="auto"/>
        <w:rPr>
          <w:lang w:val="en-NZ" w:eastAsia="en-GB"/>
        </w:rPr>
      </w:pPr>
      <w:r>
        <w:rPr>
          <w:lang w:val="en-NZ" w:eastAsia="en-GB"/>
        </w:rPr>
        <w:t>Respondents acknowledged that t</w:t>
      </w:r>
      <w:r w:rsidR="002905AC">
        <w:rPr>
          <w:lang w:val="en-NZ" w:eastAsia="en-GB"/>
        </w:rPr>
        <w:t xml:space="preserve">he </w:t>
      </w:r>
      <w:r w:rsidR="00B948F7" w:rsidRPr="00B948F7">
        <w:rPr>
          <w:lang w:val="en-NZ" w:eastAsia="en-GB"/>
        </w:rPr>
        <w:t xml:space="preserve">framework includes a number of critical </w:t>
      </w:r>
      <w:r w:rsidR="009632D0">
        <w:rPr>
          <w:lang w:val="en-NZ" w:eastAsia="en-GB"/>
        </w:rPr>
        <w:t>wellbeing</w:t>
      </w:r>
      <w:r w:rsidR="00B948F7" w:rsidRPr="00B948F7">
        <w:rPr>
          <w:lang w:val="en-NZ" w:eastAsia="en-GB"/>
        </w:rPr>
        <w:t xml:space="preserve"> outcomes</w:t>
      </w:r>
      <w:r w:rsidR="002905AC" w:rsidRPr="002905AC">
        <w:rPr>
          <w:lang w:val="en-NZ" w:eastAsia="en-GB"/>
        </w:rPr>
        <w:t xml:space="preserve"> </w:t>
      </w:r>
      <w:r w:rsidR="002905AC" w:rsidRPr="00B948F7">
        <w:rPr>
          <w:lang w:val="en-NZ" w:eastAsia="en-GB"/>
        </w:rPr>
        <w:t>particularly for Māor</w:t>
      </w:r>
      <w:r w:rsidR="002905AC">
        <w:rPr>
          <w:lang w:val="en-NZ" w:eastAsia="en-GB"/>
        </w:rPr>
        <w:t xml:space="preserve">i, for example, </w:t>
      </w:r>
      <w:r w:rsidR="00B948F7" w:rsidRPr="00B948F7">
        <w:rPr>
          <w:lang w:val="en-NZ" w:eastAsia="en-GB"/>
        </w:rPr>
        <w:t xml:space="preserve">wairuatanga, and mana motuhake. </w:t>
      </w:r>
      <w:r w:rsidR="002905AC">
        <w:rPr>
          <w:lang w:val="en-NZ" w:eastAsia="en-GB"/>
        </w:rPr>
        <w:t xml:space="preserve">However </w:t>
      </w:r>
      <w:r w:rsidR="007D7939">
        <w:rPr>
          <w:lang w:val="en-NZ" w:eastAsia="en-GB"/>
        </w:rPr>
        <w:t xml:space="preserve">it was suggested that </w:t>
      </w:r>
      <w:r w:rsidR="002905AC">
        <w:rPr>
          <w:lang w:val="en-NZ" w:eastAsia="en-GB"/>
        </w:rPr>
        <w:t>other equally critical o</w:t>
      </w:r>
      <w:r w:rsidR="00B948F7" w:rsidRPr="00B948F7">
        <w:rPr>
          <w:lang w:val="en-NZ" w:eastAsia="en-GB"/>
        </w:rPr>
        <w:t xml:space="preserve">utcomes </w:t>
      </w:r>
      <w:r w:rsidR="002905AC">
        <w:rPr>
          <w:lang w:val="en-NZ" w:eastAsia="en-GB"/>
        </w:rPr>
        <w:t>need to be included</w:t>
      </w:r>
      <w:r w:rsidR="00B948F7" w:rsidRPr="00B948F7">
        <w:rPr>
          <w:lang w:val="en-NZ" w:eastAsia="en-GB"/>
        </w:rPr>
        <w:t xml:space="preserve">: </w:t>
      </w:r>
      <w:r w:rsidR="007D7939">
        <w:rPr>
          <w:lang w:val="en-NZ" w:eastAsia="en-GB"/>
        </w:rPr>
        <w:t>‘</w:t>
      </w:r>
      <w:r w:rsidR="00B948F7" w:rsidRPr="00B948F7">
        <w:rPr>
          <w:lang w:val="en-NZ" w:eastAsia="en-GB"/>
        </w:rPr>
        <w:t xml:space="preserve">sovereignty, rights as indigenous peoples, whakapapa, taonga </w:t>
      </w:r>
      <w:proofErr w:type="spellStart"/>
      <w:r w:rsidR="00B948F7" w:rsidRPr="00B948F7">
        <w:rPr>
          <w:lang w:val="en-NZ" w:eastAsia="en-GB"/>
        </w:rPr>
        <w:t>tuku</w:t>
      </w:r>
      <w:proofErr w:type="spellEnd"/>
      <w:r w:rsidR="00B948F7" w:rsidRPr="00B948F7">
        <w:rPr>
          <w:lang w:val="en-NZ" w:eastAsia="en-GB"/>
        </w:rPr>
        <w:t xml:space="preserve"> </w:t>
      </w:r>
      <w:proofErr w:type="spellStart"/>
      <w:r w:rsidR="00B948F7" w:rsidRPr="00B948F7">
        <w:rPr>
          <w:lang w:val="en-NZ" w:eastAsia="en-GB"/>
        </w:rPr>
        <w:t>iho</w:t>
      </w:r>
      <w:proofErr w:type="spellEnd"/>
      <w:r w:rsidR="00B948F7" w:rsidRPr="00B948F7">
        <w:rPr>
          <w:lang w:val="en-NZ" w:eastAsia="en-GB"/>
        </w:rPr>
        <w:t>, mauri, m</w:t>
      </w:r>
      <w:r w:rsidR="00845831">
        <w:rPr>
          <w:lang w:val="en-NZ" w:eastAsia="en-GB"/>
        </w:rPr>
        <w:t>ā</w:t>
      </w:r>
      <w:r w:rsidR="00B948F7" w:rsidRPr="00B948F7">
        <w:rPr>
          <w:lang w:val="en-NZ" w:eastAsia="en-GB"/>
        </w:rPr>
        <w:t>tauranga, intellectual sovereignty, leadership, action, indigeneity, and decolonisation</w:t>
      </w:r>
      <w:r w:rsidR="00223C9F">
        <w:rPr>
          <w:lang w:val="en-NZ" w:eastAsia="en-GB"/>
        </w:rPr>
        <w:t>.</w:t>
      </w:r>
      <w:r w:rsidR="007D7939">
        <w:rPr>
          <w:lang w:val="en-NZ" w:eastAsia="en-GB"/>
        </w:rPr>
        <w:t>’</w:t>
      </w:r>
      <w:r w:rsidR="007D7939">
        <w:rPr>
          <w:rStyle w:val="FootnoteReference"/>
          <w:lang w:val="en-NZ" w:eastAsia="en-GB"/>
        </w:rPr>
        <w:footnoteReference w:id="28"/>
      </w:r>
      <w:r w:rsidR="00B948F7" w:rsidRPr="00B948F7">
        <w:rPr>
          <w:lang w:val="en-NZ" w:eastAsia="en-GB"/>
        </w:rPr>
        <w:t xml:space="preserve"> </w:t>
      </w:r>
      <w:r w:rsidR="00436C1D">
        <w:rPr>
          <w:lang w:val="en-NZ" w:eastAsia="en-GB"/>
        </w:rPr>
        <w:t>It was also noted by one re</w:t>
      </w:r>
      <w:r w:rsidR="005C362C">
        <w:rPr>
          <w:lang w:val="en-NZ" w:eastAsia="en-GB"/>
        </w:rPr>
        <w:t>sp</w:t>
      </w:r>
      <w:r w:rsidR="00436C1D">
        <w:rPr>
          <w:lang w:val="en-NZ" w:eastAsia="en-GB"/>
        </w:rPr>
        <w:t>ondent</w:t>
      </w:r>
      <w:r w:rsidR="00D97845">
        <w:rPr>
          <w:lang w:val="en-NZ" w:eastAsia="en-GB"/>
        </w:rPr>
        <w:t xml:space="preserve"> – </w:t>
      </w:r>
      <w:r w:rsidR="002905AC">
        <w:rPr>
          <w:lang w:val="en-NZ" w:eastAsia="en-GB"/>
        </w:rPr>
        <w:t>while acknowledging the</w:t>
      </w:r>
      <w:r w:rsidR="009C572D">
        <w:rPr>
          <w:lang w:val="en-NZ" w:eastAsia="en-GB"/>
        </w:rPr>
        <w:t xml:space="preserve"> framework’s</w:t>
      </w:r>
      <w:r w:rsidR="002905AC">
        <w:rPr>
          <w:lang w:val="en-NZ" w:eastAsia="en-GB"/>
        </w:rPr>
        <w:t xml:space="preserve"> focus on outcomes rather than process – the place of </w:t>
      </w:r>
      <w:proofErr w:type="spellStart"/>
      <w:r w:rsidR="00B948F7" w:rsidRPr="00B948F7">
        <w:rPr>
          <w:lang w:val="en-NZ" w:eastAsia="en-GB"/>
        </w:rPr>
        <w:t>rongo</w:t>
      </w:r>
      <w:r w:rsidR="00E353E7">
        <w:rPr>
          <w:lang w:val="en-NZ" w:eastAsia="en-GB"/>
        </w:rPr>
        <w:t>ā</w:t>
      </w:r>
      <w:proofErr w:type="spellEnd"/>
      <w:r w:rsidR="00B948F7" w:rsidRPr="00B948F7">
        <w:rPr>
          <w:lang w:val="en-NZ" w:eastAsia="en-GB"/>
        </w:rPr>
        <w:t xml:space="preserve"> M</w:t>
      </w:r>
      <w:r w:rsidR="00A14C43">
        <w:rPr>
          <w:lang w:val="en-NZ" w:eastAsia="en-GB"/>
        </w:rPr>
        <w:t>ā</w:t>
      </w:r>
      <w:r w:rsidR="00B948F7" w:rsidRPr="00B948F7">
        <w:rPr>
          <w:lang w:val="en-NZ" w:eastAsia="en-GB"/>
        </w:rPr>
        <w:t xml:space="preserve">ori </w:t>
      </w:r>
      <w:r w:rsidR="002905AC">
        <w:rPr>
          <w:lang w:val="en-NZ" w:eastAsia="en-GB"/>
        </w:rPr>
        <w:t>as</w:t>
      </w:r>
      <w:r w:rsidR="00B948F7" w:rsidRPr="00B948F7">
        <w:rPr>
          <w:lang w:val="en-NZ" w:eastAsia="en-GB"/>
        </w:rPr>
        <w:t xml:space="preserve"> the traditional system of healing for </w:t>
      </w:r>
      <w:r w:rsidR="00A14C43">
        <w:rPr>
          <w:lang w:val="en-NZ" w:eastAsia="en-GB"/>
        </w:rPr>
        <w:t xml:space="preserve">Māori </w:t>
      </w:r>
      <w:r w:rsidR="002905AC">
        <w:rPr>
          <w:lang w:val="en-NZ" w:eastAsia="en-GB"/>
        </w:rPr>
        <w:t>should be clear.</w:t>
      </w:r>
      <w:r w:rsidR="000E5A16">
        <w:rPr>
          <w:lang w:val="en-NZ" w:eastAsia="en-GB"/>
        </w:rPr>
        <w:t xml:space="preserve"> </w:t>
      </w:r>
    </w:p>
    <w:p w14:paraId="09DDDE70" w14:textId="5A222801" w:rsidR="001E2A68" w:rsidRDefault="002905AC" w:rsidP="007E043C">
      <w:pPr>
        <w:spacing w:after="120" w:line="269" w:lineRule="auto"/>
        <w:rPr>
          <w:lang w:val="en-NZ" w:eastAsia="en-GB"/>
        </w:rPr>
      </w:pPr>
      <w:r>
        <w:rPr>
          <w:lang w:val="en-NZ" w:eastAsia="en-GB"/>
        </w:rPr>
        <w:t xml:space="preserve">Overall, </w:t>
      </w:r>
      <w:r w:rsidR="00140E7A">
        <w:rPr>
          <w:lang w:val="en-NZ" w:eastAsia="en-GB"/>
        </w:rPr>
        <w:t>several respondents questioned</w:t>
      </w:r>
      <w:r>
        <w:rPr>
          <w:lang w:val="en-NZ" w:eastAsia="en-GB"/>
        </w:rPr>
        <w:t xml:space="preserve"> whether the</w:t>
      </w:r>
      <w:r w:rsidR="00B948F7" w:rsidRPr="00B948F7">
        <w:rPr>
          <w:lang w:val="en-NZ" w:eastAsia="en-GB"/>
        </w:rPr>
        <w:t xml:space="preserve"> framework adequately convey</w:t>
      </w:r>
      <w:r>
        <w:rPr>
          <w:lang w:val="en-NZ" w:eastAsia="en-GB"/>
        </w:rPr>
        <w:t>s</w:t>
      </w:r>
      <w:r w:rsidR="00B948F7" w:rsidRPr="00B948F7">
        <w:rPr>
          <w:lang w:val="en-NZ" w:eastAsia="en-GB"/>
        </w:rPr>
        <w:t xml:space="preserve"> the presence of health injustices and the need to address these (decolonisation).</w:t>
      </w:r>
      <w:r>
        <w:rPr>
          <w:lang w:val="en-NZ" w:eastAsia="en-GB"/>
        </w:rPr>
        <w:t xml:space="preserve"> This point will be expanded on in the following discussion of the domains and descriptors.</w:t>
      </w:r>
    </w:p>
    <w:p w14:paraId="45BA7131" w14:textId="593E2EA3" w:rsidR="00BF583B" w:rsidRDefault="00BF583B" w:rsidP="007E043C">
      <w:pPr>
        <w:spacing w:after="120" w:line="269" w:lineRule="auto"/>
      </w:pPr>
      <w:r>
        <w:t>One respondent asked the Initial Commission</w:t>
      </w:r>
      <w:r w:rsidRPr="006C7840">
        <w:t xml:space="preserve"> </w:t>
      </w:r>
      <w:r w:rsidR="007F75F3">
        <w:t xml:space="preserve">to </w:t>
      </w:r>
      <w:r w:rsidRPr="006C7840">
        <w:t xml:space="preserve">explicitly articulate </w:t>
      </w:r>
      <w:r>
        <w:t>how</w:t>
      </w:r>
      <w:r w:rsidRPr="006C7840">
        <w:t xml:space="preserve"> mātauranga Māori will influence and be incorporated into the strategy and into practice.</w:t>
      </w:r>
      <w:r>
        <w:t xml:space="preserve"> </w:t>
      </w:r>
    </w:p>
    <w:p w14:paraId="1C9542D7" w14:textId="5618A34D" w:rsidR="00BF583B" w:rsidRDefault="00BF583B" w:rsidP="007E043C">
      <w:pPr>
        <w:pStyle w:val="Quote"/>
        <w:spacing w:before="120" w:after="120" w:line="269" w:lineRule="auto"/>
      </w:pPr>
      <w:r w:rsidRPr="006C7840">
        <w:t>Please seek to explore mātauranga Māori concepts, theories and tikanga and include explicit utilisation and examples within this work.</w:t>
      </w:r>
      <w:r>
        <w:t xml:space="preserve"> </w:t>
      </w:r>
      <w:r w:rsidRPr="006C7840">
        <w:t xml:space="preserve">For example, please explicitly include </w:t>
      </w:r>
      <w:proofErr w:type="spellStart"/>
      <w:r w:rsidRPr="006C7840">
        <w:t>rongoā</w:t>
      </w:r>
      <w:proofErr w:type="spellEnd"/>
      <w:r w:rsidRPr="006C7840">
        <w:t xml:space="preserve"> Māori as the</w:t>
      </w:r>
      <w:r>
        <w:t xml:space="preserve"> </w:t>
      </w:r>
      <w:r w:rsidRPr="006C7840">
        <w:t>customary Māori system of healing.</w:t>
      </w:r>
      <w:r>
        <w:t xml:space="preserve"> </w:t>
      </w:r>
      <w:r w:rsidRPr="006C7840">
        <w:t>Please include atua Māori.</w:t>
      </w:r>
      <w:r>
        <w:t xml:space="preserve"> </w:t>
      </w:r>
      <w:r w:rsidRPr="006C7840">
        <w:t>If we are going to talk about human health and wellbeing</w:t>
      </w:r>
      <w:r w:rsidR="00D97845">
        <w:t xml:space="preserve"> – </w:t>
      </w:r>
      <w:r w:rsidRPr="006C7840">
        <w:t xml:space="preserve">please talk about Māori creation stories, please talk about </w:t>
      </w:r>
      <w:proofErr w:type="spellStart"/>
      <w:r w:rsidRPr="006C7840">
        <w:t>Tāne</w:t>
      </w:r>
      <w:proofErr w:type="spellEnd"/>
      <w:r w:rsidRPr="006C7840">
        <w:t xml:space="preserve"> and </w:t>
      </w:r>
      <w:proofErr w:type="spellStart"/>
      <w:r w:rsidRPr="006C7840">
        <w:t>Hinet</w:t>
      </w:r>
      <w:r w:rsidR="00787D4E">
        <w:t>ī</w:t>
      </w:r>
      <w:r w:rsidRPr="006C7840">
        <w:t>tama</w:t>
      </w:r>
      <w:proofErr w:type="spellEnd"/>
      <w:r w:rsidRPr="006C7840">
        <w:t xml:space="preserve"> and </w:t>
      </w:r>
      <w:proofErr w:type="spellStart"/>
      <w:r w:rsidRPr="006C7840">
        <w:t>Hineahuone</w:t>
      </w:r>
      <w:proofErr w:type="spellEnd"/>
      <w:r w:rsidR="00D97845">
        <w:t xml:space="preserve"> – </w:t>
      </w:r>
      <w:r w:rsidRPr="006C7840">
        <w:t>as these are the mātauranga topics that drive and provide foundation for all human health.</w:t>
      </w:r>
      <w:r>
        <w:t xml:space="preserve"> [Individual respondent]</w:t>
      </w:r>
    </w:p>
    <w:p w14:paraId="505E6303" w14:textId="0B7489E3" w:rsidR="00E309D5" w:rsidRDefault="0057065C" w:rsidP="007E043C">
      <w:pPr>
        <w:pStyle w:val="Heading5"/>
        <w:spacing w:before="120" w:after="120" w:line="269" w:lineRule="auto"/>
      </w:pPr>
      <w:r>
        <w:t>Acute m</w:t>
      </w:r>
      <w:r w:rsidR="00E309D5">
        <w:t xml:space="preserve">ental health </w:t>
      </w:r>
      <w:r>
        <w:t>needs</w:t>
      </w:r>
    </w:p>
    <w:p w14:paraId="5D65763B" w14:textId="2CB5FBD6" w:rsidR="00E309D5" w:rsidRDefault="006E22A6" w:rsidP="007E043C">
      <w:pPr>
        <w:spacing w:after="120" w:line="269" w:lineRule="auto"/>
        <w:rPr>
          <w:lang w:val="en-NZ" w:eastAsia="en-GB"/>
        </w:rPr>
      </w:pPr>
      <w:r>
        <w:rPr>
          <w:lang w:val="en-NZ" w:eastAsia="en-GB"/>
        </w:rPr>
        <w:t>Some respondents questioned whether ther</w:t>
      </w:r>
      <w:r w:rsidR="002F163A">
        <w:rPr>
          <w:lang w:val="en-NZ" w:eastAsia="en-GB"/>
        </w:rPr>
        <w:t xml:space="preserve">e </w:t>
      </w:r>
      <w:r>
        <w:rPr>
          <w:lang w:val="en-NZ" w:eastAsia="en-GB"/>
        </w:rPr>
        <w:t>was adequate focus on outco</w:t>
      </w:r>
      <w:r w:rsidR="002F163A">
        <w:rPr>
          <w:lang w:val="en-NZ" w:eastAsia="en-GB"/>
        </w:rPr>
        <w:t>m</w:t>
      </w:r>
      <w:r>
        <w:rPr>
          <w:lang w:val="en-NZ" w:eastAsia="en-GB"/>
        </w:rPr>
        <w:t xml:space="preserve">es for people in </w:t>
      </w:r>
      <w:r w:rsidR="00974086">
        <w:rPr>
          <w:lang w:val="en-NZ" w:eastAsia="en-GB"/>
        </w:rPr>
        <w:t xml:space="preserve">acute need, </w:t>
      </w:r>
      <w:r w:rsidR="009D0DF2">
        <w:rPr>
          <w:lang w:val="en-NZ" w:eastAsia="en-GB"/>
        </w:rPr>
        <w:t xml:space="preserve">in </w:t>
      </w:r>
      <w:r>
        <w:rPr>
          <w:lang w:val="en-NZ" w:eastAsia="en-GB"/>
        </w:rPr>
        <w:t xml:space="preserve">mental distress </w:t>
      </w:r>
      <w:r w:rsidR="002F163A">
        <w:rPr>
          <w:lang w:val="en-NZ" w:eastAsia="en-GB"/>
        </w:rPr>
        <w:t>or for those who had severe and enduring ill health</w:t>
      </w:r>
      <w:r w:rsidR="009632D0">
        <w:rPr>
          <w:lang w:val="en-NZ" w:eastAsia="en-GB"/>
        </w:rPr>
        <w:t>,</w:t>
      </w:r>
      <w:r w:rsidR="002F163A">
        <w:rPr>
          <w:lang w:val="en-NZ" w:eastAsia="en-GB"/>
        </w:rPr>
        <w:t xml:space="preserve"> </w:t>
      </w:r>
      <w:r>
        <w:rPr>
          <w:lang w:val="en-NZ" w:eastAsia="en-GB"/>
        </w:rPr>
        <w:t xml:space="preserve">who need </w:t>
      </w:r>
      <w:r>
        <w:rPr>
          <w:lang w:val="en-NZ" w:eastAsia="en-GB"/>
        </w:rPr>
        <w:lastRenderedPageBreak/>
        <w:t xml:space="preserve">‘a </w:t>
      </w:r>
      <w:r w:rsidR="002F163A">
        <w:rPr>
          <w:lang w:val="en-NZ" w:eastAsia="en-GB"/>
        </w:rPr>
        <w:t>concrete</w:t>
      </w:r>
      <w:r>
        <w:rPr>
          <w:lang w:val="en-NZ" w:eastAsia="en-GB"/>
        </w:rPr>
        <w:t xml:space="preserve"> and tangible’ response to support them</w:t>
      </w:r>
      <w:r w:rsidR="002F163A">
        <w:rPr>
          <w:lang w:val="en-NZ" w:eastAsia="en-GB"/>
        </w:rPr>
        <w:t>.</w:t>
      </w:r>
      <w:r>
        <w:rPr>
          <w:lang w:val="en-NZ" w:eastAsia="en-GB"/>
        </w:rPr>
        <w:t xml:space="preserve"> ‘</w:t>
      </w:r>
      <w:r w:rsidRPr="006E22A6">
        <w:rPr>
          <w:lang w:val="en-NZ" w:eastAsia="en-GB"/>
        </w:rPr>
        <w:t>This framework seems too distant from the reality of life for many people living with mental distress</w:t>
      </w:r>
      <w:r w:rsidR="00223C9F">
        <w:rPr>
          <w:lang w:val="en-NZ" w:eastAsia="en-GB"/>
        </w:rPr>
        <w:t>.</w:t>
      </w:r>
      <w:r>
        <w:rPr>
          <w:lang w:val="en-NZ" w:eastAsia="en-GB"/>
        </w:rPr>
        <w:t>’</w:t>
      </w:r>
      <w:r w:rsidR="004253C9">
        <w:rPr>
          <w:rStyle w:val="FootnoteReference"/>
          <w:lang w:val="en-NZ" w:eastAsia="en-GB"/>
        </w:rPr>
        <w:footnoteReference w:id="29"/>
      </w:r>
    </w:p>
    <w:p w14:paraId="0FD1A45F" w14:textId="437903C6" w:rsidR="002F163A" w:rsidRDefault="002F163A" w:rsidP="007E043C">
      <w:pPr>
        <w:pStyle w:val="Quote"/>
        <w:spacing w:before="120" w:after="120" w:line="269" w:lineRule="auto"/>
        <w:rPr>
          <w:lang w:val="en-NZ" w:eastAsia="en-GB"/>
        </w:rPr>
      </w:pPr>
      <w:r w:rsidRPr="002F163A">
        <w:rPr>
          <w:lang w:val="en-NZ" w:eastAsia="en-GB"/>
        </w:rPr>
        <w:t>Mental health is mentioned only once and at the very end of the proposed framework, yet there is clearly a demonstrated and acute need to improve mental health and non-physical wellbeing, which I thought this was really about. I would like to see more concrete outcomes that are focused on mental health and non-physical wellbeing first and foremost.</w:t>
      </w:r>
      <w:r>
        <w:rPr>
          <w:lang w:val="en-NZ" w:eastAsia="en-GB"/>
        </w:rPr>
        <w:t xml:space="preserve"> [</w:t>
      </w:r>
      <w:r w:rsidR="00037026">
        <w:rPr>
          <w:lang w:val="en-NZ" w:eastAsia="en-GB"/>
        </w:rPr>
        <w:t>Individual respondent</w:t>
      </w:r>
      <w:r>
        <w:rPr>
          <w:lang w:val="en-NZ" w:eastAsia="en-GB"/>
        </w:rPr>
        <w:t>]</w:t>
      </w:r>
    </w:p>
    <w:p w14:paraId="1492AD42" w14:textId="4EC3B89E" w:rsidR="00D761A0" w:rsidRPr="00D761A0" w:rsidRDefault="00725EFE" w:rsidP="00725EFE">
      <w:pPr>
        <w:pStyle w:val="Quote"/>
        <w:rPr>
          <w:lang w:val="en-NZ" w:eastAsia="en-GB"/>
        </w:rPr>
      </w:pPr>
      <w:r>
        <w:rPr>
          <w:lang w:val="en-NZ"/>
        </w:rPr>
        <w:t>I … worry that focusing too much on measuring vague final outcomes may result in a lack of resources for people who need more help than can be found in the community, for example people undergoing severe psychotic episodes. [Individual respondent]</w:t>
      </w:r>
    </w:p>
    <w:p w14:paraId="21A5C09B" w14:textId="07A8EDFD" w:rsidR="00F22242" w:rsidRDefault="00F22242" w:rsidP="007E043C">
      <w:pPr>
        <w:pStyle w:val="Heading5"/>
        <w:spacing w:before="120" w:after="120" w:line="269" w:lineRule="auto"/>
      </w:pPr>
      <w:r>
        <w:t>Addiction</w:t>
      </w:r>
    </w:p>
    <w:p w14:paraId="370B578B" w14:textId="5FD8142E" w:rsidR="00146709" w:rsidRPr="0003465B" w:rsidRDefault="0057065C" w:rsidP="00146709">
      <w:r>
        <w:rPr>
          <w:lang w:val="en-NZ" w:eastAsia="en-GB"/>
        </w:rPr>
        <w:t>R</w:t>
      </w:r>
      <w:r w:rsidR="00714233">
        <w:rPr>
          <w:lang w:val="en-NZ" w:eastAsia="en-GB"/>
        </w:rPr>
        <w:t xml:space="preserve">espondents wanted </w:t>
      </w:r>
      <w:r w:rsidR="00245DE8">
        <w:rPr>
          <w:lang w:val="en-NZ" w:eastAsia="en-GB"/>
        </w:rPr>
        <w:t xml:space="preserve">the framework to have a stronger focus on </w:t>
      </w:r>
      <w:r w:rsidR="00714233">
        <w:rPr>
          <w:lang w:val="en-NZ" w:eastAsia="en-GB"/>
        </w:rPr>
        <w:t>addiction</w:t>
      </w:r>
      <w:r w:rsidR="009949A8">
        <w:rPr>
          <w:lang w:val="en-NZ" w:eastAsia="en-GB"/>
        </w:rPr>
        <w:t>, substance use harm and gambling harm</w:t>
      </w:r>
      <w:r w:rsidR="00714233">
        <w:rPr>
          <w:lang w:val="en-NZ" w:eastAsia="en-GB"/>
        </w:rPr>
        <w:t xml:space="preserve">. Commonalties between </w:t>
      </w:r>
      <w:r w:rsidR="001A0BC5">
        <w:rPr>
          <w:lang w:val="en-NZ" w:eastAsia="en-GB"/>
        </w:rPr>
        <w:t>mental health</w:t>
      </w:r>
      <w:r w:rsidR="00714233">
        <w:rPr>
          <w:lang w:val="en-NZ" w:eastAsia="en-GB"/>
        </w:rPr>
        <w:t xml:space="preserve"> and a</w:t>
      </w:r>
      <w:r w:rsidR="001A0BC5">
        <w:rPr>
          <w:lang w:val="en-NZ" w:eastAsia="en-GB"/>
        </w:rPr>
        <w:t>ddiction</w:t>
      </w:r>
      <w:r w:rsidR="00714233">
        <w:rPr>
          <w:lang w:val="en-NZ" w:eastAsia="en-GB"/>
        </w:rPr>
        <w:t xml:space="preserve"> were acknowledge</w:t>
      </w:r>
      <w:r w:rsidR="00245DE8">
        <w:rPr>
          <w:lang w:val="en-NZ" w:eastAsia="en-GB"/>
        </w:rPr>
        <w:t>d</w:t>
      </w:r>
      <w:r w:rsidR="00714233">
        <w:rPr>
          <w:lang w:val="en-NZ" w:eastAsia="en-GB"/>
        </w:rPr>
        <w:t xml:space="preserve"> but </w:t>
      </w:r>
      <w:r w:rsidR="001A0BC5">
        <w:rPr>
          <w:lang w:val="en-NZ" w:eastAsia="en-GB"/>
        </w:rPr>
        <w:t xml:space="preserve">so were the distinct differences. </w:t>
      </w:r>
      <w:r w:rsidR="00146709">
        <w:t>One respondent noted a wider confusion about ‘where addiction sits in relation to mental health</w:t>
      </w:r>
      <w:r w:rsidR="00223C9F">
        <w:t>.</w:t>
      </w:r>
      <w:r w:rsidR="00146709">
        <w:t>’</w:t>
      </w:r>
      <w:r w:rsidR="00146709">
        <w:rPr>
          <w:rStyle w:val="FootnoteReference"/>
        </w:rPr>
        <w:footnoteReference w:id="30"/>
      </w:r>
      <w:r w:rsidR="00146709">
        <w:t xml:space="preserve"> </w:t>
      </w:r>
    </w:p>
    <w:p w14:paraId="5F59128E" w14:textId="4528E2D0" w:rsidR="001A0BC5" w:rsidRDefault="00484E1E" w:rsidP="007E043C">
      <w:pPr>
        <w:spacing w:after="120" w:line="269" w:lineRule="auto"/>
        <w:rPr>
          <w:lang w:val="en-NZ" w:eastAsia="en-GB"/>
        </w:rPr>
      </w:pPr>
      <w:r>
        <w:t xml:space="preserve">It was </w:t>
      </w:r>
      <w:r w:rsidR="0068763B">
        <w:t>observed</w:t>
      </w:r>
      <w:r>
        <w:t xml:space="preserve"> that </w:t>
      </w:r>
      <w:r w:rsidR="009632D0">
        <w:t>the addiction community and people who experience substance use harm do</w:t>
      </w:r>
      <w:r>
        <w:t xml:space="preserve"> not </w:t>
      </w:r>
      <w:r w:rsidR="00456797">
        <w:t xml:space="preserve">necessarily </w:t>
      </w:r>
      <w:r>
        <w:t>identi</w:t>
      </w:r>
      <w:r w:rsidR="00AD5B3A">
        <w:t>f</w:t>
      </w:r>
      <w:r>
        <w:t xml:space="preserve">y with discussion </w:t>
      </w:r>
      <w:r w:rsidR="00C003F9">
        <w:t>of</w:t>
      </w:r>
      <w:r>
        <w:t xml:space="preserve"> ‘mental health’. </w:t>
      </w:r>
      <w:r w:rsidR="009949A8">
        <w:t xml:space="preserve">The </w:t>
      </w:r>
      <w:r w:rsidR="001A0BC5">
        <w:rPr>
          <w:lang w:val="en-NZ" w:eastAsia="en-GB"/>
        </w:rPr>
        <w:t>‘notion of identity’</w:t>
      </w:r>
      <w:r w:rsidR="00711190">
        <w:rPr>
          <w:rStyle w:val="FootnoteReference"/>
          <w:lang w:val="en-NZ" w:eastAsia="en-GB"/>
        </w:rPr>
        <w:footnoteReference w:id="31"/>
      </w:r>
      <w:r w:rsidR="001A0BC5">
        <w:rPr>
          <w:lang w:val="en-NZ" w:eastAsia="en-GB"/>
        </w:rPr>
        <w:t xml:space="preserve"> </w:t>
      </w:r>
      <w:r w:rsidR="009949A8">
        <w:rPr>
          <w:lang w:val="en-NZ" w:eastAsia="en-GB"/>
        </w:rPr>
        <w:t xml:space="preserve">was </w:t>
      </w:r>
      <w:r w:rsidR="00140E7A">
        <w:rPr>
          <w:lang w:val="en-NZ" w:eastAsia="en-GB"/>
        </w:rPr>
        <w:t xml:space="preserve">commented on in relation to </w:t>
      </w:r>
      <w:r w:rsidR="00146B4D">
        <w:rPr>
          <w:lang w:val="en-NZ" w:eastAsia="en-GB"/>
        </w:rPr>
        <w:t>addiction recovery.</w:t>
      </w:r>
      <w:r w:rsidR="00146B4D">
        <w:rPr>
          <w:rStyle w:val="CommentReference"/>
        </w:rPr>
        <w:t xml:space="preserve"> </w:t>
      </w:r>
    </w:p>
    <w:p w14:paraId="32D617FE" w14:textId="62CC13DE" w:rsidR="009632D0" w:rsidRDefault="009632D0" w:rsidP="007E043C">
      <w:pPr>
        <w:pStyle w:val="Quote"/>
        <w:spacing w:before="120" w:after="120" w:line="269" w:lineRule="auto"/>
      </w:pPr>
      <w:r>
        <w:t>I</w:t>
      </w:r>
      <w:r w:rsidRPr="00F45FC3">
        <w:t>t is unclear whether addiction is implicitly included or explicitly excluded when using the term ‘mental health’?</w:t>
      </w:r>
      <w:r w:rsidR="00A46919">
        <w:t xml:space="preserve"> </w:t>
      </w:r>
      <w:r>
        <w:t>…</w:t>
      </w:r>
      <w:r w:rsidR="00A46919">
        <w:t xml:space="preserve"> </w:t>
      </w:r>
      <w:r w:rsidRPr="00F45FC3">
        <w:t>Adopting terms and examples that only reflect a mental health worldview can potentially reinforce these perceptions that people with addiction issues are excluded.</w:t>
      </w:r>
      <w:r w:rsidR="00A46919">
        <w:t xml:space="preserve"> </w:t>
      </w:r>
      <w:r w:rsidRPr="00F45FC3">
        <w:t>The impact of this could be magnified if this perception is replicated throughout policy, commissioning and delivery of services across the health and social system</w:t>
      </w:r>
      <w:r>
        <w:t xml:space="preserve"> [Addiction Consumer Leadership Group, Te Pou]</w:t>
      </w:r>
    </w:p>
    <w:p w14:paraId="0110729A" w14:textId="4C55256C" w:rsidR="00FE3520" w:rsidRDefault="009632D0" w:rsidP="007E043C">
      <w:pPr>
        <w:pStyle w:val="Quote"/>
        <w:spacing w:before="120" w:after="120" w:line="269" w:lineRule="auto"/>
      </w:pPr>
      <w:r w:rsidRPr="00281E9C">
        <w:t>There is currently no mention of the role of drugs or alcohol. We contend that a framework on wellbeing outcomes that is to be used to support the mental health system should specifically identify protection against the harms of drugs and alcohol given the significant burden these substances have on mental health and addiction.</w:t>
      </w:r>
      <w:r>
        <w:t xml:space="preserve"> [NZ Medical Association]</w:t>
      </w:r>
    </w:p>
    <w:p w14:paraId="40ACEE47" w14:textId="55177C82" w:rsidR="002905AC" w:rsidRDefault="00E309D5" w:rsidP="007E043C">
      <w:pPr>
        <w:pStyle w:val="Heading5"/>
        <w:spacing w:before="120" w:after="120" w:line="269" w:lineRule="auto"/>
      </w:pPr>
      <w:r>
        <w:t>I</w:t>
      </w:r>
      <w:r w:rsidR="002905AC">
        <w:t>nfant and child mental health and wellbeing</w:t>
      </w:r>
    </w:p>
    <w:p w14:paraId="453DF5A8" w14:textId="4C9229BE" w:rsidR="002905AC" w:rsidRDefault="006E4084" w:rsidP="007E043C">
      <w:pPr>
        <w:spacing w:after="120" w:line="269" w:lineRule="auto"/>
        <w:rPr>
          <w:lang w:val="en-NZ" w:eastAsia="en-GB"/>
        </w:rPr>
      </w:pPr>
      <w:r>
        <w:rPr>
          <w:lang w:val="en-NZ" w:eastAsia="en-GB"/>
        </w:rPr>
        <w:t>Several r</w:t>
      </w:r>
      <w:r w:rsidR="00711190">
        <w:rPr>
          <w:lang w:val="en-NZ" w:eastAsia="en-GB"/>
        </w:rPr>
        <w:t>espondents wanted c</w:t>
      </w:r>
      <w:r w:rsidR="002905AC" w:rsidRPr="002126C1">
        <w:rPr>
          <w:lang w:val="en-NZ" w:eastAsia="en-GB"/>
        </w:rPr>
        <w:t xml:space="preserve">hildren’s </w:t>
      </w:r>
      <w:r w:rsidR="002905AC">
        <w:rPr>
          <w:lang w:val="en-NZ" w:eastAsia="en-GB"/>
        </w:rPr>
        <w:t xml:space="preserve">unique mental health and wellbeing </w:t>
      </w:r>
      <w:r w:rsidR="002905AC" w:rsidRPr="002126C1">
        <w:rPr>
          <w:lang w:val="en-NZ" w:eastAsia="en-GB"/>
        </w:rPr>
        <w:t xml:space="preserve">needs </w:t>
      </w:r>
      <w:r w:rsidR="00711190">
        <w:rPr>
          <w:lang w:val="en-NZ" w:eastAsia="en-GB"/>
        </w:rPr>
        <w:t>to</w:t>
      </w:r>
      <w:r w:rsidR="002905AC" w:rsidRPr="002126C1">
        <w:rPr>
          <w:lang w:val="en-NZ" w:eastAsia="en-GB"/>
        </w:rPr>
        <w:t xml:space="preserve"> be explicit within the framework </w:t>
      </w:r>
      <w:r w:rsidR="002905AC">
        <w:rPr>
          <w:lang w:val="en-NZ" w:eastAsia="en-GB"/>
        </w:rPr>
        <w:t>(</w:t>
      </w:r>
      <w:r w:rsidR="002905AC" w:rsidRPr="002126C1">
        <w:rPr>
          <w:lang w:val="en-NZ" w:eastAsia="en-GB"/>
        </w:rPr>
        <w:t>acknowledg</w:t>
      </w:r>
      <w:r w:rsidR="002905AC">
        <w:rPr>
          <w:lang w:val="en-NZ" w:eastAsia="en-GB"/>
        </w:rPr>
        <w:t>ing</w:t>
      </w:r>
      <w:r w:rsidR="002905AC" w:rsidRPr="002126C1">
        <w:rPr>
          <w:lang w:val="en-NZ" w:eastAsia="en-GB"/>
        </w:rPr>
        <w:t xml:space="preserve"> that pēpi and tamariki are represented implicitly as people, and as members of their wh</w:t>
      </w:r>
      <w:r w:rsidR="002905AC">
        <w:rPr>
          <w:lang w:val="en-NZ" w:eastAsia="en-GB"/>
        </w:rPr>
        <w:t>ā</w:t>
      </w:r>
      <w:r w:rsidR="002905AC" w:rsidRPr="002126C1">
        <w:rPr>
          <w:lang w:val="en-NZ" w:eastAsia="en-GB"/>
        </w:rPr>
        <w:t>nau</w:t>
      </w:r>
      <w:r w:rsidR="002905AC">
        <w:rPr>
          <w:lang w:val="en-NZ" w:eastAsia="en-GB"/>
        </w:rPr>
        <w:t xml:space="preserve"> and </w:t>
      </w:r>
      <w:r w:rsidR="002905AC" w:rsidRPr="002126C1">
        <w:rPr>
          <w:lang w:val="en-NZ" w:eastAsia="en-GB"/>
        </w:rPr>
        <w:t>families</w:t>
      </w:r>
      <w:r w:rsidR="002905AC">
        <w:rPr>
          <w:lang w:val="en-NZ" w:eastAsia="en-GB"/>
        </w:rPr>
        <w:t>)</w:t>
      </w:r>
      <w:r w:rsidR="002905AC" w:rsidRPr="002126C1">
        <w:rPr>
          <w:lang w:val="en-NZ" w:eastAsia="en-GB"/>
        </w:rPr>
        <w:t>.</w:t>
      </w:r>
      <w:r w:rsidR="000E5A16">
        <w:rPr>
          <w:lang w:val="en-NZ" w:eastAsia="en-GB"/>
        </w:rPr>
        <w:t xml:space="preserve"> </w:t>
      </w:r>
    </w:p>
    <w:p w14:paraId="62417389" w14:textId="0B202879" w:rsidR="002F163A" w:rsidRDefault="002F163A" w:rsidP="007E043C">
      <w:pPr>
        <w:pStyle w:val="Quote"/>
        <w:spacing w:before="120" w:after="120" w:line="269" w:lineRule="auto"/>
        <w:rPr>
          <w:lang w:val="en-NZ" w:eastAsia="en-GB"/>
        </w:rPr>
      </w:pPr>
      <w:r w:rsidRPr="002F163A">
        <w:rPr>
          <w:lang w:val="en-NZ" w:eastAsia="en-GB"/>
        </w:rPr>
        <w:t xml:space="preserve">Nowhere in the framework are our children specified and that means they can be forgotten or only some of the age range may be considered. This is particularly important and relevant with infants and young children whose wellbeing and mental health needs get lost. We have poor data collection in this area </w:t>
      </w:r>
      <w:r w:rsidR="001E0B53">
        <w:rPr>
          <w:lang w:val="en-NZ" w:eastAsia="en-GB"/>
        </w:rPr>
        <w:t>…</w:t>
      </w:r>
      <w:r w:rsidR="000E5A16">
        <w:rPr>
          <w:lang w:val="en-NZ" w:eastAsia="en-GB"/>
        </w:rPr>
        <w:t xml:space="preserve"> </w:t>
      </w:r>
      <w:r w:rsidRPr="002F163A">
        <w:rPr>
          <w:lang w:val="en-NZ" w:eastAsia="en-GB"/>
        </w:rPr>
        <w:t>It is very likely that this contributes to the paucity of planning and implementation of Infant Mental Health (IMH) despite knowledge regarding significant mental health and wellbeing concerns for infants from studies further afield and that the concerns don’t go away.</w:t>
      </w:r>
      <w:r w:rsidR="000E5A16">
        <w:rPr>
          <w:lang w:val="en-NZ" w:eastAsia="en-GB"/>
        </w:rPr>
        <w:t xml:space="preserve"> </w:t>
      </w:r>
      <w:r w:rsidR="001E0B53">
        <w:rPr>
          <w:lang w:val="en-NZ" w:eastAsia="en-GB"/>
        </w:rPr>
        <w:t>[</w:t>
      </w:r>
      <w:r w:rsidR="00711190" w:rsidRPr="00711190">
        <w:rPr>
          <w:lang w:val="en-NZ" w:eastAsia="en-GB"/>
        </w:rPr>
        <w:t>Infant Mental Health Association Aotearoa New Zealand</w:t>
      </w:r>
      <w:r w:rsidR="001E0B53">
        <w:rPr>
          <w:lang w:val="en-NZ" w:eastAsia="en-GB"/>
        </w:rPr>
        <w:t>]</w:t>
      </w:r>
    </w:p>
    <w:p w14:paraId="6A095645" w14:textId="744E83AC" w:rsidR="004626D6" w:rsidRDefault="00B62A16" w:rsidP="007E043C">
      <w:pPr>
        <w:spacing w:after="120" w:line="269" w:lineRule="auto"/>
        <w:rPr>
          <w:lang w:val="en-NZ" w:eastAsia="en-GB"/>
        </w:rPr>
      </w:pPr>
      <w:r>
        <w:rPr>
          <w:rFonts w:cs="Arial"/>
          <w:bCs/>
        </w:rPr>
        <w:lastRenderedPageBreak/>
        <w:t xml:space="preserve">These respondents wanted </w:t>
      </w:r>
      <w:r w:rsidR="006E4084">
        <w:rPr>
          <w:lang w:val="en-NZ" w:eastAsia="en-GB"/>
        </w:rPr>
        <w:t>infants, c</w:t>
      </w:r>
      <w:r w:rsidR="004626D6" w:rsidRPr="004626D6">
        <w:rPr>
          <w:lang w:val="en-NZ" w:eastAsia="en-GB"/>
        </w:rPr>
        <w:t>hildren</w:t>
      </w:r>
      <w:r w:rsidR="004626D6">
        <w:rPr>
          <w:lang w:val="en-NZ" w:eastAsia="en-GB"/>
        </w:rPr>
        <w:t xml:space="preserve"> </w:t>
      </w:r>
      <w:r w:rsidR="004626D6" w:rsidRPr="004626D6">
        <w:rPr>
          <w:lang w:val="en-NZ" w:eastAsia="en-GB"/>
        </w:rPr>
        <w:t xml:space="preserve">and young people </w:t>
      </w:r>
      <w:r>
        <w:rPr>
          <w:lang w:val="en-NZ" w:eastAsia="en-GB"/>
        </w:rPr>
        <w:t>to</w:t>
      </w:r>
      <w:r w:rsidR="004626D6" w:rsidRPr="004626D6">
        <w:rPr>
          <w:lang w:val="en-NZ" w:eastAsia="en-GB"/>
        </w:rPr>
        <w:t xml:space="preserve"> be explicitly included in </w:t>
      </w:r>
      <w:r w:rsidR="004626D6">
        <w:rPr>
          <w:lang w:val="en-NZ" w:eastAsia="en-GB"/>
        </w:rPr>
        <w:t>the</w:t>
      </w:r>
      <w:r w:rsidR="004626D6" w:rsidRPr="004626D6">
        <w:rPr>
          <w:lang w:val="en-NZ" w:eastAsia="en-GB"/>
        </w:rPr>
        <w:t xml:space="preserve"> </w:t>
      </w:r>
      <w:r>
        <w:rPr>
          <w:lang w:val="en-NZ" w:eastAsia="en-GB"/>
        </w:rPr>
        <w:t xml:space="preserve">framework. For example, </w:t>
      </w:r>
      <w:r>
        <w:rPr>
          <w:rFonts w:cs="Arial"/>
          <w:bCs/>
        </w:rPr>
        <w:t>‘</w:t>
      </w:r>
      <w:r w:rsidRPr="00F10A15">
        <w:rPr>
          <w:rFonts w:cs="Arial"/>
          <w:bCs/>
        </w:rPr>
        <w:t xml:space="preserve">include the word </w:t>
      </w:r>
      <w:r>
        <w:rPr>
          <w:rFonts w:cs="Arial"/>
          <w:bCs/>
        </w:rPr>
        <w:t>p</w:t>
      </w:r>
      <w:r w:rsidRPr="00F10A15">
        <w:rPr>
          <w:rFonts w:cs="Arial"/>
          <w:bCs/>
        </w:rPr>
        <w:t>ēpē alongside tamariki and rangatahi</w:t>
      </w:r>
      <w:r>
        <w:rPr>
          <w:rFonts w:cs="Arial"/>
          <w:bCs/>
        </w:rPr>
        <w:t>’</w:t>
      </w:r>
      <w:r>
        <w:rPr>
          <w:rStyle w:val="FootnoteReference"/>
          <w:rFonts w:cs="Arial"/>
          <w:bCs/>
        </w:rPr>
        <w:footnoteReference w:id="32"/>
      </w:r>
      <w:r>
        <w:rPr>
          <w:rFonts w:cs="Arial"/>
          <w:bCs/>
        </w:rPr>
        <w:t xml:space="preserve"> and </w:t>
      </w:r>
      <w:r>
        <w:rPr>
          <w:lang w:val="en-NZ" w:eastAsia="en-GB"/>
        </w:rPr>
        <w:t>reword the</w:t>
      </w:r>
      <w:r w:rsidR="004626D6">
        <w:rPr>
          <w:lang w:val="en-NZ" w:eastAsia="en-GB"/>
        </w:rPr>
        <w:t xml:space="preserve"> term </w:t>
      </w:r>
      <w:r>
        <w:rPr>
          <w:lang w:val="en-NZ" w:eastAsia="en-GB"/>
        </w:rPr>
        <w:t>‘</w:t>
      </w:r>
      <w:r w:rsidRPr="004626D6">
        <w:rPr>
          <w:lang w:val="en-NZ" w:eastAsia="en-GB"/>
        </w:rPr>
        <w:t>people, families and communities</w:t>
      </w:r>
      <w:r>
        <w:rPr>
          <w:lang w:val="en-NZ" w:eastAsia="en-GB"/>
        </w:rPr>
        <w:t xml:space="preserve">’, which is </w:t>
      </w:r>
      <w:r w:rsidRPr="004626D6">
        <w:rPr>
          <w:lang w:val="en-NZ" w:eastAsia="en-GB"/>
        </w:rPr>
        <w:t xml:space="preserve">used throughout the </w:t>
      </w:r>
      <w:r>
        <w:rPr>
          <w:lang w:val="en-NZ" w:eastAsia="en-GB"/>
        </w:rPr>
        <w:t>f</w:t>
      </w:r>
      <w:r w:rsidRPr="004626D6">
        <w:rPr>
          <w:lang w:val="en-NZ" w:eastAsia="en-GB"/>
        </w:rPr>
        <w:t>ramework</w:t>
      </w:r>
      <w:r>
        <w:rPr>
          <w:lang w:val="en-NZ" w:eastAsia="en-GB"/>
        </w:rPr>
        <w:t xml:space="preserve"> to</w:t>
      </w:r>
      <w:r w:rsidR="004626D6">
        <w:rPr>
          <w:lang w:val="en-NZ" w:eastAsia="en-GB"/>
        </w:rPr>
        <w:t xml:space="preserve"> </w:t>
      </w:r>
      <w:r w:rsidR="007F75F3">
        <w:rPr>
          <w:lang w:val="en-NZ" w:eastAsia="en-GB"/>
        </w:rPr>
        <w:t>‘</w:t>
      </w:r>
      <w:r w:rsidR="004626D6" w:rsidRPr="004626D6">
        <w:rPr>
          <w:lang w:val="en-NZ" w:eastAsia="en-GB"/>
        </w:rPr>
        <w:t>children, young people and adults, and their families, whānau, iwi and communities</w:t>
      </w:r>
      <w:r w:rsidR="00223C9F">
        <w:rPr>
          <w:lang w:val="en-NZ" w:eastAsia="en-GB"/>
        </w:rPr>
        <w:t>.</w:t>
      </w:r>
      <w:r w:rsidR="007F75F3">
        <w:rPr>
          <w:lang w:val="en-NZ" w:eastAsia="en-GB"/>
        </w:rPr>
        <w:t>’</w:t>
      </w:r>
      <w:r w:rsidR="00711190">
        <w:rPr>
          <w:rStyle w:val="FootnoteReference"/>
          <w:lang w:val="en-NZ" w:eastAsia="en-GB"/>
        </w:rPr>
        <w:footnoteReference w:id="33"/>
      </w:r>
    </w:p>
    <w:p w14:paraId="4414FC8B" w14:textId="2FFA69A6" w:rsidR="000C570C" w:rsidRDefault="000767F1" w:rsidP="007E043C">
      <w:pPr>
        <w:spacing w:after="120" w:line="269" w:lineRule="auto"/>
        <w:rPr>
          <w:lang w:val="en-NZ" w:eastAsia="en-GB"/>
        </w:rPr>
      </w:pPr>
      <w:r>
        <w:rPr>
          <w:lang w:val="en-NZ" w:eastAsia="en-GB"/>
        </w:rPr>
        <w:t>The Office of the Children’s Commissioner</w:t>
      </w:r>
      <w:r w:rsidR="000C570C">
        <w:rPr>
          <w:lang w:val="en-NZ" w:eastAsia="en-GB"/>
        </w:rPr>
        <w:t xml:space="preserve"> suggested that </w:t>
      </w:r>
      <w:r w:rsidR="000C570C" w:rsidRPr="000C570C">
        <w:rPr>
          <w:lang w:val="en-NZ" w:eastAsia="en-GB"/>
        </w:rPr>
        <w:t xml:space="preserve">children and young people need to be prioritised </w:t>
      </w:r>
      <w:r w:rsidR="00711190">
        <w:rPr>
          <w:lang w:val="en-NZ" w:eastAsia="en-GB"/>
        </w:rPr>
        <w:t>in the framework</w:t>
      </w:r>
      <w:r w:rsidR="000C570C" w:rsidRPr="000C570C">
        <w:rPr>
          <w:lang w:val="en-NZ" w:eastAsia="en-GB"/>
        </w:rPr>
        <w:t xml:space="preserve"> </w:t>
      </w:r>
      <w:r>
        <w:rPr>
          <w:lang w:val="en-NZ" w:eastAsia="en-GB"/>
        </w:rPr>
        <w:t>because</w:t>
      </w:r>
      <w:r w:rsidR="000C570C" w:rsidRPr="000C570C">
        <w:rPr>
          <w:lang w:val="en-NZ" w:eastAsia="en-GB"/>
        </w:rPr>
        <w:t xml:space="preserve">: </w:t>
      </w:r>
    </w:p>
    <w:p w14:paraId="7BA7264A" w14:textId="77777777" w:rsidR="000767F1" w:rsidRDefault="000C570C" w:rsidP="007E043C">
      <w:pPr>
        <w:pStyle w:val="Quote"/>
        <w:spacing w:before="120" w:after="120" w:line="269" w:lineRule="auto"/>
        <w:rPr>
          <w:lang w:val="en-NZ" w:eastAsia="en-GB"/>
        </w:rPr>
      </w:pPr>
      <w:r>
        <w:rPr>
          <w:lang w:val="en-NZ" w:eastAsia="en-GB"/>
        </w:rPr>
        <w:t>C</w:t>
      </w:r>
      <w:r w:rsidRPr="000C570C">
        <w:rPr>
          <w:lang w:val="en-NZ" w:eastAsia="en-GB"/>
        </w:rPr>
        <w:t>hildren and young people are a priority group in</w:t>
      </w:r>
      <w:r>
        <w:rPr>
          <w:lang w:val="en-NZ" w:eastAsia="en-GB"/>
        </w:rPr>
        <w:t xml:space="preserve"> </w:t>
      </w:r>
      <w:r w:rsidRPr="000C570C">
        <w:rPr>
          <w:lang w:val="en-NZ" w:eastAsia="en-GB"/>
        </w:rPr>
        <w:t xml:space="preserve">the Mental Health and Wellbeing Commission Act 2020; </w:t>
      </w:r>
    </w:p>
    <w:p w14:paraId="095088FB" w14:textId="77777777" w:rsidR="000767F1" w:rsidRDefault="000767F1" w:rsidP="007E043C">
      <w:pPr>
        <w:pStyle w:val="Quote"/>
        <w:spacing w:before="120" w:after="120" w:line="269" w:lineRule="auto"/>
        <w:rPr>
          <w:lang w:val="en-NZ" w:eastAsia="en-GB"/>
        </w:rPr>
      </w:pPr>
      <w:r>
        <w:rPr>
          <w:lang w:val="en-NZ" w:eastAsia="en-GB"/>
        </w:rPr>
        <w:t>T</w:t>
      </w:r>
      <w:r w:rsidR="000C570C" w:rsidRPr="000C570C">
        <w:rPr>
          <w:lang w:val="en-NZ" w:eastAsia="en-GB"/>
        </w:rPr>
        <w:t>hey are experiencing high and</w:t>
      </w:r>
      <w:r w:rsidR="000C570C">
        <w:rPr>
          <w:lang w:val="en-NZ" w:eastAsia="en-GB"/>
        </w:rPr>
        <w:t xml:space="preserve"> </w:t>
      </w:r>
      <w:r w:rsidR="000C570C" w:rsidRPr="000C570C">
        <w:rPr>
          <w:lang w:val="en-NZ" w:eastAsia="en-GB"/>
        </w:rPr>
        <w:t xml:space="preserve">increasing levels of mental distress; </w:t>
      </w:r>
    </w:p>
    <w:p w14:paraId="73E61BB7" w14:textId="314ED8CD" w:rsidR="000767F1" w:rsidRDefault="000767F1" w:rsidP="007E043C">
      <w:pPr>
        <w:pStyle w:val="Quote"/>
        <w:spacing w:before="120" w:after="120" w:line="269" w:lineRule="auto"/>
        <w:rPr>
          <w:lang w:val="en-NZ" w:eastAsia="en-GB"/>
        </w:rPr>
      </w:pPr>
      <w:r>
        <w:rPr>
          <w:lang w:val="en-NZ" w:eastAsia="en-GB"/>
        </w:rPr>
        <w:t>I</w:t>
      </w:r>
      <w:r w:rsidR="000C570C" w:rsidRPr="000C570C">
        <w:rPr>
          <w:lang w:val="en-NZ" w:eastAsia="en-GB"/>
        </w:rPr>
        <w:t>nterventions in early childhood offer the greatest</w:t>
      </w:r>
      <w:r w:rsidR="000C570C">
        <w:rPr>
          <w:lang w:val="en-NZ" w:eastAsia="en-GB"/>
        </w:rPr>
        <w:t xml:space="preserve"> </w:t>
      </w:r>
      <w:r w:rsidR="000C570C" w:rsidRPr="000C570C">
        <w:rPr>
          <w:lang w:val="en-NZ" w:eastAsia="en-GB"/>
        </w:rPr>
        <w:t xml:space="preserve">potential to improve population wellbeing; and </w:t>
      </w:r>
    </w:p>
    <w:p w14:paraId="11E2F595" w14:textId="77777777" w:rsidR="000767F1" w:rsidRDefault="000767F1" w:rsidP="007E043C">
      <w:pPr>
        <w:pStyle w:val="Quote"/>
        <w:spacing w:before="120" w:after="120" w:line="269" w:lineRule="auto"/>
        <w:rPr>
          <w:lang w:val="en-NZ" w:eastAsia="en-GB"/>
        </w:rPr>
      </w:pPr>
      <w:r>
        <w:rPr>
          <w:lang w:val="en-NZ" w:eastAsia="en-GB"/>
        </w:rPr>
        <w:t>C</w:t>
      </w:r>
      <w:r w:rsidR="000C570C" w:rsidRPr="000C570C">
        <w:rPr>
          <w:lang w:val="en-NZ" w:eastAsia="en-GB"/>
        </w:rPr>
        <w:t>hildren and young people have unique rights</w:t>
      </w:r>
      <w:r w:rsidR="000C570C">
        <w:rPr>
          <w:lang w:val="en-NZ" w:eastAsia="en-GB"/>
        </w:rPr>
        <w:t xml:space="preserve"> </w:t>
      </w:r>
      <w:r w:rsidR="005A344B">
        <w:rPr>
          <w:lang w:val="en-NZ" w:eastAsia="en-GB"/>
        </w:rPr>
        <w:t xml:space="preserve">[under </w:t>
      </w:r>
      <w:proofErr w:type="spellStart"/>
      <w:r w:rsidR="005A344B">
        <w:rPr>
          <w:lang w:val="en-NZ" w:eastAsia="en-GB"/>
        </w:rPr>
        <w:t>UNCRoC</w:t>
      </w:r>
      <w:proofErr w:type="spellEnd"/>
      <w:r w:rsidR="005A344B">
        <w:rPr>
          <w:lang w:val="en-NZ" w:eastAsia="en-GB"/>
        </w:rPr>
        <w:t xml:space="preserve">] </w:t>
      </w:r>
      <w:r w:rsidR="000C570C" w:rsidRPr="000C570C">
        <w:rPr>
          <w:lang w:val="en-NZ" w:eastAsia="en-GB"/>
        </w:rPr>
        <w:t>and views about their own wellbeing that need to be heard.</w:t>
      </w:r>
      <w:r w:rsidR="000C570C">
        <w:rPr>
          <w:lang w:val="en-NZ" w:eastAsia="en-GB"/>
        </w:rPr>
        <w:t xml:space="preserve"> </w:t>
      </w:r>
    </w:p>
    <w:p w14:paraId="7593B266" w14:textId="046589D2" w:rsidR="00CE0BC8" w:rsidRDefault="00B2471E" w:rsidP="007E043C">
      <w:pPr>
        <w:pStyle w:val="Heading5"/>
        <w:spacing w:before="120" w:after="120" w:line="269" w:lineRule="auto"/>
      </w:pPr>
      <w:r>
        <w:t>Specificity for other</w:t>
      </w:r>
      <w:r w:rsidR="00CE0BC8">
        <w:t xml:space="preserve"> groups</w:t>
      </w:r>
    </w:p>
    <w:p w14:paraId="0C7153BF" w14:textId="229709DC" w:rsidR="00CE0BC8" w:rsidRDefault="00F11A95" w:rsidP="007E043C">
      <w:pPr>
        <w:spacing w:after="120" w:line="269" w:lineRule="auto"/>
        <w:rPr>
          <w:lang w:val="en-NZ" w:eastAsia="en-GB"/>
        </w:rPr>
      </w:pPr>
      <w:r>
        <w:rPr>
          <w:lang w:val="en-NZ" w:eastAsia="en-GB"/>
        </w:rPr>
        <w:t>S</w:t>
      </w:r>
      <w:r w:rsidR="00310D99">
        <w:rPr>
          <w:lang w:val="en-NZ" w:eastAsia="en-GB"/>
        </w:rPr>
        <w:t xml:space="preserve">everal </w:t>
      </w:r>
      <w:r>
        <w:rPr>
          <w:lang w:val="en-NZ" w:eastAsia="en-GB"/>
        </w:rPr>
        <w:t>respondents</w:t>
      </w:r>
      <w:r w:rsidR="00310D99">
        <w:rPr>
          <w:lang w:val="en-NZ" w:eastAsia="en-GB"/>
        </w:rPr>
        <w:t xml:space="preserve"> pointed to the need to include Asian communities.</w:t>
      </w:r>
      <w:r>
        <w:rPr>
          <w:lang w:val="en-NZ" w:eastAsia="en-GB"/>
        </w:rPr>
        <w:t xml:space="preserve"> This was centred on the size and expected growth of the Asian population in New Zealand, and the current lack of specific mental health strategies and policies for Asian people on a national level.</w:t>
      </w:r>
    </w:p>
    <w:p w14:paraId="1761F280" w14:textId="2038152F" w:rsidR="00F11A95" w:rsidRDefault="00F11A95" w:rsidP="007E043C">
      <w:pPr>
        <w:pStyle w:val="Quote"/>
        <w:spacing w:before="120" w:after="120" w:line="269" w:lineRule="auto"/>
        <w:rPr>
          <w:lang w:val="en-NZ" w:eastAsia="en-GB"/>
        </w:rPr>
      </w:pPr>
      <w:r w:rsidRPr="00F11A95">
        <w:rPr>
          <w:lang w:val="en-NZ" w:eastAsia="en-GB"/>
        </w:rPr>
        <w:t>We would also like to highlight that Asian peoples need to be identified as a priority group.</w:t>
      </w:r>
      <w:r w:rsidR="000E5A16">
        <w:rPr>
          <w:lang w:val="en-NZ" w:eastAsia="en-GB"/>
        </w:rPr>
        <w:t xml:space="preserve"> </w:t>
      </w:r>
      <w:r w:rsidRPr="00F11A95">
        <w:rPr>
          <w:lang w:val="en-NZ" w:eastAsia="en-GB"/>
        </w:rPr>
        <w:t>Statistics New Zealand projects that by 2023, Asian people will become the second largest</w:t>
      </w:r>
      <w:r w:rsidR="000E5A16">
        <w:rPr>
          <w:lang w:val="en-NZ" w:eastAsia="en-GB"/>
        </w:rPr>
        <w:t xml:space="preserve"> </w:t>
      </w:r>
      <w:r w:rsidRPr="00F11A95">
        <w:rPr>
          <w:lang w:val="en-NZ" w:eastAsia="en-GB"/>
        </w:rPr>
        <w:t>ethnic population group in New Zealand following Europeans. However, there are no mental</w:t>
      </w:r>
      <w:r w:rsidR="000E5A16">
        <w:rPr>
          <w:lang w:val="en-NZ" w:eastAsia="en-GB"/>
        </w:rPr>
        <w:t xml:space="preserve"> </w:t>
      </w:r>
      <w:r w:rsidRPr="00F11A95">
        <w:rPr>
          <w:lang w:val="en-NZ" w:eastAsia="en-GB"/>
        </w:rPr>
        <w:t>health strategies or policies in place for Asian peoples on a national level. This has led to little</w:t>
      </w:r>
      <w:r w:rsidR="000E5A16">
        <w:rPr>
          <w:lang w:val="en-NZ" w:eastAsia="en-GB"/>
        </w:rPr>
        <w:t xml:space="preserve"> </w:t>
      </w:r>
      <w:r w:rsidRPr="00F11A95">
        <w:rPr>
          <w:lang w:val="en-NZ" w:eastAsia="en-GB"/>
        </w:rPr>
        <w:t>funding and support to improve current services for Asians, which have maintained significant</w:t>
      </w:r>
      <w:r w:rsidR="000E5A16">
        <w:rPr>
          <w:lang w:val="en-NZ" w:eastAsia="en-GB"/>
        </w:rPr>
        <w:t xml:space="preserve"> </w:t>
      </w:r>
      <w:r w:rsidRPr="00F11A95">
        <w:rPr>
          <w:lang w:val="en-NZ" w:eastAsia="en-GB"/>
        </w:rPr>
        <w:t>service gaps and unmet needs within Asian communities. It is also important to clarify that the</w:t>
      </w:r>
      <w:r w:rsidR="000E5A16">
        <w:rPr>
          <w:lang w:val="en-NZ" w:eastAsia="en-GB"/>
        </w:rPr>
        <w:t xml:space="preserve"> </w:t>
      </w:r>
      <w:r w:rsidRPr="00F11A95">
        <w:rPr>
          <w:lang w:val="en-NZ" w:eastAsia="en-GB"/>
        </w:rPr>
        <w:t>under-utilisation of primary health and mental health services of Asian peoples does not mean</w:t>
      </w:r>
      <w:r w:rsidR="000E5A16">
        <w:rPr>
          <w:lang w:val="en-NZ" w:eastAsia="en-GB"/>
        </w:rPr>
        <w:t xml:space="preserve"> </w:t>
      </w:r>
      <w:r w:rsidRPr="00F11A95">
        <w:rPr>
          <w:lang w:val="en-NZ" w:eastAsia="en-GB"/>
        </w:rPr>
        <w:t>that Asians have better health than other ethnic groups. As a service provider for Asian peoples,</w:t>
      </w:r>
      <w:r w:rsidR="000E5A16">
        <w:rPr>
          <w:lang w:val="en-NZ" w:eastAsia="en-GB"/>
        </w:rPr>
        <w:t xml:space="preserve"> </w:t>
      </w:r>
      <w:r w:rsidRPr="00F11A95">
        <w:rPr>
          <w:lang w:val="en-NZ" w:eastAsia="en-GB"/>
        </w:rPr>
        <w:t>we can attest that this is certainly not the case.</w:t>
      </w:r>
      <w:r>
        <w:rPr>
          <w:lang w:val="en-NZ" w:eastAsia="en-GB"/>
        </w:rPr>
        <w:t xml:space="preserve"> [</w:t>
      </w:r>
      <w:r w:rsidR="00C01455">
        <w:rPr>
          <w:lang w:val="en-NZ" w:eastAsia="en-GB"/>
        </w:rPr>
        <w:t>Asian Family Services</w:t>
      </w:r>
      <w:r>
        <w:rPr>
          <w:lang w:val="en-NZ" w:eastAsia="en-GB"/>
        </w:rPr>
        <w:t>]</w:t>
      </w:r>
    </w:p>
    <w:p w14:paraId="790B6FA0" w14:textId="32D6A865" w:rsidR="00425F4A" w:rsidRPr="00A51CBB" w:rsidRDefault="00AD3F0F" w:rsidP="007E043C">
      <w:pPr>
        <w:spacing w:after="120" w:line="269" w:lineRule="auto"/>
        <w:rPr>
          <w:lang w:val="en-NZ" w:eastAsia="en-GB"/>
        </w:rPr>
      </w:pPr>
      <w:r w:rsidRPr="00A51CBB">
        <w:rPr>
          <w:lang w:val="en-NZ" w:eastAsia="en-GB"/>
        </w:rPr>
        <w:t>Prisoners</w:t>
      </w:r>
      <w:r w:rsidR="00D97845">
        <w:rPr>
          <w:lang w:val="en-NZ" w:eastAsia="en-GB"/>
        </w:rPr>
        <w:t xml:space="preserve"> – </w:t>
      </w:r>
      <w:r w:rsidR="00425F4A" w:rsidRPr="00A51CBB">
        <w:rPr>
          <w:lang w:val="en-NZ" w:eastAsia="en-GB"/>
        </w:rPr>
        <w:t>and their families</w:t>
      </w:r>
      <w:r w:rsidR="00D97845">
        <w:rPr>
          <w:lang w:val="en-NZ" w:eastAsia="en-GB"/>
        </w:rPr>
        <w:t xml:space="preserve"> – </w:t>
      </w:r>
      <w:r w:rsidR="00425F4A" w:rsidRPr="00A51CBB">
        <w:rPr>
          <w:lang w:val="en-NZ" w:eastAsia="en-GB"/>
        </w:rPr>
        <w:t xml:space="preserve">were </w:t>
      </w:r>
      <w:r w:rsidR="00787D4E">
        <w:rPr>
          <w:lang w:val="en-NZ" w:eastAsia="en-GB"/>
        </w:rPr>
        <w:t>also noted as</w:t>
      </w:r>
      <w:r w:rsidR="00425F4A" w:rsidRPr="00A51CBB">
        <w:rPr>
          <w:lang w:val="en-NZ" w:eastAsia="en-GB"/>
        </w:rPr>
        <w:t xml:space="preserve"> a particularly vulnerable group.</w:t>
      </w:r>
      <w:r w:rsidR="002236EF" w:rsidRPr="00A51CBB">
        <w:rPr>
          <w:lang w:val="en-NZ" w:eastAsia="en-GB"/>
        </w:rPr>
        <w:t xml:space="preserve"> </w:t>
      </w:r>
      <w:r w:rsidR="00425F4A" w:rsidRPr="00A51CBB">
        <w:rPr>
          <w:lang w:val="en-NZ" w:eastAsia="en-GB"/>
        </w:rPr>
        <w:t>Ara Poutama</w:t>
      </w:r>
      <w:r w:rsidR="00CA4C12" w:rsidRPr="00A51CBB">
        <w:rPr>
          <w:lang w:val="en-NZ" w:eastAsia="en-GB"/>
        </w:rPr>
        <w:t xml:space="preserve"> </w:t>
      </w:r>
      <w:r w:rsidR="00425F4A" w:rsidRPr="00A51CBB">
        <w:rPr>
          <w:lang w:val="en-NZ" w:eastAsia="en-GB"/>
        </w:rPr>
        <w:t>Department of Corrections noted that of the just</w:t>
      </w:r>
      <w:r w:rsidR="00825910" w:rsidRPr="00A51CBB">
        <w:rPr>
          <w:lang w:val="en-NZ" w:eastAsia="en-GB"/>
        </w:rPr>
        <w:t xml:space="preserve"> under 38,000 people in its care or management, over 52% identify as Māori</w:t>
      </w:r>
      <w:r w:rsidR="00425F4A" w:rsidRPr="00A51CBB">
        <w:rPr>
          <w:lang w:val="en-NZ" w:eastAsia="en-GB"/>
        </w:rPr>
        <w:t>, and</w:t>
      </w:r>
      <w:r w:rsidR="00825910" w:rsidRPr="00A51CBB">
        <w:rPr>
          <w:lang w:val="en-NZ" w:eastAsia="en-GB"/>
        </w:rPr>
        <w:t xml:space="preserve"> </w:t>
      </w:r>
      <w:r w:rsidR="00425F4A" w:rsidRPr="00A51CBB">
        <w:rPr>
          <w:lang w:val="en-NZ" w:eastAsia="en-GB"/>
        </w:rPr>
        <w:t>m</w:t>
      </w:r>
      <w:r w:rsidR="00825910" w:rsidRPr="00A51CBB">
        <w:rPr>
          <w:lang w:val="en-NZ" w:eastAsia="en-GB"/>
        </w:rPr>
        <w:t>any of these people, and their wh</w:t>
      </w:r>
      <w:r w:rsidR="00C003F9">
        <w:rPr>
          <w:lang w:val="en-NZ" w:eastAsia="en-GB"/>
        </w:rPr>
        <w:t>ā</w:t>
      </w:r>
      <w:r w:rsidR="00825910" w:rsidRPr="00A51CBB">
        <w:rPr>
          <w:lang w:val="en-NZ" w:eastAsia="en-GB"/>
        </w:rPr>
        <w:t xml:space="preserve">nau, live with mental distress, illness and/or addiction. </w:t>
      </w:r>
    </w:p>
    <w:p w14:paraId="2CE84AF8" w14:textId="15B83D09" w:rsidR="00825910" w:rsidRPr="00A51CBB" w:rsidRDefault="00825910" w:rsidP="007E043C">
      <w:pPr>
        <w:pStyle w:val="Quote"/>
        <w:spacing w:before="120" w:after="120" w:line="269" w:lineRule="auto"/>
        <w:rPr>
          <w:lang w:val="en-NZ" w:eastAsia="en-GB"/>
        </w:rPr>
      </w:pPr>
      <w:r w:rsidRPr="00A51CBB">
        <w:rPr>
          <w:lang w:val="en-NZ" w:eastAsia="en-GB"/>
        </w:rPr>
        <w:t xml:space="preserve">Given the Commission’s focus on vulnerable groups, we ask that the people in our care are given a clear line of sight in the mahi as they are more vulnerable to mental ill health than most other populations. </w:t>
      </w:r>
    </w:p>
    <w:p w14:paraId="01414858" w14:textId="443FE8AD" w:rsidR="00425F4A" w:rsidRDefault="00062C7E" w:rsidP="007E043C">
      <w:pPr>
        <w:spacing w:after="120" w:line="269" w:lineRule="auto"/>
        <w:rPr>
          <w:lang w:val="en-NZ" w:eastAsia="en-GB"/>
        </w:rPr>
      </w:pPr>
      <w:r w:rsidRPr="00245DE8">
        <w:rPr>
          <w:lang w:val="en-NZ" w:eastAsia="en-GB"/>
        </w:rPr>
        <w:t xml:space="preserve">Refugees were another group that </w:t>
      </w:r>
      <w:r w:rsidR="00CC4102" w:rsidRPr="00245DE8">
        <w:rPr>
          <w:lang w:val="en-NZ" w:eastAsia="en-GB"/>
        </w:rPr>
        <w:t>respondents</w:t>
      </w:r>
      <w:r w:rsidRPr="00245DE8">
        <w:rPr>
          <w:lang w:val="en-NZ" w:eastAsia="en-GB"/>
        </w:rPr>
        <w:t xml:space="preserve"> </w:t>
      </w:r>
      <w:r w:rsidR="00425F4A">
        <w:rPr>
          <w:lang w:val="en-NZ" w:eastAsia="en-GB"/>
        </w:rPr>
        <w:t>wanted to be more visible in the framework.</w:t>
      </w:r>
      <w:r w:rsidR="00245DE8">
        <w:rPr>
          <w:lang w:val="en-NZ" w:eastAsia="en-GB"/>
        </w:rPr>
        <w:t xml:space="preserve"> </w:t>
      </w:r>
    </w:p>
    <w:p w14:paraId="6934BF63" w14:textId="55F2A7CC" w:rsidR="00BF0952" w:rsidRPr="00062C7E" w:rsidRDefault="00BF0952" w:rsidP="007E043C">
      <w:pPr>
        <w:pStyle w:val="Quote"/>
        <w:spacing w:before="120" w:after="120" w:line="269" w:lineRule="auto"/>
        <w:rPr>
          <w:lang w:val="en-NZ" w:eastAsia="en-GB"/>
        </w:rPr>
      </w:pPr>
      <w:r>
        <w:rPr>
          <w:lang w:val="en-NZ" w:eastAsia="en-GB"/>
        </w:rPr>
        <w:t>Pr</w:t>
      </w:r>
      <w:r w:rsidRPr="009D01A9">
        <w:rPr>
          <w:lang w:val="en-NZ" w:eastAsia="en-GB"/>
        </w:rPr>
        <w:t xml:space="preserve">eviously refugee status peoples require more attention in respect to mental health and wellbeing, especially if they have experienced severe trauma, language barriers and have major cultural </w:t>
      </w:r>
      <w:r w:rsidRPr="00141257">
        <w:rPr>
          <w:lang w:val="en-NZ" w:eastAsia="en-GB"/>
        </w:rPr>
        <w:t xml:space="preserve">differences. [South Dunedin </w:t>
      </w:r>
      <w:r w:rsidR="00141257" w:rsidRPr="00141257">
        <w:rPr>
          <w:lang w:val="en-NZ" w:eastAsia="en-GB"/>
        </w:rPr>
        <w:t>S</w:t>
      </w:r>
      <w:r w:rsidRPr="00141257">
        <w:rPr>
          <w:lang w:val="en-NZ" w:eastAsia="en-GB"/>
        </w:rPr>
        <w:t>chool</w:t>
      </w:r>
      <w:r w:rsidR="00141257" w:rsidRPr="00141257">
        <w:rPr>
          <w:lang w:val="en-NZ" w:eastAsia="en-GB"/>
        </w:rPr>
        <w:t>s</w:t>
      </w:r>
      <w:r w:rsidRPr="00141257">
        <w:rPr>
          <w:lang w:val="en-NZ" w:eastAsia="en-GB"/>
        </w:rPr>
        <w:t xml:space="preserve"> Cluster]</w:t>
      </w:r>
    </w:p>
    <w:p w14:paraId="62CE0F0F" w14:textId="6CD0B969" w:rsidR="0087489C" w:rsidRDefault="00F963DB" w:rsidP="007E043C">
      <w:pPr>
        <w:spacing w:after="120" w:line="269" w:lineRule="auto"/>
        <w:rPr>
          <w:lang w:val="en-NZ" w:eastAsia="en-GB"/>
        </w:rPr>
      </w:pPr>
      <w:r>
        <w:rPr>
          <w:lang w:val="en-NZ" w:eastAsia="en-GB"/>
        </w:rPr>
        <w:lastRenderedPageBreak/>
        <w:t>T</w:t>
      </w:r>
      <w:r w:rsidR="0087489C">
        <w:rPr>
          <w:lang w:val="en-NZ" w:eastAsia="en-GB"/>
        </w:rPr>
        <w:t xml:space="preserve">he </w:t>
      </w:r>
      <w:r w:rsidR="00BF0952">
        <w:rPr>
          <w:lang w:val="en-NZ" w:eastAsia="en-GB"/>
        </w:rPr>
        <w:t>lack of mention</w:t>
      </w:r>
      <w:r w:rsidR="0087489C">
        <w:rPr>
          <w:lang w:val="en-NZ" w:eastAsia="en-GB"/>
        </w:rPr>
        <w:t xml:space="preserve"> of the workforce was noted</w:t>
      </w:r>
      <w:r w:rsidR="00BF0952">
        <w:rPr>
          <w:lang w:val="en-NZ" w:eastAsia="en-GB"/>
        </w:rPr>
        <w:t xml:space="preserve"> by several respondents</w:t>
      </w:r>
      <w:r w:rsidR="0087489C">
        <w:rPr>
          <w:lang w:val="en-NZ" w:eastAsia="en-GB"/>
        </w:rPr>
        <w:t>.</w:t>
      </w:r>
      <w:r w:rsidR="00BF0952">
        <w:rPr>
          <w:lang w:val="en-NZ" w:eastAsia="en-GB"/>
        </w:rPr>
        <w:t xml:space="preserve"> This was not only in relation to the wellbeing of the workforce but also because </w:t>
      </w:r>
      <w:r w:rsidR="00BF0952" w:rsidRPr="0087489C">
        <w:rPr>
          <w:lang w:val="en-NZ" w:eastAsia="en-GB"/>
        </w:rPr>
        <w:t>an adequately funded and resourced workforce is required to support and implement these strategies and policies</w:t>
      </w:r>
      <w:r>
        <w:rPr>
          <w:lang w:val="en-NZ" w:eastAsia="en-GB"/>
        </w:rPr>
        <w:t>.</w:t>
      </w:r>
    </w:p>
    <w:p w14:paraId="20C7176F" w14:textId="7E310408" w:rsidR="00C73ADD" w:rsidRDefault="00141257" w:rsidP="007E043C">
      <w:pPr>
        <w:spacing w:after="120" w:line="269" w:lineRule="auto"/>
        <w:rPr>
          <w:lang w:val="en-NZ"/>
        </w:rPr>
      </w:pPr>
      <w:r>
        <w:rPr>
          <w:lang w:val="en-NZ"/>
        </w:rPr>
        <w:t xml:space="preserve">It was suggested that a </w:t>
      </w:r>
      <w:r w:rsidR="00C73ADD">
        <w:rPr>
          <w:lang w:val="en-NZ"/>
        </w:rPr>
        <w:t xml:space="preserve">useful next step </w:t>
      </w:r>
      <w:r w:rsidR="00C73ADD" w:rsidRPr="003F18E3">
        <w:rPr>
          <w:lang w:val="en-NZ"/>
        </w:rPr>
        <w:t xml:space="preserve">in the development of the framework </w:t>
      </w:r>
      <w:r w:rsidR="00C73ADD">
        <w:rPr>
          <w:lang w:val="en-NZ"/>
        </w:rPr>
        <w:t>might be</w:t>
      </w:r>
      <w:r w:rsidR="00C73ADD" w:rsidRPr="003F18E3">
        <w:rPr>
          <w:lang w:val="en-NZ"/>
        </w:rPr>
        <w:t xml:space="preserve"> work</w:t>
      </w:r>
      <w:r w:rsidR="00C73ADD">
        <w:rPr>
          <w:lang w:val="en-NZ"/>
        </w:rPr>
        <w:t>ing</w:t>
      </w:r>
      <w:r w:rsidR="00C73ADD" w:rsidRPr="003F18E3">
        <w:rPr>
          <w:lang w:val="en-NZ"/>
        </w:rPr>
        <w:t xml:space="preserve"> alongside the identified priority groups to truly understand what these concepts and their descriptions looks like for these communities. </w:t>
      </w:r>
    </w:p>
    <w:p w14:paraId="50661AA3" w14:textId="26122AEB" w:rsidR="00FE3520" w:rsidRDefault="00C73ADD" w:rsidP="007E043C">
      <w:pPr>
        <w:pStyle w:val="Quote"/>
        <w:spacing w:before="120" w:after="120" w:line="269" w:lineRule="auto"/>
        <w:rPr>
          <w:lang w:val="en-NZ"/>
        </w:rPr>
      </w:pPr>
      <w:r w:rsidRPr="003F18E3">
        <w:rPr>
          <w:lang w:val="en-NZ"/>
        </w:rPr>
        <w:t>For example, while ‘having their rights and dignity upheld’ is an appropriate and</w:t>
      </w:r>
      <w:r>
        <w:rPr>
          <w:lang w:val="en-NZ"/>
        </w:rPr>
        <w:t xml:space="preserve"> </w:t>
      </w:r>
      <w:r w:rsidRPr="003F18E3">
        <w:rPr>
          <w:lang w:val="en-NZ"/>
        </w:rPr>
        <w:t>pragmatic concept, human rights is an individualist western concept and does not include the</w:t>
      </w:r>
      <w:r>
        <w:rPr>
          <w:lang w:val="en-NZ"/>
        </w:rPr>
        <w:t xml:space="preserve"> </w:t>
      </w:r>
      <w:r w:rsidRPr="003F18E3">
        <w:rPr>
          <w:lang w:val="en-NZ"/>
        </w:rPr>
        <w:t>collective nature of Pacific culture and thinking. Community consultation at this level, which could</w:t>
      </w:r>
      <w:r>
        <w:rPr>
          <w:lang w:val="en-NZ"/>
        </w:rPr>
        <w:t xml:space="preserve"> </w:t>
      </w:r>
      <w:r w:rsidRPr="003F18E3">
        <w:rPr>
          <w:lang w:val="en-NZ"/>
        </w:rPr>
        <w:t>helpfully follow a participant action research methodology, could help to ensure the vision for</w:t>
      </w:r>
      <w:r>
        <w:rPr>
          <w:lang w:val="en-NZ"/>
        </w:rPr>
        <w:t xml:space="preserve"> </w:t>
      </w:r>
      <w:r w:rsidRPr="003F18E3">
        <w:rPr>
          <w:lang w:val="en-NZ"/>
        </w:rPr>
        <w:t>mental health and wellbeing as set out in He Ara Oranga is accurately captured in the framework</w:t>
      </w:r>
      <w:r>
        <w:rPr>
          <w:lang w:val="en-NZ"/>
        </w:rPr>
        <w:t xml:space="preserve"> </w:t>
      </w:r>
      <w:r w:rsidRPr="003F18E3">
        <w:rPr>
          <w:lang w:val="en-NZ"/>
        </w:rPr>
        <w:t>(</w:t>
      </w:r>
      <w:r w:rsidR="005C5A8F">
        <w:rPr>
          <w:lang w:val="en-NZ"/>
        </w:rPr>
        <w:t xml:space="preserve">eg, </w:t>
      </w:r>
      <w:r w:rsidRPr="003F18E3">
        <w:rPr>
          <w:lang w:val="en-NZ"/>
        </w:rPr>
        <w:t xml:space="preserve">Chapter 3 especially </w:t>
      </w:r>
      <w:proofErr w:type="spellStart"/>
      <w:r w:rsidRPr="003F18E3">
        <w:rPr>
          <w:lang w:val="en-NZ"/>
        </w:rPr>
        <w:t>Whakawātea</w:t>
      </w:r>
      <w:proofErr w:type="spellEnd"/>
      <w:r w:rsidRPr="003F18E3">
        <w:rPr>
          <w:lang w:val="en-NZ"/>
        </w:rPr>
        <w:t xml:space="preserve"> te Ara (3.4) and </w:t>
      </w:r>
      <w:proofErr w:type="spellStart"/>
      <w:r w:rsidRPr="003F18E3">
        <w:rPr>
          <w:lang w:val="en-NZ"/>
        </w:rPr>
        <w:t>Vai</w:t>
      </w:r>
      <w:proofErr w:type="spellEnd"/>
      <w:r w:rsidRPr="003F18E3">
        <w:rPr>
          <w:lang w:val="en-NZ"/>
        </w:rPr>
        <w:t xml:space="preserve"> </w:t>
      </w:r>
      <w:proofErr w:type="spellStart"/>
      <w:r w:rsidRPr="003F18E3">
        <w:rPr>
          <w:lang w:val="en-NZ"/>
        </w:rPr>
        <w:t>Niu</w:t>
      </w:r>
      <w:proofErr w:type="spellEnd"/>
      <w:r w:rsidRPr="003F18E3">
        <w:rPr>
          <w:lang w:val="en-NZ"/>
        </w:rPr>
        <w:t xml:space="preserve"> (3.5)).</w:t>
      </w:r>
      <w:r>
        <w:rPr>
          <w:lang w:val="en-NZ"/>
        </w:rPr>
        <w:t xml:space="preserve"> </w:t>
      </w:r>
      <w:r w:rsidR="00584C59">
        <w:rPr>
          <w:lang w:val="en-NZ"/>
        </w:rPr>
        <w:t>[</w:t>
      </w:r>
      <w:r w:rsidR="00F963DB">
        <w:rPr>
          <w:lang w:val="en-NZ"/>
        </w:rPr>
        <w:t>Mental</w:t>
      </w:r>
      <w:r w:rsidR="00584C59">
        <w:rPr>
          <w:lang w:val="en-NZ"/>
        </w:rPr>
        <w:t xml:space="preserve"> Health Foundation]</w:t>
      </w:r>
    </w:p>
    <w:p w14:paraId="2593F045" w14:textId="6F093C95" w:rsidR="00217483" w:rsidRDefault="00217483" w:rsidP="007E043C">
      <w:pPr>
        <w:pStyle w:val="Heading4"/>
        <w:spacing w:before="120" w:after="120" w:line="269" w:lineRule="auto"/>
      </w:pPr>
      <w:r>
        <w:t>Implementation of the framework</w:t>
      </w:r>
    </w:p>
    <w:p w14:paraId="78646BC1" w14:textId="3CAFB546" w:rsidR="00F22242" w:rsidRDefault="0074031D" w:rsidP="007E043C">
      <w:pPr>
        <w:spacing w:after="120" w:line="269" w:lineRule="auto"/>
        <w:rPr>
          <w:lang w:val="en-NZ" w:eastAsia="en-GB"/>
        </w:rPr>
      </w:pPr>
      <w:r>
        <w:rPr>
          <w:lang w:val="en-NZ" w:eastAsia="en-GB"/>
        </w:rPr>
        <w:t>R</w:t>
      </w:r>
      <w:r w:rsidR="00113E0C">
        <w:rPr>
          <w:lang w:val="en-NZ" w:eastAsia="en-GB"/>
        </w:rPr>
        <w:t xml:space="preserve">espondents had questions about implementation of the framework. It was </w:t>
      </w:r>
      <w:r w:rsidR="008614A0">
        <w:rPr>
          <w:lang w:val="en-NZ" w:eastAsia="en-GB"/>
        </w:rPr>
        <w:t>difficult</w:t>
      </w:r>
      <w:r w:rsidR="00113E0C">
        <w:rPr>
          <w:lang w:val="en-NZ" w:eastAsia="en-GB"/>
        </w:rPr>
        <w:t xml:space="preserve"> for people to see how the framework would translate into </w:t>
      </w:r>
      <w:r w:rsidR="008614A0">
        <w:rPr>
          <w:lang w:val="en-NZ" w:eastAsia="en-GB"/>
        </w:rPr>
        <w:t>outcomes</w:t>
      </w:r>
      <w:r w:rsidR="00141257">
        <w:rPr>
          <w:lang w:val="en-NZ" w:eastAsia="en-GB"/>
        </w:rPr>
        <w:t>.</w:t>
      </w:r>
      <w:r w:rsidR="00C23F6E">
        <w:rPr>
          <w:lang w:val="en-NZ" w:eastAsia="en-GB"/>
        </w:rPr>
        <w:t xml:space="preserve"> </w:t>
      </w:r>
      <w:r w:rsidR="00141257">
        <w:rPr>
          <w:lang w:val="en-NZ" w:eastAsia="en-GB"/>
        </w:rPr>
        <w:t>F</w:t>
      </w:r>
      <w:r w:rsidR="00C23F6E">
        <w:rPr>
          <w:lang w:val="en-NZ" w:eastAsia="en-GB"/>
        </w:rPr>
        <w:t xml:space="preserve">or example, </w:t>
      </w:r>
      <w:r w:rsidR="00A23106">
        <w:rPr>
          <w:lang w:val="en-NZ" w:eastAsia="en-GB"/>
        </w:rPr>
        <w:t>‘</w:t>
      </w:r>
      <w:r w:rsidR="00F16690">
        <w:rPr>
          <w:lang w:val="en-NZ" w:eastAsia="en-GB"/>
        </w:rPr>
        <w:t>i</w:t>
      </w:r>
      <w:r w:rsidR="00F16690" w:rsidRPr="00F16690">
        <w:rPr>
          <w:lang w:val="en-NZ" w:eastAsia="en-GB"/>
        </w:rPr>
        <w:t>t feels too conceptual to be able to be implemented</w:t>
      </w:r>
      <w:r w:rsidR="00223C9F">
        <w:rPr>
          <w:lang w:val="en-NZ" w:eastAsia="en-GB"/>
        </w:rPr>
        <w:t>.</w:t>
      </w:r>
      <w:r w:rsidR="00F16690">
        <w:rPr>
          <w:lang w:val="en-NZ" w:eastAsia="en-GB"/>
        </w:rPr>
        <w:t>’</w:t>
      </w:r>
      <w:r w:rsidR="00141257">
        <w:rPr>
          <w:rStyle w:val="FootnoteReference"/>
          <w:lang w:val="en-NZ" w:eastAsia="en-GB"/>
        </w:rPr>
        <w:footnoteReference w:id="34"/>
      </w:r>
      <w:r w:rsidR="00141257">
        <w:rPr>
          <w:lang w:val="en-NZ" w:eastAsia="en-GB"/>
        </w:rPr>
        <w:t xml:space="preserve"> </w:t>
      </w:r>
      <w:r w:rsidR="00F34F10">
        <w:rPr>
          <w:lang w:val="en-NZ" w:eastAsia="en-GB"/>
        </w:rPr>
        <w:t>Respondents question</w:t>
      </w:r>
      <w:r w:rsidR="00936FCB">
        <w:rPr>
          <w:lang w:val="en-NZ" w:eastAsia="en-GB"/>
        </w:rPr>
        <w:t>ed</w:t>
      </w:r>
      <w:r w:rsidR="00F34F10">
        <w:rPr>
          <w:lang w:val="en-NZ" w:eastAsia="en-GB"/>
        </w:rPr>
        <w:t xml:space="preserve"> how it would be applied practically, and how </w:t>
      </w:r>
      <w:r w:rsidR="001C4A79">
        <w:rPr>
          <w:lang w:val="en-NZ" w:eastAsia="en-GB"/>
        </w:rPr>
        <w:t xml:space="preserve">health professionals </w:t>
      </w:r>
      <w:r w:rsidR="00F34F10">
        <w:rPr>
          <w:lang w:val="en-NZ" w:eastAsia="en-GB"/>
        </w:rPr>
        <w:t xml:space="preserve">and others </w:t>
      </w:r>
      <w:r w:rsidR="001C4A79">
        <w:rPr>
          <w:lang w:val="en-NZ" w:eastAsia="en-GB"/>
        </w:rPr>
        <w:t xml:space="preserve">would report on broad and subjective outcomes. </w:t>
      </w:r>
      <w:r w:rsidR="00811D24">
        <w:rPr>
          <w:lang w:val="en-NZ" w:eastAsia="en-GB"/>
        </w:rPr>
        <w:t>It was</w:t>
      </w:r>
      <w:r w:rsidR="00D30B6D">
        <w:rPr>
          <w:lang w:val="en-NZ" w:eastAsia="en-GB"/>
        </w:rPr>
        <w:t xml:space="preserve"> noted that </w:t>
      </w:r>
      <w:r w:rsidR="00811D24">
        <w:rPr>
          <w:lang w:val="en-NZ" w:eastAsia="en-GB"/>
        </w:rPr>
        <w:t>i</w:t>
      </w:r>
      <w:r w:rsidR="00D30B6D" w:rsidRPr="00D30B6D">
        <w:rPr>
          <w:lang w:val="en-NZ" w:eastAsia="en-GB"/>
        </w:rPr>
        <w:t xml:space="preserve">n the Child </w:t>
      </w:r>
      <w:r w:rsidR="00D30B6D">
        <w:rPr>
          <w:lang w:val="en-NZ" w:eastAsia="en-GB"/>
        </w:rPr>
        <w:t>and</w:t>
      </w:r>
      <w:r w:rsidR="00D30B6D" w:rsidRPr="00D30B6D">
        <w:rPr>
          <w:lang w:val="en-NZ" w:eastAsia="en-GB"/>
        </w:rPr>
        <w:t xml:space="preserve"> Youth </w:t>
      </w:r>
      <w:r w:rsidR="00811D24">
        <w:rPr>
          <w:lang w:val="en-NZ" w:eastAsia="en-GB"/>
        </w:rPr>
        <w:t>Wellbeing</w:t>
      </w:r>
      <w:r w:rsidR="00D30B6D" w:rsidRPr="00D30B6D">
        <w:rPr>
          <w:lang w:val="en-NZ" w:eastAsia="en-GB"/>
        </w:rPr>
        <w:t xml:space="preserve"> framework </w:t>
      </w:r>
      <w:r w:rsidR="00811D24">
        <w:rPr>
          <w:lang w:val="en-NZ" w:eastAsia="en-GB"/>
        </w:rPr>
        <w:t>‘</w:t>
      </w:r>
      <w:r w:rsidR="00D30B6D" w:rsidRPr="00D30B6D">
        <w:rPr>
          <w:lang w:val="en-NZ" w:eastAsia="en-GB"/>
        </w:rPr>
        <w:t>you could consider an issue and assign it to a domain</w:t>
      </w:r>
      <w:r w:rsidR="00811D24">
        <w:rPr>
          <w:lang w:val="en-NZ" w:eastAsia="en-GB"/>
        </w:rPr>
        <w:t>, but you</w:t>
      </w:r>
      <w:r w:rsidR="00D30B6D" w:rsidRPr="00D30B6D">
        <w:rPr>
          <w:lang w:val="en-NZ" w:eastAsia="en-GB"/>
        </w:rPr>
        <w:t xml:space="preserve"> cannot do that in this draft framework. This may make it harder to use.</w:t>
      </w:r>
      <w:r w:rsidR="00811D24">
        <w:rPr>
          <w:lang w:val="en-NZ" w:eastAsia="en-GB"/>
        </w:rPr>
        <w:t>’</w:t>
      </w:r>
      <w:r w:rsidR="00936FCB">
        <w:rPr>
          <w:rStyle w:val="FootnoteReference"/>
          <w:lang w:val="en-NZ" w:eastAsia="en-GB"/>
        </w:rPr>
        <w:footnoteReference w:id="35"/>
      </w:r>
    </w:p>
    <w:p w14:paraId="13397086" w14:textId="38DBCEB0" w:rsidR="00BF583B" w:rsidRDefault="00BF583B" w:rsidP="007E043C">
      <w:pPr>
        <w:spacing w:after="120" w:line="269" w:lineRule="auto"/>
      </w:pPr>
      <w:r>
        <w:t xml:space="preserve">While acknowledging that the next phase in the development of the framework </w:t>
      </w:r>
      <w:r w:rsidR="0074031D">
        <w:t>is</w:t>
      </w:r>
      <w:r>
        <w:t xml:space="preserve"> to design indicators and measures, respondents wanted a clearer link between the concepts in the outcomes framework and the possible outcomes.</w:t>
      </w:r>
    </w:p>
    <w:p w14:paraId="20B272E5" w14:textId="50F4259B" w:rsidR="00BF583B" w:rsidRPr="00BF583B" w:rsidRDefault="00BF583B" w:rsidP="007E043C">
      <w:pPr>
        <w:pStyle w:val="Quote"/>
        <w:spacing w:before="120" w:after="120" w:line="269" w:lineRule="auto"/>
      </w:pPr>
      <w:r w:rsidRPr="00FE1034">
        <w:t>The Commission must be able to demonstrate that their work is contributing to improved mental wellbeing outcomes and have in place methodology to evaluate progress. This information is needed to support the Commission’s ongoing work and survival as without this data; it may be challenging to demonstrate return on investment and effectiveness.</w:t>
      </w:r>
      <w:r>
        <w:t xml:space="preserve"> [</w:t>
      </w:r>
      <w:r w:rsidRPr="00FE1034">
        <w:t>The Royal Australian and New Zealand College of Psychiatrists</w:t>
      </w:r>
      <w:r>
        <w:t>]</w:t>
      </w:r>
    </w:p>
    <w:p w14:paraId="78EE897D" w14:textId="77777777" w:rsidR="00BF583B" w:rsidRDefault="00BF583B" w:rsidP="007E043C">
      <w:pPr>
        <w:pStyle w:val="Quote"/>
        <w:spacing w:before="120" w:after="120" w:line="269" w:lineRule="auto"/>
      </w:pPr>
      <w:r>
        <w:t>T</w:t>
      </w:r>
      <w:r w:rsidRPr="00D91ADC">
        <w:t>he real test of these areas is whether they will make change</w:t>
      </w:r>
      <w:r>
        <w:t>… I</w:t>
      </w:r>
      <w:r w:rsidRPr="00D91ADC">
        <w:t>t might be useful to get an indication of what changes are envisaged, how (what mechanisms), and within what timelines</w:t>
      </w:r>
      <w:r w:rsidRPr="003208F3">
        <w:t xml:space="preserve">. [Organisation – </w:t>
      </w:r>
      <w:r>
        <w:t>did not consent to quotes being attributed]</w:t>
      </w:r>
    </w:p>
    <w:p w14:paraId="71F436C9" w14:textId="639502E3" w:rsidR="00217483" w:rsidRDefault="008E2BA4" w:rsidP="007E043C">
      <w:pPr>
        <w:spacing w:after="120" w:line="269" w:lineRule="auto"/>
        <w:rPr>
          <w:lang w:val="en-NZ" w:eastAsia="en-GB"/>
        </w:rPr>
      </w:pPr>
      <w:r>
        <w:rPr>
          <w:lang w:val="en-NZ" w:eastAsia="en-GB"/>
        </w:rPr>
        <w:t>One respondent suggested more</w:t>
      </w:r>
      <w:r w:rsidR="00F22242">
        <w:rPr>
          <w:lang w:val="en-NZ" w:eastAsia="en-GB"/>
        </w:rPr>
        <w:t xml:space="preserve"> concrete</w:t>
      </w:r>
      <w:r w:rsidR="0088555A">
        <w:rPr>
          <w:lang w:val="en-NZ" w:eastAsia="en-GB"/>
        </w:rPr>
        <w:t xml:space="preserve"> outcomes </w:t>
      </w:r>
      <w:r>
        <w:rPr>
          <w:lang w:val="en-NZ" w:eastAsia="en-GB"/>
        </w:rPr>
        <w:t>could include</w:t>
      </w:r>
      <w:r w:rsidRPr="008E2BA4">
        <w:rPr>
          <w:lang w:val="en-NZ" w:eastAsia="en-GB"/>
        </w:rPr>
        <w:t xml:space="preserve"> </w:t>
      </w:r>
      <w:r w:rsidRPr="0088555A">
        <w:rPr>
          <w:lang w:val="en-NZ" w:eastAsia="en-GB"/>
        </w:rPr>
        <w:t>greater support for improved emotional intelligence skills</w:t>
      </w:r>
      <w:r>
        <w:rPr>
          <w:lang w:val="en-NZ" w:eastAsia="en-GB"/>
        </w:rPr>
        <w:t>, b</w:t>
      </w:r>
      <w:r w:rsidRPr="0088555A">
        <w:rPr>
          <w:lang w:val="en-NZ" w:eastAsia="en-GB"/>
        </w:rPr>
        <w:t>etter support for employers to respond to mental health issues in their workforce</w:t>
      </w:r>
      <w:r>
        <w:rPr>
          <w:lang w:val="en-NZ" w:eastAsia="en-GB"/>
        </w:rPr>
        <w:t>,</w:t>
      </w:r>
      <w:r w:rsidRPr="0088555A">
        <w:rPr>
          <w:lang w:val="en-NZ" w:eastAsia="en-GB"/>
        </w:rPr>
        <w:t xml:space="preserve"> </w:t>
      </w:r>
      <w:r>
        <w:rPr>
          <w:lang w:val="en-NZ" w:eastAsia="en-GB"/>
        </w:rPr>
        <w:t>imp</w:t>
      </w:r>
      <w:r w:rsidRPr="0088555A">
        <w:rPr>
          <w:lang w:val="en-NZ" w:eastAsia="en-GB"/>
        </w:rPr>
        <w:t>roved recovery services</w:t>
      </w:r>
      <w:r>
        <w:rPr>
          <w:lang w:val="en-NZ" w:eastAsia="en-GB"/>
        </w:rPr>
        <w:t>, and</w:t>
      </w:r>
      <w:r w:rsidRPr="0088555A">
        <w:rPr>
          <w:lang w:val="en-NZ" w:eastAsia="en-GB"/>
        </w:rPr>
        <w:t xml:space="preserve"> </w:t>
      </w:r>
      <w:r>
        <w:rPr>
          <w:lang w:val="en-NZ" w:eastAsia="en-GB"/>
        </w:rPr>
        <w:t>h</w:t>
      </w:r>
      <w:r w:rsidRPr="0088555A">
        <w:rPr>
          <w:lang w:val="en-NZ" w:eastAsia="en-GB"/>
        </w:rPr>
        <w:t>aving a more fully-skilled health care work force</w:t>
      </w:r>
      <w:r w:rsidR="0088555A" w:rsidRPr="008E2BA4">
        <w:rPr>
          <w:lang w:val="en-NZ" w:eastAsia="en-GB"/>
        </w:rPr>
        <w:t>.</w:t>
      </w:r>
      <w:r w:rsidR="009F3716">
        <w:rPr>
          <w:lang w:val="en-NZ" w:eastAsia="en-GB"/>
        </w:rPr>
        <w:t xml:space="preserve"> </w:t>
      </w:r>
      <w:r w:rsidR="00DD5B85">
        <w:rPr>
          <w:lang w:val="en-NZ" w:eastAsia="en-GB"/>
        </w:rPr>
        <w:t xml:space="preserve">Indicating the </w:t>
      </w:r>
      <w:r w:rsidR="009D0DF2">
        <w:rPr>
          <w:lang w:val="en-NZ" w:eastAsia="en-GB"/>
        </w:rPr>
        <w:t xml:space="preserve">(evidence-based) </w:t>
      </w:r>
      <w:r w:rsidR="00DD5B85">
        <w:rPr>
          <w:lang w:val="en-NZ" w:eastAsia="en-GB"/>
        </w:rPr>
        <w:t xml:space="preserve">key drivers </w:t>
      </w:r>
      <w:r w:rsidR="00771B2B">
        <w:rPr>
          <w:lang w:val="en-NZ" w:eastAsia="en-GB"/>
        </w:rPr>
        <w:t xml:space="preserve">that most improve wellbeing </w:t>
      </w:r>
      <w:r w:rsidR="00DD5B85">
        <w:rPr>
          <w:lang w:val="en-NZ" w:eastAsia="en-GB"/>
        </w:rPr>
        <w:t>would be useful</w:t>
      </w:r>
      <w:r w:rsidR="00771B2B">
        <w:rPr>
          <w:lang w:val="en-NZ" w:eastAsia="en-GB"/>
        </w:rPr>
        <w:t xml:space="preserve">. </w:t>
      </w:r>
    </w:p>
    <w:p w14:paraId="394702FE" w14:textId="537C50D9" w:rsidR="00113E0C" w:rsidRPr="00217483" w:rsidRDefault="00771B2B" w:rsidP="007E043C">
      <w:pPr>
        <w:pStyle w:val="Quote"/>
        <w:spacing w:before="120" w:after="120" w:line="269" w:lineRule="auto"/>
        <w:rPr>
          <w:lang w:val="en-NZ" w:eastAsia="en-GB"/>
        </w:rPr>
      </w:pPr>
      <w:r w:rsidRPr="00771B2B">
        <w:rPr>
          <w:lang w:val="en-NZ" w:eastAsia="en-GB"/>
        </w:rPr>
        <w:t xml:space="preserve">For the future Mental Health and Wellbeing Commission to make a real difference, it will need to focus more resources on those areas that materially drive subjective wellbeing. Without a clear understanding of what makes significant difference, future Mental Health and Wellbeing Commission work runs the risk that equal activity is done in each area, but there is not much progress lifting the average </w:t>
      </w:r>
      <w:r w:rsidRPr="00771B2B">
        <w:rPr>
          <w:lang w:val="en-NZ" w:eastAsia="en-GB"/>
        </w:rPr>
        <w:lastRenderedPageBreak/>
        <w:t>subjective wellbeing of all New Zealanders.</w:t>
      </w:r>
      <w:r w:rsidR="00A23106" w:rsidRPr="00A23106">
        <w:rPr>
          <w:lang w:val="en-NZ" w:eastAsia="en-GB"/>
        </w:rPr>
        <w:t xml:space="preserve"> </w:t>
      </w:r>
      <w:r w:rsidR="00A23106">
        <w:rPr>
          <w:lang w:val="en-NZ" w:eastAsia="en-GB"/>
        </w:rPr>
        <w:t>[</w:t>
      </w:r>
      <w:r w:rsidR="00961774">
        <w:rPr>
          <w:lang w:val="en-NZ" w:eastAsia="en-GB"/>
        </w:rPr>
        <w:t>Loneliness New Zealand Charitable Trust</w:t>
      </w:r>
      <w:r w:rsidR="00A23106">
        <w:rPr>
          <w:lang w:val="en-NZ" w:eastAsia="en-GB"/>
        </w:rPr>
        <w:t>]</w:t>
      </w:r>
    </w:p>
    <w:p w14:paraId="20F43404" w14:textId="77777777" w:rsidR="001E07EA" w:rsidRDefault="001E07EA" w:rsidP="007E043C">
      <w:pPr>
        <w:pStyle w:val="Quote"/>
        <w:spacing w:before="120" w:after="120" w:line="269" w:lineRule="auto"/>
      </w:pPr>
      <w:r w:rsidRPr="00B33A1E">
        <w:t>I hope that the framework will be attached to a plan which has a realistic chance of meeting the outcomes.</w:t>
      </w:r>
      <w:r>
        <w:t xml:space="preserve"> </w:t>
      </w:r>
      <w:r w:rsidRPr="00B33A1E">
        <w:t>This will require wide ranging investment if we are to overcome the childhood adverse experiences which contribute so greatly to mental health problems and addiction.</w:t>
      </w:r>
      <w:r>
        <w:t xml:space="preserve"> [</w:t>
      </w:r>
      <w:r w:rsidRPr="00B33A1E">
        <w:t>Auckland Sexual Abuse HELP Foundation</w:t>
      </w:r>
      <w:r>
        <w:t>]</w:t>
      </w:r>
    </w:p>
    <w:p w14:paraId="363AA214" w14:textId="5FB54429" w:rsidR="00F74D2F" w:rsidRDefault="00A42E42" w:rsidP="007E043C">
      <w:pPr>
        <w:spacing w:after="120" w:line="269" w:lineRule="auto"/>
      </w:pPr>
      <w:r>
        <w:t>It was s</w:t>
      </w:r>
      <w:r w:rsidR="00F74D2F">
        <w:t xml:space="preserve">uggested that the </w:t>
      </w:r>
      <w:r>
        <w:t>f</w:t>
      </w:r>
      <w:r w:rsidR="00F74D2F">
        <w:t>ramework would be ‘clearer and easier to measure if the individual level</w:t>
      </w:r>
      <w:r w:rsidR="008E710B">
        <w:t xml:space="preserve"> </w:t>
      </w:r>
      <w:r w:rsidR="00F74D2F">
        <w:t>factors were separated from the structural and systemic factors.’</w:t>
      </w:r>
      <w:r w:rsidR="00936FCB">
        <w:rPr>
          <w:rStyle w:val="FootnoteReference"/>
        </w:rPr>
        <w:footnoteReference w:id="36"/>
      </w:r>
    </w:p>
    <w:p w14:paraId="1144109C" w14:textId="41538359" w:rsidR="001E07EA" w:rsidRDefault="00580A16" w:rsidP="007E043C">
      <w:pPr>
        <w:spacing w:after="120" w:line="269" w:lineRule="auto"/>
      </w:pPr>
      <w:r>
        <w:t>Several respondents noted that significant change in the health and disability sector would be required if the intent of the framework was to be realised, including significant cross-sectorial collaboration.</w:t>
      </w:r>
      <w:r w:rsidR="00123111">
        <w:t xml:space="preserve"> </w:t>
      </w:r>
      <w:r w:rsidR="001E07EA">
        <w:t>The massive investment required to reach these outcomes was noted. Some wondered how the Commission would get buy-in, and how this would be sustained through successive governments.</w:t>
      </w:r>
    </w:p>
    <w:p w14:paraId="7B3DEFAF" w14:textId="41CB6CCF" w:rsidR="001E07EA" w:rsidRDefault="0074031D" w:rsidP="007E043C">
      <w:pPr>
        <w:spacing w:after="120" w:line="269" w:lineRule="auto"/>
      </w:pPr>
      <w:r>
        <w:t>Given the</w:t>
      </w:r>
      <w:r w:rsidR="001E07EA">
        <w:t xml:space="preserve"> size of the task ahead</w:t>
      </w:r>
      <w:r>
        <w:t xml:space="preserve">, </w:t>
      </w:r>
      <w:r w:rsidR="001E07EA">
        <w:t xml:space="preserve">one respondent </w:t>
      </w:r>
      <w:r>
        <w:t>remarked</w:t>
      </w:r>
      <w:r w:rsidR="001E07EA">
        <w:t xml:space="preserve"> </w:t>
      </w:r>
      <w:r w:rsidR="007F75F3">
        <w:t>‘</w:t>
      </w:r>
      <w:r w:rsidR="001E07EA" w:rsidRPr="009E0C5D">
        <w:t>Please keep it as simple and do-able as possible.</w:t>
      </w:r>
      <w:r w:rsidR="001E07EA">
        <w:t xml:space="preserve"> </w:t>
      </w:r>
      <w:r w:rsidR="001E07EA" w:rsidRPr="009E0C5D">
        <w:t>I do understand you want to meet everyone’s aspirations as much as possible, but they are infinite.</w:t>
      </w:r>
      <w:r w:rsidR="001E07EA">
        <w:t xml:space="preserve"> </w:t>
      </w:r>
      <w:r w:rsidR="001E07EA" w:rsidRPr="009E0C5D">
        <w:t xml:space="preserve">Just helping everyone be well enough to do the ordinary things of life and feel they belong would be </w:t>
      </w:r>
      <w:r w:rsidR="001E07EA">
        <w:t>marvelous.</w:t>
      </w:r>
      <w:r w:rsidR="007F75F3">
        <w:t>’</w:t>
      </w:r>
      <w:r w:rsidR="001E07EA">
        <w:rPr>
          <w:rStyle w:val="FootnoteReference"/>
        </w:rPr>
        <w:footnoteReference w:id="37"/>
      </w:r>
      <w:r w:rsidR="001E07EA">
        <w:t xml:space="preserve"> </w:t>
      </w:r>
    </w:p>
    <w:p w14:paraId="12210390" w14:textId="77777777" w:rsidR="001E07EA" w:rsidRDefault="001E07EA" w:rsidP="007E043C">
      <w:pPr>
        <w:spacing w:after="120" w:line="269" w:lineRule="auto"/>
      </w:pPr>
      <w:r>
        <w:t>Respondents commented on the lack of data making it difficult to set national benchmarks and institute accountability. It was also noted that that the measurement could be very intrusive into people’s lives.</w:t>
      </w:r>
    </w:p>
    <w:p w14:paraId="17926FE0" w14:textId="364C547B" w:rsidR="001E07EA" w:rsidRPr="00517079" w:rsidRDefault="001E07EA" w:rsidP="007E043C">
      <w:pPr>
        <w:spacing w:after="120" w:line="269" w:lineRule="auto"/>
      </w:pPr>
      <w:r>
        <w:t xml:space="preserve">One respondent pointed to </w:t>
      </w:r>
      <w:r w:rsidRPr="00B15F56">
        <w:t xml:space="preserve">implementation and monitoring </w:t>
      </w:r>
      <w:r>
        <w:t>being</w:t>
      </w:r>
      <w:r w:rsidRPr="00B15F56">
        <w:t xml:space="preserve"> equally conducted by Māori </w:t>
      </w:r>
      <w:r w:rsidR="007F75F3">
        <w:t>‘</w:t>
      </w:r>
      <w:r w:rsidRPr="00B15F56">
        <w:t>to truly reflect the overarching princip</w:t>
      </w:r>
      <w:r w:rsidR="005C362C">
        <w:t>le</w:t>
      </w:r>
      <w:r w:rsidRPr="00B15F56">
        <w:t>s and concepts from our culture and ensure they do not lose their mana and meaning</w:t>
      </w:r>
      <w:r w:rsidR="00223C9F">
        <w:t>.</w:t>
      </w:r>
      <w:r w:rsidR="007F75F3">
        <w:t>’</w:t>
      </w:r>
      <w:r>
        <w:rPr>
          <w:rStyle w:val="FootnoteReference"/>
        </w:rPr>
        <w:footnoteReference w:id="38"/>
      </w:r>
    </w:p>
    <w:p w14:paraId="70AC7881" w14:textId="277A8491" w:rsidR="00712808" w:rsidRDefault="001A0534" w:rsidP="007E043C">
      <w:pPr>
        <w:spacing w:after="120" w:line="269" w:lineRule="auto"/>
      </w:pPr>
      <w:r>
        <w:t xml:space="preserve">People </w:t>
      </w:r>
      <w:r w:rsidR="009C572D">
        <w:t xml:space="preserve">also </w:t>
      </w:r>
      <w:r>
        <w:t>questioned how this framework would work with others</w:t>
      </w:r>
      <w:r w:rsidR="009C572D">
        <w:t xml:space="preserve">, for example, the </w:t>
      </w:r>
      <w:r w:rsidR="0048770A">
        <w:t>C</w:t>
      </w:r>
      <w:r w:rsidR="009C572D">
        <w:t>hild and Youth Wellbeing Outcomes Framework</w:t>
      </w:r>
      <w:r w:rsidR="00712808">
        <w:t xml:space="preserve">. </w:t>
      </w:r>
    </w:p>
    <w:p w14:paraId="53F5E540" w14:textId="77777777" w:rsidR="00BF583B" w:rsidRDefault="00BF583B" w:rsidP="007E043C">
      <w:pPr>
        <w:spacing w:after="120" w:line="269" w:lineRule="auto"/>
        <w:rPr>
          <w:rFonts w:eastAsiaTheme="majorEastAsia" w:cs="Arial"/>
          <w:b/>
          <w:sz w:val="28"/>
          <w:szCs w:val="26"/>
        </w:rPr>
      </w:pPr>
      <w:r>
        <w:br w:type="page"/>
      </w:r>
    </w:p>
    <w:p w14:paraId="4DB3A14B" w14:textId="3859CE45" w:rsidR="008227DF" w:rsidRDefault="00654D22" w:rsidP="00C669B1">
      <w:pPr>
        <w:pStyle w:val="Heading2"/>
      </w:pPr>
      <w:bookmarkStart w:id="38" w:name="_Toc56063536"/>
      <w:r>
        <w:lastRenderedPageBreak/>
        <w:t xml:space="preserve">The descriptors </w:t>
      </w:r>
      <w:r w:rsidRPr="00654D22">
        <w:sym w:font="Symbol" w:char="F02D"/>
      </w:r>
      <w:r>
        <w:t xml:space="preserve"> concepts </w:t>
      </w:r>
      <w:r w:rsidR="00007D86">
        <w:t xml:space="preserve">that are missing or need </w:t>
      </w:r>
      <w:r w:rsidR="00190A79">
        <w:t>greater prominence</w:t>
      </w:r>
      <w:bookmarkEnd w:id="38"/>
    </w:p>
    <w:tbl>
      <w:tblPr>
        <w:tblStyle w:val="TableGrid"/>
        <w:tblW w:w="0" w:type="auto"/>
        <w:tblInd w:w="0" w:type="dxa"/>
        <w:shd w:val="clear" w:color="auto" w:fill="F2F2F2" w:themeFill="background1" w:themeFillShade="F2"/>
        <w:tblLook w:val="04A0" w:firstRow="1" w:lastRow="0" w:firstColumn="1" w:lastColumn="0" w:noHBand="0" w:noVBand="1"/>
      </w:tblPr>
      <w:tblGrid>
        <w:gridCol w:w="9016"/>
      </w:tblGrid>
      <w:tr w:rsidR="002B099F" w:rsidRPr="0095404F" w14:paraId="48A62E9B" w14:textId="77777777" w:rsidTr="008D477D">
        <w:tc>
          <w:tcPr>
            <w:tcW w:w="9016" w:type="dxa"/>
            <w:tcBorders>
              <w:top w:val="nil"/>
              <w:left w:val="nil"/>
              <w:bottom w:val="nil"/>
              <w:right w:val="nil"/>
            </w:tcBorders>
            <w:shd w:val="clear" w:color="auto" w:fill="F2F2F2" w:themeFill="background1" w:themeFillShade="F2"/>
          </w:tcPr>
          <w:p w14:paraId="7672A155" w14:textId="49170623" w:rsidR="00AB4448" w:rsidRDefault="008227DF" w:rsidP="007E043C">
            <w:pPr>
              <w:pStyle w:val="Questionstyle"/>
              <w:spacing w:line="269" w:lineRule="auto"/>
            </w:pPr>
            <w:r w:rsidRPr="008227DF">
              <w:t xml:space="preserve">We have identified six interconnected areas of wellbeing: </w:t>
            </w:r>
          </w:p>
          <w:tbl>
            <w:tblPr>
              <w:tblStyle w:val="TableGrid"/>
              <w:tblW w:w="0" w:type="auto"/>
              <w:tblInd w:w="181" w:type="dxa"/>
              <w:tblBorders>
                <w:top w:val="dotted" w:sz="2" w:space="0" w:color="808080" w:themeColor="background1" w:themeShade="80"/>
                <w:left w:val="dotted" w:sz="2" w:space="0" w:color="808080" w:themeColor="background1" w:themeShade="80"/>
                <w:bottom w:val="dotted" w:sz="2" w:space="0" w:color="808080" w:themeColor="background1" w:themeShade="80"/>
                <w:right w:val="dotted" w:sz="2" w:space="0" w:color="808080" w:themeColor="background1" w:themeShade="80"/>
                <w:insideH w:val="dotted" w:sz="2" w:space="0" w:color="808080" w:themeColor="background1" w:themeShade="80"/>
                <w:insideV w:val="dotted" w:sz="2" w:space="0" w:color="808080" w:themeColor="background1" w:themeShade="80"/>
              </w:tblBorders>
              <w:tblLook w:val="04A0" w:firstRow="1" w:lastRow="0" w:firstColumn="1" w:lastColumn="0" w:noHBand="0" w:noVBand="1"/>
            </w:tblPr>
            <w:tblGrid>
              <w:gridCol w:w="4305"/>
              <w:gridCol w:w="4304"/>
            </w:tblGrid>
            <w:tr w:rsidR="006E6B61" w14:paraId="2576202A" w14:textId="77777777" w:rsidTr="006E6B61">
              <w:tc>
                <w:tcPr>
                  <w:tcW w:w="4305" w:type="dxa"/>
                </w:tcPr>
                <w:p w14:paraId="7B482906" w14:textId="3422843A" w:rsidR="006E6B61" w:rsidRPr="006E6B61" w:rsidRDefault="006E6B61" w:rsidP="007E043C">
                  <w:pPr>
                    <w:pStyle w:val="Questionstyle"/>
                    <w:spacing w:line="269" w:lineRule="auto"/>
                    <w:ind w:left="0"/>
                    <w:rPr>
                      <w:b/>
                    </w:rPr>
                  </w:pPr>
                  <w:r w:rsidRPr="006E6B61">
                    <w:rPr>
                      <w:b/>
                    </w:rPr>
                    <w:t>For Māori as tangata whenua …</w:t>
                  </w:r>
                </w:p>
              </w:tc>
              <w:tc>
                <w:tcPr>
                  <w:tcW w:w="4304" w:type="dxa"/>
                </w:tcPr>
                <w:p w14:paraId="1A5AB8F4" w14:textId="2B377612" w:rsidR="006E6B61" w:rsidRPr="006E6B61" w:rsidRDefault="006E6B61" w:rsidP="007E043C">
                  <w:pPr>
                    <w:pStyle w:val="Questionstyle"/>
                    <w:spacing w:line="269" w:lineRule="auto"/>
                    <w:ind w:left="0"/>
                    <w:rPr>
                      <w:b/>
                    </w:rPr>
                  </w:pPr>
                  <w:r w:rsidRPr="006E6B61">
                    <w:rPr>
                      <w:b/>
                    </w:rPr>
                    <w:t>For everyone in Aotearoa ….</w:t>
                  </w:r>
                </w:p>
              </w:tc>
            </w:tr>
            <w:tr w:rsidR="006E6B61" w14:paraId="1E462323" w14:textId="77777777" w:rsidTr="006E6B61">
              <w:tc>
                <w:tcPr>
                  <w:tcW w:w="4305" w:type="dxa"/>
                </w:tcPr>
                <w:p w14:paraId="3FBCB596" w14:textId="4821B9C9" w:rsidR="006E6B61" w:rsidRDefault="006E6B61" w:rsidP="007E043C">
                  <w:pPr>
                    <w:pStyle w:val="Questionstyle"/>
                    <w:spacing w:line="269" w:lineRule="auto"/>
                    <w:ind w:left="0"/>
                  </w:pPr>
                  <w:proofErr w:type="spellStart"/>
                  <w:r w:rsidRPr="00006993">
                    <w:t>whakaaetanga</w:t>
                  </w:r>
                  <w:proofErr w:type="spellEnd"/>
                  <w:r w:rsidRPr="00006993">
                    <w:t xml:space="preserve"> (acceptance) and manaakitanga (love and compassion)</w:t>
                  </w:r>
                </w:p>
              </w:tc>
              <w:tc>
                <w:tcPr>
                  <w:tcW w:w="4304" w:type="dxa"/>
                </w:tcPr>
                <w:p w14:paraId="458F1C86" w14:textId="38DD6EA6" w:rsidR="006E6B61" w:rsidRDefault="006E6B61" w:rsidP="007E043C">
                  <w:pPr>
                    <w:pStyle w:val="Questionstyle"/>
                    <w:spacing w:line="269" w:lineRule="auto"/>
                    <w:ind w:left="0"/>
                  </w:pPr>
                  <w:r w:rsidRPr="00961D43">
                    <w:t>are safe and nurtured</w:t>
                  </w:r>
                </w:p>
              </w:tc>
            </w:tr>
            <w:tr w:rsidR="006E6B61" w14:paraId="452AAF84" w14:textId="77777777" w:rsidTr="006E6B61">
              <w:tc>
                <w:tcPr>
                  <w:tcW w:w="4305" w:type="dxa"/>
                </w:tcPr>
                <w:p w14:paraId="03BEC31F" w14:textId="50E12205" w:rsidR="006E6B61" w:rsidRDefault="006E6B61" w:rsidP="007E043C">
                  <w:pPr>
                    <w:pStyle w:val="Questionstyle"/>
                    <w:spacing w:line="269" w:lineRule="auto"/>
                    <w:ind w:left="0"/>
                  </w:pPr>
                  <w:proofErr w:type="spellStart"/>
                  <w:r w:rsidRPr="00006993">
                    <w:t>oranga</w:t>
                  </w:r>
                  <w:proofErr w:type="spellEnd"/>
                  <w:r w:rsidRPr="00006993">
                    <w:t xml:space="preserve"> (wellbeing)</w:t>
                  </w:r>
                </w:p>
              </w:tc>
              <w:tc>
                <w:tcPr>
                  <w:tcW w:w="4304" w:type="dxa"/>
                </w:tcPr>
                <w:p w14:paraId="485021BA" w14:textId="21EA9E2A" w:rsidR="006E6B61" w:rsidRDefault="006E6B61" w:rsidP="007E043C">
                  <w:pPr>
                    <w:pStyle w:val="Questionstyle"/>
                    <w:spacing w:line="269" w:lineRule="auto"/>
                    <w:ind w:left="0"/>
                  </w:pPr>
                  <w:r w:rsidRPr="00961D43">
                    <w:t>are healthy</w:t>
                  </w:r>
                </w:p>
              </w:tc>
            </w:tr>
            <w:tr w:rsidR="006E6B61" w14:paraId="23A30100" w14:textId="77777777" w:rsidTr="006E6B61">
              <w:tc>
                <w:tcPr>
                  <w:tcW w:w="4305" w:type="dxa"/>
                </w:tcPr>
                <w:p w14:paraId="119C37B8" w14:textId="67E2F706" w:rsidR="006E6B61" w:rsidRDefault="006E6B61" w:rsidP="007E043C">
                  <w:pPr>
                    <w:pStyle w:val="Questionstyle"/>
                    <w:spacing w:line="269" w:lineRule="auto"/>
                    <w:ind w:left="0"/>
                  </w:pPr>
                  <w:r w:rsidRPr="00006993">
                    <w:t xml:space="preserve">rangatiratanga (autonomy), mana </w:t>
                  </w:r>
                  <w:proofErr w:type="spellStart"/>
                  <w:r w:rsidRPr="00006993">
                    <w:t>motuhake</w:t>
                  </w:r>
                  <w:proofErr w:type="spellEnd"/>
                  <w:r w:rsidRPr="00006993">
                    <w:t xml:space="preserve"> (authority) and </w:t>
                  </w:r>
                  <w:proofErr w:type="spellStart"/>
                  <w:r w:rsidRPr="00006993">
                    <w:t>whakaute</w:t>
                  </w:r>
                  <w:proofErr w:type="spellEnd"/>
                  <w:r w:rsidRPr="00006993">
                    <w:t xml:space="preserve"> (respect)</w:t>
                  </w:r>
                </w:p>
              </w:tc>
              <w:tc>
                <w:tcPr>
                  <w:tcW w:w="4304" w:type="dxa"/>
                </w:tcPr>
                <w:p w14:paraId="31123C60" w14:textId="40C2779E" w:rsidR="006E6B61" w:rsidRDefault="006E6B61" w:rsidP="007E043C">
                  <w:pPr>
                    <w:pStyle w:val="Questionstyle"/>
                    <w:spacing w:line="269" w:lineRule="auto"/>
                    <w:ind w:left="0"/>
                  </w:pPr>
                  <w:r w:rsidRPr="00961D43">
                    <w:t>have their rights and dignity upheld</w:t>
                  </w:r>
                </w:p>
              </w:tc>
            </w:tr>
            <w:tr w:rsidR="006E6B61" w14:paraId="564C1A4A" w14:textId="77777777" w:rsidTr="006E6B61">
              <w:tc>
                <w:tcPr>
                  <w:tcW w:w="4305" w:type="dxa"/>
                </w:tcPr>
                <w:p w14:paraId="3F6A1379" w14:textId="092B9FE3" w:rsidR="006E6B61" w:rsidRDefault="006E6B61" w:rsidP="007E043C">
                  <w:pPr>
                    <w:pStyle w:val="Questionstyle"/>
                    <w:spacing w:line="269" w:lineRule="auto"/>
                    <w:ind w:left="0"/>
                  </w:pPr>
                  <w:r w:rsidRPr="00006993">
                    <w:t>whanaungatanga (connection and belonging)</w:t>
                  </w:r>
                </w:p>
              </w:tc>
              <w:tc>
                <w:tcPr>
                  <w:tcW w:w="4304" w:type="dxa"/>
                </w:tcPr>
                <w:p w14:paraId="6379E4D1" w14:textId="7F73B160" w:rsidR="006E6B61" w:rsidRDefault="006E6B61" w:rsidP="007E043C">
                  <w:pPr>
                    <w:pStyle w:val="Questionstyle"/>
                    <w:spacing w:line="269" w:lineRule="auto"/>
                    <w:ind w:left="0"/>
                  </w:pPr>
                  <w:r w:rsidRPr="00961D43">
                    <w:t>are connected and contributing</w:t>
                  </w:r>
                </w:p>
              </w:tc>
            </w:tr>
            <w:tr w:rsidR="006E6B61" w14:paraId="738D4234" w14:textId="77777777" w:rsidTr="006E6B61">
              <w:tc>
                <w:tcPr>
                  <w:tcW w:w="4305" w:type="dxa"/>
                </w:tcPr>
                <w:p w14:paraId="40996618" w14:textId="69A180DC" w:rsidR="006E6B61" w:rsidRDefault="006E6B61" w:rsidP="007E043C">
                  <w:pPr>
                    <w:pStyle w:val="Questionstyle"/>
                    <w:spacing w:line="269" w:lineRule="auto"/>
                    <w:ind w:left="0"/>
                  </w:pPr>
                  <w:r w:rsidRPr="00006993">
                    <w:t>wairuatanga (spirituality) and manawaroa (resilience) </w:t>
                  </w:r>
                </w:p>
              </w:tc>
              <w:tc>
                <w:tcPr>
                  <w:tcW w:w="4304" w:type="dxa"/>
                </w:tcPr>
                <w:p w14:paraId="57EE7F0F" w14:textId="1468ACEF" w:rsidR="006E6B61" w:rsidRDefault="006E6B61" w:rsidP="007E043C">
                  <w:pPr>
                    <w:pStyle w:val="Questionstyle"/>
                    <w:spacing w:line="269" w:lineRule="auto"/>
                    <w:ind w:left="0"/>
                  </w:pPr>
                  <w:r w:rsidRPr="00961D43">
                    <w:t>are resilient and can heal and grow</w:t>
                  </w:r>
                </w:p>
              </w:tc>
            </w:tr>
            <w:tr w:rsidR="006E6B61" w14:paraId="1C96D8F0" w14:textId="77777777" w:rsidTr="006E6B61">
              <w:tc>
                <w:tcPr>
                  <w:tcW w:w="4305" w:type="dxa"/>
                </w:tcPr>
                <w:p w14:paraId="0D31CA57" w14:textId="73D95701" w:rsidR="006E6B61" w:rsidRDefault="006E6B61" w:rsidP="007E043C">
                  <w:pPr>
                    <w:pStyle w:val="Questionstyle"/>
                    <w:spacing w:line="269" w:lineRule="auto"/>
                    <w:ind w:left="0"/>
                  </w:pPr>
                  <w:r w:rsidRPr="00006993">
                    <w:t>rangatiratanga (autonomy), mana motuhake (authority) and whakanuitanga (celebration and honouring)</w:t>
                  </w:r>
                </w:p>
              </w:tc>
              <w:tc>
                <w:tcPr>
                  <w:tcW w:w="4304" w:type="dxa"/>
                </w:tcPr>
                <w:p w14:paraId="4A2C326A" w14:textId="0EBF0673" w:rsidR="006E6B61" w:rsidRDefault="006E6B61" w:rsidP="007E043C">
                  <w:pPr>
                    <w:pStyle w:val="Questionstyle"/>
                    <w:spacing w:line="269" w:lineRule="auto"/>
                    <w:ind w:left="0"/>
                  </w:pPr>
                  <w:r w:rsidRPr="00961D43">
                    <w:t>have hope, purpose and autonomy</w:t>
                  </w:r>
                </w:p>
              </w:tc>
            </w:tr>
          </w:tbl>
          <w:p w14:paraId="0CA59DDF" w14:textId="120839B6" w:rsidR="006E6B61" w:rsidRPr="0095404F" w:rsidRDefault="006E6B61" w:rsidP="007E043C">
            <w:pPr>
              <w:pStyle w:val="Questionstyle"/>
              <w:spacing w:line="269" w:lineRule="auto"/>
              <w:rPr>
                <w:b/>
              </w:rPr>
            </w:pPr>
            <w:r w:rsidRPr="006E6B61">
              <w:t>How well do the statements under each of the six areas describe what wellbeing means to you?</w:t>
            </w:r>
          </w:p>
        </w:tc>
      </w:tr>
    </w:tbl>
    <w:p w14:paraId="78304030" w14:textId="77777777" w:rsidR="008F5DBE" w:rsidRDefault="008F5DBE" w:rsidP="007E043C">
      <w:pPr>
        <w:spacing w:after="120" w:line="269" w:lineRule="auto"/>
      </w:pPr>
    </w:p>
    <w:p w14:paraId="1F326683" w14:textId="1796E118" w:rsidR="005B6BBC" w:rsidRDefault="005B6BBC" w:rsidP="007E043C">
      <w:pPr>
        <w:spacing w:after="120" w:line="269" w:lineRule="auto"/>
      </w:pPr>
      <w:r>
        <w:t>Most respondents (</w:t>
      </w:r>
      <w:r w:rsidR="00DF0DD1">
        <w:t>86%</w:t>
      </w:r>
      <w:r w:rsidR="00D97845">
        <w:t xml:space="preserve"> – </w:t>
      </w:r>
      <w:r>
        <w:t>72/84) said the descriptors</w:t>
      </w:r>
      <w:r w:rsidR="00521BA9">
        <w:t xml:space="preserve"> </w:t>
      </w:r>
      <w:r>
        <w:t>under each domain mostly or completely described what wellbeing mean to them (</w:t>
      </w:r>
      <w:r>
        <w:fldChar w:fldCharType="begin"/>
      </w:r>
      <w:r>
        <w:instrText xml:space="preserve"> REF _Ref51840499 \h </w:instrText>
      </w:r>
      <w:r>
        <w:fldChar w:fldCharType="separate"/>
      </w:r>
      <w:r w:rsidR="002512BA">
        <w:t xml:space="preserve">Figure </w:t>
      </w:r>
      <w:r w:rsidR="002512BA">
        <w:rPr>
          <w:noProof/>
        </w:rPr>
        <w:t>3</w:t>
      </w:r>
      <w:r>
        <w:fldChar w:fldCharType="end"/>
      </w:r>
      <w:r>
        <w:t xml:space="preserve"> below). </w:t>
      </w:r>
      <w:r w:rsidR="00004369">
        <w:t>Respondents also provided comment on</w:t>
      </w:r>
      <w:r>
        <w:t xml:space="preserve"> the concepts they considered to be missing</w:t>
      </w:r>
      <w:r w:rsidR="00004369">
        <w:t xml:space="preserve"> or needing greater prominence in</w:t>
      </w:r>
      <w:r>
        <w:t xml:space="preserve"> the descriptors.</w:t>
      </w:r>
      <w:r w:rsidR="00A46919">
        <w:t xml:space="preserve"> </w:t>
      </w:r>
      <w:r w:rsidR="004F6A28">
        <w:t>These comments are discussed below.</w:t>
      </w:r>
    </w:p>
    <w:p w14:paraId="38DED617" w14:textId="095DE657" w:rsidR="005B6BBC" w:rsidRDefault="005B6BBC" w:rsidP="00125178">
      <w:pPr>
        <w:pStyle w:val="Caption"/>
        <w:tabs>
          <w:tab w:val="left" w:pos="851"/>
        </w:tabs>
        <w:spacing w:before="120" w:after="120" w:line="269" w:lineRule="auto"/>
      </w:pPr>
      <w:bookmarkStart w:id="39" w:name="_Ref51840499"/>
      <w:r>
        <w:t xml:space="preserve">Figure </w:t>
      </w:r>
      <w:r>
        <w:fldChar w:fldCharType="begin"/>
      </w:r>
      <w:r>
        <w:instrText xml:space="preserve"> SEQ Figure \* ARABIC </w:instrText>
      </w:r>
      <w:r>
        <w:fldChar w:fldCharType="separate"/>
      </w:r>
      <w:r w:rsidR="002512BA">
        <w:rPr>
          <w:noProof/>
        </w:rPr>
        <w:t>3</w:t>
      </w:r>
      <w:r>
        <w:fldChar w:fldCharType="end"/>
      </w:r>
      <w:bookmarkEnd w:id="39"/>
      <w:r w:rsidR="00125178">
        <w:tab/>
      </w:r>
      <w:r w:rsidRPr="006E6B61">
        <w:t>How well the statements under each of the six areas describe wellbeing</w:t>
      </w:r>
      <w:r>
        <w:tab/>
      </w:r>
    </w:p>
    <w:p w14:paraId="06B9C5DB" w14:textId="7A1BEE8E" w:rsidR="00C0368D" w:rsidRDefault="00C0368D" w:rsidP="007E043C">
      <w:pPr>
        <w:spacing w:after="120" w:line="269" w:lineRule="auto"/>
      </w:pPr>
      <w:r>
        <w:rPr>
          <w:noProof/>
        </w:rPr>
        <w:drawing>
          <wp:inline distT="0" distB="0" distL="0" distR="0" wp14:anchorId="1C9BC210" wp14:editId="219AC55C">
            <wp:extent cx="3343275" cy="1838325"/>
            <wp:effectExtent l="0" t="0" r="9525" b="9525"/>
            <wp:docPr id="8" name="Chart 8">
              <a:extLst xmlns:a="http://schemas.openxmlformats.org/drawingml/2006/main">
                <a:ext uri="{FF2B5EF4-FFF2-40B4-BE49-F238E27FC236}">
                  <a16:creationId xmlns:a16="http://schemas.microsoft.com/office/drawing/2014/main" id="{7AA1A103-60CF-4099-B3F4-56EC72D132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FF0850" w14:textId="3FA8CF58" w:rsidR="00E768F4" w:rsidRDefault="00976C4A" w:rsidP="00B015EC">
      <w:pPr>
        <w:pStyle w:val="Heading4"/>
      </w:pPr>
      <w:r>
        <w:t>T</w:t>
      </w:r>
      <w:r w:rsidR="00E768F4">
        <w:t>he impact of colonisation</w:t>
      </w:r>
    </w:p>
    <w:p w14:paraId="3C409EB8" w14:textId="5562842C" w:rsidR="003208F3" w:rsidRPr="003208F3" w:rsidRDefault="003208F3" w:rsidP="007E043C">
      <w:pPr>
        <w:spacing w:after="120" w:line="269" w:lineRule="auto"/>
        <w:rPr>
          <w:lang w:val="en-NZ" w:eastAsia="en-GB"/>
        </w:rPr>
      </w:pPr>
      <w:r>
        <w:rPr>
          <w:lang w:val="en-NZ" w:eastAsia="en-GB"/>
        </w:rPr>
        <w:t xml:space="preserve">Several respondents wanted colonisation and its impacts to be explicitly referenced in the framework. </w:t>
      </w:r>
    </w:p>
    <w:p w14:paraId="6923CCE0" w14:textId="3463B840" w:rsidR="00FE3520" w:rsidRDefault="00E768F4" w:rsidP="007E043C">
      <w:pPr>
        <w:pStyle w:val="Quote"/>
        <w:spacing w:before="120" w:after="120" w:line="269" w:lineRule="auto"/>
        <w:rPr>
          <w:lang w:val="en-NZ"/>
        </w:rPr>
      </w:pPr>
      <w:r>
        <w:rPr>
          <w:lang w:val="en-NZ"/>
        </w:rPr>
        <w:t>W</w:t>
      </w:r>
      <w:r w:rsidRPr="00081C8E">
        <w:rPr>
          <w:lang w:val="en-NZ"/>
        </w:rPr>
        <w:t xml:space="preserve">e cannot ignore the ongoing impacts of colonisation within a contemporary framework. Colonisation is the disease </w:t>
      </w:r>
      <w:r w:rsidR="00A14C43">
        <w:rPr>
          <w:lang w:val="en-NZ"/>
        </w:rPr>
        <w:t xml:space="preserve">Māori </w:t>
      </w:r>
      <w:r w:rsidRPr="00081C8E">
        <w:rPr>
          <w:lang w:val="en-NZ"/>
        </w:rPr>
        <w:t>suffer from most in contemporary Aotearoa. Our broad health indicators describe the illnesses of oppression</w:t>
      </w:r>
      <w:r w:rsidR="00D97845">
        <w:rPr>
          <w:lang w:val="en-NZ"/>
        </w:rPr>
        <w:t xml:space="preserve"> – </w:t>
      </w:r>
      <w:r w:rsidRPr="00081C8E">
        <w:rPr>
          <w:lang w:val="en-NZ"/>
        </w:rPr>
        <w:lastRenderedPageBreak/>
        <w:t>poverty, suppression, oppression, disconnection, intellectual denial.</w:t>
      </w:r>
      <w:r>
        <w:rPr>
          <w:lang w:val="en-NZ"/>
        </w:rPr>
        <w:t xml:space="preserve"> </w:t>
      </w:r>
      <w:r w:rsidRPr="00081C8E">
        <w:rPr>
          <w:lang w:val="en-NZ"/>
        </w:rPr>
        <w:t>In addition to traditional understandings of wellbeing and what constitutes healing</w:t>
      </w:r>
      <w:r w:rsidR="00D97845">
        <w:rPr>
          <w:lang w:val="en-NZ"/>
        </w:rPr>
        <w:t xml:space="preserve"> – </w:t>
      </w:r>
      <w:r w:rsidRPr="00081C8E">
        <w:rPr>
          <w:lang w:val="en-NZ"/>
        </w:rPr>
        <w:t>we must now position colonisation and systemic oppression of m</w:t>
      </w:r>
      <w:r w:rsidR="00787D4E">
        <w:rPr>
          <w:lang w:val="en-NZ"/>
        </w:rPr>
        <w:t>ā</w:t>
      </w:r>
      <w:r w:rsidRPr="00081C8E">
        <w:rPr>
          <w:lang w:val="en-NZ"/>
        </w:rPr>
        <w:t xml:space="preserve">tauranga and tikanga </w:t>
      </w:r>
      <w:r w:rsidR="00A14C43">
        <w:rPr>
          <w:lang w:val="en-NZ"/>
        </w:rPr>
        <w:t xml:space="preserve">Māori </w:t>
      </w:r>
      <w:r w:rsidRPr="00081C8E">
        <w:rPr>
          <w:lang w:val="en-NZ"/>
        </w:rPr>
        <w:t xml:space="preserve">as health emergencies. This therefore demands health tools, activities, strategies and outcomes that are decolonial, </w:t>
      </w:r>
      <w:proofErr w:type="spellStart"/>
      <w:r w:rsidRPr="00081C8E">
        <w:rPr>
          <w:lang w:val="en-NZ"/>
        </w:rPr>
        <w:t>liberatory</w:t>
      </w:r>
      <w:proofErr w:type="spellEnd"/>
      <w:r w:rsidRPr="00081C8E">
        <w:rPr>
          <w:lang w:val="en-NZ"/>
        </w:rPr>
        <w:t>, and mana enhancing.</w:t>
      </w:r>
      <w:r>
        <w:rPr>
          <w:lang w:val="en-NZ"/>
        </w:rPr>
        <w:t xml:space="preserve"> </w:t>
      </w:r>
      <w:r w:rsidR="00862F07">
        <w:rPr>
          <w:lang w:val="en-NZ"/>
        </w:rPr>
        <w:t>[Individual respondent]</w:t>
      </w:r>
    </w:p>
    <w:p w14:paraId="5447063D" w14:textId="0D1D8478" w:rsidR="00E768F4" w:rsidRDefault="00E768F4" w:rsidP="00B015EC">
      <w:pPr>
        <w:pStyle w:val="Heading4"/>
      </w:pPr>
      <w:r>
        <w:t xml:space="preserve">Te </w:t>
      </w:r>
      <w:proofErr w:type="spellStart"/>
      <w:r>
        <w:t>reo</w:t>
      </w:r>
      <w:proofErr w:type="spellEnd"/>
      <w:r w:rsidR="0074031D">
        <w:t xml:space="preserve"> Māori</w:t>
      </w:r>
    </w:p>
    <w:p w14:paraId="43C73404" w14:textId="1F0BC682" w:rsidR="00E768F4" w:rsidRDefault="00E768F4" w:rsidP="007E043C">
      <w:pPr>
        <w:spacing w:after="120" w:line="269" w:lineRule="auto"/>
        <w:rPr>
          <w:lang w:val="en-NZ" w:eastAsia="en-GB"/>
        </w:rPr>
      </w:pPr>
      <w:r>
        <w:rPr>
          <w:lang w:val="en-NZ" w:eastAsia="en-GB"/>
        </w:rPr>
        <w:t xml:space="preserve">Several respondents asked for stronger and explicit reference to te </w:t>
      </w:r>
      <w:proofErr w:type="spellStart"/>
      <w:r>
        <w:rPr>
          <w:lang w:val="en-NZ" w:eastAsia="en-GB"/>
        </w:rPr>
        <w:t>reo</w:t>
      </w:r>
      <w:proofErr w:type="spellEnd"/>
      <w:r>
        <w:rPr>
          <w:lang w:val="en-NZ" w:eastAsia="en-GB"/>
        </w:rPr>
        <w:t xml:space="preserve"> </w:t>
      </w:r>
      <w:r w:rsidR="0074031D">
        <w:rPr>
          <w:lang w:val="en-NZ" w:eastAsia="en-GB"/>
        </w:rPr>
        <w:t xml:space="preserve">Māori </w:t>
      </w:r>
      <w:r>
        <w:rPr>
          <w:lang w:val="en-NZ" w:eastAsia="en-GB"/>
        </w:rPr>
        <w:t xml:space="preserve">and </w:t>
      </w:r>
      <w:r w:rsidRPr="00ED7656">
        <w:rPr>
          <w:lang w:val="en-NZ" w:eastAsia="en-GB"/>
        </w:rPr>
        <w:t xml:space="preserve">the importance </w:t>
      </w:r>
      <w:r>
        <w:rPr>
          <w:lang w:val="en-NZ" w:eastAsia="en-GB"/>
        </w:rPr>
        <w:t>of</w:t>
      </w:r>
      <w:r w:rsidRPr="00ED7656">
        <w:rPr>
          <w:lang w:val="en-NZ" w:eastAsia="en-GB"/>
        </w:rPr>
        <w:t xml:space="preserve"> te </w:t>
      </w:r>
      <w:proofErr w:type="spellStart"/>
      <w:r w:rsidRPr="00ED7656">
        <w:rPr>
          <w:lang w:val="en-NZ" w:eastAsia="en-GB"/>
        </w:rPr>
        <w:t>reo</w:t>
      </w:r>
      <w:proofErr w:type="spellEnd"/>
      <w:r w:rsidR="0074031D">
        <w:rPr>
          <w:lang w:val="en-NZ" w:eastAsia="en-GB"/>
        </w:rPr>
        <w:t xml:space="preserve"> Māori</w:t>
      </w:r>
      <w:r w:rsidRPr="00ED7656">
        <w:rPr>
          <w:lang w:val="en-NZ" w:eastAsia="en-GB"/>
        </w:rPr>
        <w:t xml:space="preserve"> </w:t>
      </w:r>
      <w:r>
        <w:rPr>
          <w:lang w:val="en-NZ" w:eastAsia="en-GB"/>
        </w:rPr>
        <w:t>in relation to</w:t>
      </w:r>
      <w:r w:rsidRPr="00ED7656">
        <w:rPr>
          <w:lang w:val="en-NZ" w:eastAsia="en-GB"/>
        </w:rPr>
        <w:t xml:space="preserve"> wellbeing for Māori. </w:t>
      </w:r>
    </w:p>
    <w:p w14:paraId="4C235FD5" w14:textId="660CCE9A" w:rsidR="00E768F4" w:rsidRPr="00ED7656" w:rsidRDefault="00E768F4" w:rsidP="007E043C">
      <w:pPr>
        <w:pStyle w:val="Quote"/>
        <w:spacing w:before="120" w:after="120" w:line="269" w:lineRule="auto"/>
        <w:rPr>
          <w:lang w:val="en-NZ" w:eastAsia="en-GB"/>
        </w:rPr>
      </w:pPr>
      <w:r>
        <w:rPr>
          <w:lang w:val="en-NZ" w:eastAsia="en-GB"/>
        </w:rPr>
        <w:t>T</w:t>
      </w:r>
      <w:r w:rsidRPr="00B53179">
        <w:rPr>
          <w:lang w:val="en-NZ" w:eastAsia="en-GB"/>
        </w:rPr>
        <w:t xml:space="preserve">he ‘Māori as tangata whenua’ layer should explicitly identify Māori </w:t>
      </w:r>
      <w:proofErr w:type="spellStart"/>
      <w:r w:rsidRPr="00B53179">
        <w:rPr>
          <w:lang w:val="en-NZ" w:eastAsia="en-GB"/>
        </w:rPr>
        <w:t>reo</w:t>
      </w:r>
      <w:proofErr w:type="spellEnd"/>
      <w:r w:rsidRPr="00B53179">
        <w:rPr>
          <w:lang w:val="en-NZ" w:eastAsia="en-GB"/>
        </w:rPr>
        <w:t xml:space="preserve"> (we note</w:t>
      </w:r>
      <w:r>
        <w:rPr>
          <w:lang w:val="en-NZ" w:eastAsia="en-GB"/>
        </w:rPr>
        <w:t xml:space="preserve"> </w:t>
      </w:r>
      <w:r w:rsidRPr="00B53179">
        <w:rPr>
          <w:lang w:val="en-NZ" w:eastAsia="en-GB"/>
        </w:rPr>
        <w:t>language is included in the ‘other’ layer)</w:t>
      </w:r>
      <w:r w:rsidR="003208F3">
        <w:rPr>
          <w:lang w:val="en-NZ" w:eastAsia="en-GB"/>
        </w:rPr>
        <w:t>.</w:t>
      </w:r>
      <w:r>
        <w:rPr>
          <w:lang w:val="en-NZ" w:eastAsia="en-GB"/>
        </w:rPr>
        <w:t xml:space="preserve"> </w:t>
      </w:r>
      <w:r w:rsidR="003208F3">
        <w:rPr>
          <w:lang w:val="en-NZ" w:eastAsia="en-GB"/>
        </w:rPr>
        <w:t>[</w:t>
      </w:r>
      <w:r>
        <w:rPr>
          <w:lang w:val="en-NZ" w:eastAsia="en-GB"/>
        </w:rPr>
        <w:t>Mental Health Foundation</w:t>
      </w:r>
      <w:r w:rsidR="003208F3">
        <w:rPr>
          <w:lang w:val="en-NZ" w:eastAsia="en-GB"/>
        </w:rPr>
        <w:t>]</w:t>
      </w:r>
    </w:p>
    <w:p w14:paraId="0F4B867B" w14:textId="54D32AD2" w:rsidR="00FE3520" w:rsidRDefault="00E768F4" w:rsidP="007E043C">
      <w:pPr>
        <w:pStyle w:val="Quote"/>
        <w:spacing w:before="120" w:after="120" w:line="269" w:lineRule="auto"/>
        <w:rPr>
          <w:lang w:val="en-NZ"/>
        </w:rPr>
      </w:pPr>
      <w:r>
        <w:rPr>
          <w:lang w:val="en-NZ"/>
        </w:rPr>
        <w:t xml:space="preserve">[We] </w:t>
      </w:r>
      <w:r w:rsidRPr="0009333B">
        <w:rPr>
          <w:lang w:val="en-NZ"/>
        </w:rPr>
        <w:t xml:space="preserve">recommend reference to the important role that te </w:t>
      </w:r>
      <w:proofErr w:type="spellStart"/>
      <w:r w:rsidRPr="0009333B">
        <w:rPr>
          <w:lang w:val="en-NZ"/>
        </w:rPr>
        <w:t>reo</w:t>
      </w:r>
      <w:proofErr w:type="spellEnd"/>
      <w:r w:rsidRPr="0009333B">
        <w:rPr>
          <w:lang w:val="en-NZ"/>
        </w:rPr>
        <w:t xml:space="preserve"> Māori plays in this endeavour.</w:t>
      </w:r>
      <w:r>
        <w:rPr>
          <w:lang w:val="en-NZ"/>
        </w:rPr>
        <w:t>..</w:t>
      </w:r>
      <w:r w:rsidRPr="0009333B">
        <w:t xml:space="preserve"> </w:t>
      </w:r>
      <w:r w:rsidRPr="0009333B">
        <w:rPr>
          <w:lang w:val="en-NZ"/>
        </w:rPr>
        <w:t xml:space="preserve">The reclamation and revitalisation of te </w:t>
      </w:r>
      <w:proofErr w:type="spellStart"/>
      <w:r w:rsidRPr="0009333B">
        <w:rPr>
          <w:lang w:val="en-NZ"/>
        </w:rPr>
        <w:t>reo</w:t>
      </w:r>
      <w:proofErr w:type="spellEnd"/>
      <w:r w:rsidRPr="0009333B">
        <w:rPr>
          <w:lang w:val="en-NZ"/>
        </w:rPr>
        <w:t xml:space="preserve"> Māori goes hand in hand with the mental health and wellbeing outcomes identified for Māori and others in the He Ara Oranga framework.</w:t>
      </w:r>
      <w:r>
        <w:rPr>
          <w:lang w:val="en-NZ"/>
        </w:rPr>
        <w:t xml:space="preserve"> </w:t>
      </w:r>
      <w:r w:rsidRPr="0009333B">
        <w:rPr>
          <w:lang w:val="en-NZ"/>
        </w:rPr>
        <w:t>We therefore recommend that having increased opportunities to communicate in home and heart languages from the earliest opportunity is made explicit within the framework.</w:t>
      </w:r>
      <w:r>
        <w:rPr>
          <w:lang w:val="en-NZ"/>
        </w:rPr>
        <w:t xml:space="preserve"> [</w:t>
      </w:r>
      <w:r w:rsidR="00CA1579" w:rsidRPr="00CA1579">
        <w:rPr>
          <w:lang w:val="en-NZ"/>
        </w:rPr>
        <w:t>Talking Matters Community Activator</w:t>
      </w:r>
      <w:r w:rsidR="00D97845">
        <w:rPr>
          <w:lang w:val="en-NZ"/>
        </w:rPr>
        <w:t xml:space="preserve"> – </w:t>
      </w:r>
      <w:r w:rsidR="00CA1579" w:rsidRPr="00CA1579">
        <w:rPr>
          <w:lang w:val="en-NZ"/>
        </w:rPr>
        <w:t>Māori</w:t>
      </w:r>
      <w:r>
        <w:rPr>
          <w:lang w:val="en-NZ"/>
        </w:rPr>
        <w:t>]</w:t>
      </w:r>
    </w:p>
    <w:p w14:paraId="22E89FB3" w14:textId="1D7792E8" w:rsidR="00E768F4" w:rsidRDefault="00E768F4" w:rsidP="00B015EC">
      <w:pPr>
        <w:pStyle w:val="Heading4"/>
      </w:pPr>
      <w:r>
        <w:t>Expression and preservation of cultural values and traditions</w:t>
      </w:r>
    </w:p>
    <w:p w14:paraId="4DD84A23" w14:textId="21CB2279" w:rsidR="00BF59F0" w:rsidRPr="00BF59F0" w:rsidRDefault="00BF59F0" w:rsidP="007E043C">
      <w:pPr>
        <w:spacing w:after="120" w:line="269" w:lineRule="auto"/>
        <w:rPr>
          <w:lang w:val="en-NZ" w:eastAsia="en-GB"/>
        </w:rPr>
      </w:pPr>
      <w:r>
        <w:rPr>
          <w:lang w:val="en-NZ" w:eastAsia="en-GB"/>
        </w:rPr>
        <w:t>Respondents pointed to the need for explicit reference to peoples’ and communities’ expression of cultural values.</w:t>
      </w:r>
    </w:p>
    <w:p w14:paraId="53FBB74E" w14:textId="77777777" w:rsidR="00FE3520" w:rsidRDefault="00E768F4" w:rsidP="007E043C">
      <w:pPr>
        <w:pStyle w:val="Quote"/>
        <w:spacing w:before="120" w:after="120" w:line="269" w:lineRule="auto"/>
      </w:pPr>
      <w:r>
        <w:t>W</w:t>
      </w:r>
      <w:r w:rsidRPr="004E4060">
        <w:t>e would like to see explicit recognition of the importance of empowering and enabling ethnic peoples and communities to express and preserve their cultural values and traditions as these are important protective factors against poor mental wellness. These are best supported through community ownership and leadership, and through effective relationships in a community setting.</w:t>
      </w:r>
      <w:r w:rsidR="002236EF">
        <w:t xml:space="preserve"> </w:t>
      </w:r>
      <w:r w:rsidRPr="004E4060">
        <w:t xml:space="preserve">We acknowledge that the importance of culture and connection to it and each other in cultural communities has been captured in the framework. However, it is the element of being able to express this as set out above, which we see as important. This also better aligns with how culture is recognised and protected through human rights frameworks, </w:t>
      </w:r>
      <w:proofErr w:type="spellStart"/>
      <w:r w:rsidRPr="004E4060">
        <w:t>ie</w:t>
      </w:r>
      <w:proofErr w:type="spellEnd"/>
      <w:r w:rsidRPr="004E4060">
        <w:t>. not just as products, but through their outward achievement through enabled expression.</w:t>
      </w:r>
      <w:r w:rsidR="00CA4C12">
        <w:t xml:space="preserve"> </w:t>
      </w:r>
      <w:r w:rsidRPr="00BF59F0">
        <w:t xml:space="preserve">[Organisation – </w:t>
      </w:r>
      <w:r w:rsidR="009E2778">
        <w:t>did not consent to quotes being attributed</w:t>
      </w:r>
      <w:r>
        <w:t>]</w:t>
      </w:r>
    </w:p>
    <w:p w14:paraId="5119637E" w14:textId="5F72D900" w:rsidR="00851DCC" w:rsidRDefault="0076199E" w:rsidP="00B015EC">
      <w:pPr>
        <w:pStyle w:val="Heading4"/>
      </w:pPr>
      <w:r w:rsidRPr="00851DCC">
        <w:t>Equity</w:t>
      </w:r>
      <w:r w:rsidR="00851DCC">
        <w:t xml:space="preserve"> </w:t>
      </w:r>
    </w:p>
    <w:p w14:paraId="0AAFD742" w14:textId="5D6ACABE" w:rsidR="00190A79" w:rsidRPr="000E619B" w:rsidRDefault="0076199E" w:rsidP="007E043C">
      <w:pPr>
        <w:spacing w:after="120" w:line="269" w:lineRule="auto"/>
        <w:rPr>
          <w:i/>
        </w:rPr>
      </w:pPr>
      <w:r>
        <w:t>Respondents</w:t>
      </w:r>
      <w:r w:rsidR="00FD51F9">
        <w:t>,</w:t>
      </w:r>
      <w:r>
        <w:t xml:space="preserve"> including the Māori focus group</w:t>
      </w:r>
      <w:r w:rsidR="00FD51F9">
        <w:t>,</w:t>
      </w:r>
      <w:r>
        <w:t xml:space="preserve"> commented on</w:t>
      </w:r>
      <w:r w:rsidR="0006655B">
        <w:t xml:space="preserve"> </w:t>
      </w:r>
      <w:r>
        <w:t>the need for</w:t>
      </w:r>
      <w:r w:rsidR="008E4D43">
        <w:t xml:space="preserve"> equity</w:t>
      </w:r>
      <w:r>
        <w:t xml:space="preserve"> to be added as a domain.</w:t>
      </w:r>
      <w:r w:rsidR="00190A79">
        <w:t xml:space="preserve"> They suggested that there should a new domain entirely on equity as </w:t>
      </w:r>
      <w:r w:rsidR="00BE49A3">
        <w:t>it</w:t>
      </w:r>
      <w:r w:rsidR="00190A79">
        <w:t xml:space="preserve"> is so important that it shouldn’t just be text underneath a domain.</w:t>
      </w:r>
    </w:p>
    <w:p w14:paraId="79AC5B4C" w14:textId="4BF9613C" w:rsidR="0076199E" w:rsidRPr="00BF59F0" w:rsidRDefault="0076199E" w:rsidP="007E043C">
      <w:pPr>
        <w:pStyle w:val="Quote"/>
        <w:spacing w:before="120" w:after="120" w:line="269" w:lineRule="auto"/>
      </w:pPr>
      <w:r>
        <w:rPr>
          <w:lang w:val="en-NZ" w:eastAsia="en-GB"/>
        </w:rPr>
        <w:t>A</w:t>
      </w:r>
      <w:r w:rsidRPr="0076199E">
        <w:rPr>
          <w:lang w:val="en-NZ" w:eastAsia="en-GB"/>
        </w:rPr>
        <w:t xml:space="preserve">n additional area of wellbeing could be added for Māori as tangata whenua – </w:t>
      </w:r>
      <w:proofErr w:type="spellStart"/>
      <w:r w:rsidR="00AA7375">
        <w:rPr>
          <w:lang w:val="en-NZ" w:eastAsia="en-GB"/>
        </w:rPr>
        <w:t>o</w:t>
      </w:r>
      <w:r w:rsidRPr="0076199E">
        <w:rPr>
          <w:lang w:val="en-NZ" w:eastAsia="en-GB"/>
        </w:rPr>
        <w:t>ritetanga</w:t>
      </w:r>
      <w:proofErr w:type="spellEnd"/>
      <w:r w:rsidRPr="0076199E">
        <w:rPr>
          <w:lang w:val="en-NZ" w:eastAsia="en-GB"/>
        </w:rPr>
        <w:t xml:space="preserve"> (equity). From a population health perspective, this would better reflect our obligations under Article 3 of te Tiriti o Waitangi to achieve equity in health outcomes between Māori and non-Māori</w:t>
      </w:r>
      <w:r>
        <w:rPr>
          <w:lang w:val="en-NZ" w:eastAsia="en-GB"/>
        </w:rPr>
        <w:t>.</w:t>
      </w:r>
      <w:r w:rsidRPr="0076199E">
        <w:t xml:space="preserve"> </w:t>
      </w:r>
      <w:r w:rsidR="00CA1579">
        <w:t>[</w:t>
      </w:r>
      <w:r w:rsidR="00BF59F0" w:rsidRPr="00BF59F0">
        <w:t xml:space="preserve">Organisation – </w:t>
      </w:r>
      <w:r w:rsidR="009E2778">
        <w:t>did not consent to quotes being attributed</w:t>
      </w:r>
      <w:r w:rsidR="00CA1579">
        <w:t>]</w:t>
      </w:r>
    </w:p>
    <w:p w14:paraId="255372D3" w14:textId="7C3CF956" w:rsidR="008866F4" w:rsidRDefault="008866F4" w:rsidP="007E043C">
      <w:pPr>
        <w:spacing w:after="120" w:line="269" w:lineRule="auto"/>
        <w:rPr>
          <w:lang w:val="en-NZ"/>
        </w:rPr>
      </w:pPr>
      <w:bookmarkStart w:id="40" w:name="_Ref51225860"/>
      <w:r>
        <w:rPr>
          <w:lang w:val="en-NZ"/>
        </w:rPr>
        <w:t>This included specifying e</w:t>
      </w:r>
      <w:r w:rsidRPr="001B2AA2">
        <w:rPr>
          <w:lang w:val="en-NZ"/>
        </w:rPr>
        <w:t>quitable access to quality healthcare</w:t>
      </w:r>
      <w:r>
        <w:rPr>
          <w:lang w:val="en-NZ"/>
        </w:rPr>
        <w:t>.</w:t>
      </w:r>
    </w:p>
    <w:p w14:paraId="0D68BFA7" w14:textId="228D4240" w:rsidR="008866F4" w:rsidRDefault="008866F4" w:rsidP="007E043C">
      <w:pPr>
        <w:pStyle w:val="Quote"/>
        <w:spacing w:before="120" w:after="120" w:line="269" w:lineRule="auto"/>
        <w:rPr>
          <w:lang w:val="en-NZ"/>
        </w:rPr>
      </w:pPr>
      <w:r w:rsidRPr="001B2AA2">
        <w:rPr>
          <w:lang w:val="en-NZ"/>
        </w:rPr>
        <w:lastRenderedPageBreak/>
        <w:t>Include an outcome for equitable access to quality healthcare, which we would interpret</w:t>
      </w:r>
      <w:r>
        <w:rPr>
          <w:lang w:val="en-NZ"/>
        </w:rPr>
        <w:t xml:space="preserve"> </w:t>
      </w:r>
      <w:r w:rsidRPr="001B2AA2">
        <w:rPr>
          <w:lang w:val="en-NZ"/>
        </w:rPr>
        <w:t>as availability and equitable funding of kaupapa Māori services and for Pacific people to</w:t>
      </w:r>
      <w:r>
        <w:rPr>
          <w:lang w:val="en-NZ"/>
        </w:rPr>
        <w:t xml:space="preserve"> </w:t>
      </w:r>
      <w:r w:rsidRPr="001B2AA2">
        <w:rPr>
          <w:lang w:val="en-NZ"/>
        </w:rPr>
        <w:t>access not only culturally appropriate services but ones that provide relevant, safe and</w:t>
      </w:r>
      <w:r>
        <w:rPr>
          <w:lang w:val="en-NZ"/>
        </w:rPr>
        <w:t xml:space="preserve"> </w:t>
      </w:r>
      <w:r w:rsidRPr="001B2AA2">
        <w:rPr>
          <w:lang w:val="en-NZ"/>
        </w:rPr>
        <w:t xml:space="preserve">effective options (see </w:t>
      </w:r>
      <w:proofErr w:type="spellStart"/>
      <w:r w:rsidRPr="001B2AA2">
        <w:rPr>
          <w:lang w:val="en-NZ"/>
        </w:rPr>
        <w:t>Vai</w:t>
      </w:r>
      <w:proofErr w:type="spellEnd"/>
      <w:r w:rsidRPr="001B2AA2">
        <w:rPr>
          <w:lang w:val="en-NZ"/>
        </w:rPr>
        <w:t xml:space="preserve"> </w:t>
      </w:r>
      <w:proofErr w:type="spellStart"/>
      <w:r w:rsidRPr="001B2AA2">
        <w:rPr>
          <w:lang w:val="en-NZ"/>
        </w:rPr>
        <w:t>Niu</w:t>
      </w:r>
      <w:proofErr w:type="spellEnd"/>
      <w:r w:rsidRPr="001B2AA2">
        <w:rPr>
          <w:lang w:val="en-NZ"/>
        </w:rPr>
        <w:t xml:space="preserve"> 3.5, Chapter 3, He Ara Oranga)</w:t>
      </w:r>
      <w:r>
        <w:rPr>
          <w:lang w:val="en-NZ"/>
        </w:rPr>
        <w:t xml:space="preserve"> [Mental Health Foundation]</w:t>
      </w:r>
    </w:p>
    <w:p w14:paraId="20335B95" w14:textId="19925308" w:rsidR="00C5075B" w:rsidRDefault="00C5075B" w:rsidP="007E043C">
      <w:pPr>
        <w:spacing w:after="120" w:line="269" w:lineRule="auto"/>
        <w:rPr>
          <w:lang w:val="en-NZ"/>
        </w:rPr>
      </w:pPr>
      <w:r>
        <w:rPr>
          <w:lang w:val="en-NZ"/>
        </w:rPr>
        <w:t>It was also noted that equity of outcomes would not be achieved without equity of input from the parties affected.</w:t>
      </w:r>
    </w:p>
    <w:p w14:paraId="69034C53" w14:textId="45FBDEC2" w:rsidR="00FE3520" w:rsidRDefault="00C5075B" w:rsidP="007E043C">
      <w:pPr>
        <w:pStyle w:val="Quote"/>
        <w:spacing w:before="120" w:after="120" w:line="269" w:lineRule="auto"/>
        <w:rPr>
          <w:lang w:val="en-NZ"/>
        </w:rPr>
      </w:pPr>
      <w:r w:rsidRPr="00C5075B">
        <w:rPr>
          <w:lang w:val="en-NZ"/>
        </w:rPr>
        <w:t>There is an entrenched disparity between the voices of consumers and family/wh</w:t>
      </w:r>
      <w:r w:rsidR="00307777">
        <w:rPr>
          <w:lang w:val="en-NZ"/>
        </w:rPr>
        <w:t>ā</w:t>
      </w:r>
      <w:r w:rsidRPr="00C5075B">
        <w:rPr>
          <w:lang w:val="en-NZ"/>
        </w:rPr>
        <w:t>nau, and those of management, clinicians and government departments.</w:t>
      </w:r>
      <w:r w:rsidR="002236EF">
        <w:rPr>
          <w:lang w:val="en-NZ"/>
        </w:rPr>
        <w:t xml:space="preserve"> </w:t>
      </w:r>
      <w:r w:rsidRPr="00C5075B">
        <w:rPr>
          <w:lang w:val="en-NZ"/>
        </w:rPr>
        <w:t>Those from groups seeking improvement need more than just words when it comes to having an impact, it is not enough to have a seat at the table if you are only being given crumbs.</w:t>
      </w:r>
      <w:r w:rsidR="002236EF">
        <w:rPr>
          <w:lang w:val="en-NZ"/>
        </w:rPr>
        <w:t xml:space="preserve"> </w:t>
      </w:r>
      <w:r w:rsidRPr="00C5075B">
        <w:rPr>
          <w:lang w:val="en-NZ"/>
        </w:rPr>
        <w:t xml:space="preserve">Equity is not just something </w:t>
      </w:r>
      <w:proofErr w:type="gramStart"/>
      <w:r w:rsidRPr="00C5075B">
        <w:rPr>
          <w:lang w:val="en-NZ"/>
        </w:rPr>
        <w:t>taken into account</w:t>
      </w:r>
      <w:proofErr w:type="gramEnd"/>
      <w:r w:rsidRPr="00C5075B">
        <w:rPr>
          <w:lang w:val="en-NZ"/>
        </w:rPr>
        <w:t xml:space="preserve"> at grass roots level, it needs to be built into every layer of support from those delivering to management, governance and funding levels.</w:t>
      </w:r>
      <w:r>
        <w:rPr>
          <w:lang w:val="en-NZ"/>
        </w:rPr>
        <w:t xml:space="preserve"> </w:t>
      </w:r>
      <w:r w:rsidR="00862F07">
        <w:rPr>
          <w:lang w:val="en-NZ"/>
        </w:rPr>
        <w:t>[Individual respondent]</w:t>
      </w:r>
    </w:p>
    <w:p w14:paraId="6A0A5F44" w14:textId="7AB41129" w:rsidR="00E768F4" w:rsidRDefault="00E768F4" w:rsidP="00B015EC">
      <w:pPr>
        <w:pStyle w:val="Heading4"/>
      </w:pPr>
      <w:r>
        <w:t xml:space="preserve">Access to </w:t>
      </w:r>
      <w:r w:rsidR="004C1462">
        <w:t xml:space="preserve">quality and safe </w:t>
      </w:r>
      <w:r>
        <w:t>services</w:t>
      </w:r>
    </w:p>
    <w:p w14:paraId="2AF59AA8" w14:textId="3CB5084B" w:rsidR="00E768F4" w:rsidRDefault="00E768F4" w:rsidP="007E043C">
      <w:pPr>
        <w:spacing w:after="120" w:line="269" w:lineRule="auto"/>
        <w:rPr>
          <w:lang w:val="en-NZ"/>
        </w:rPr>
      </w:pPr>
      <w:r>
        <w:rPr>
          <w:lang w:val="en-NZ"/>
        </w:rPr>
        <w:t xml:space="preserve">One respondent noted that </w:t>
      </w:r>
      <w:r w:rsidR="00307777">
        <w:rPr>
          <w:lang w:val="en-NZ"/>
        </w:rPr>
        <w:t>timeliness is an</w:t>
      </w:r>
      <w:r w:rsidRPr="000E49AC">
        <w:rPr>
          <w:lang w:val="en-NZ"/>
        </w:rPr>
        <w:t xml:space="preserve"> important part of access </w:t>
      </w:r>
      <w:r w:rsidR="00307777">
        <w:rPr>
          <w:lang w:val="en-NZ"/>
        </w:rPr>
        <w:t>to support: ‘</w:t>
      </w:r>
      <w:r w:rsidRPr="000E49AC">
        <w:rPr>
          <w:lang w:val="en-NZ"/>
        </w:rPr>
        <w:t>throughout the discussion of desired outcomes there is no reference to timeliness</w:t>
      </w:r>
      <w:r w:rsidR="00223C9F">
        <w:rPr>
          <w:lang w:val="en-NZ"/>
        </w:rPr>
        <w:t>.</w:t>
      </w:r>
      <w:r>
        <w:rPr>
          <w:lang w:val="en-NZ"/>
        </w:rPr>
        <w:t>’</w:t>
      </w:r>
      <w:r w:rsidR="007E5F38">
        <w:rPr>
          <w:rStyle w:val="FootnoteReference"/>
          <w:lang w:val="en-NZ"/>
        </w:rPr>
        <w:footnoteReference w:id="39"/>
      </w:r>
      <w:r>
        <w:rPr>
          <w:lang w:val="en-NZ"/>
        </w:rPr>
        <w:t xml:space="preserve"> Choice of services, supports and systems was also important.</w:t>
      </w:r>
    </w:p>
    <w:p w14:paraId="4D43C7FD" w14:textId="4D785EAF" w:rsidR="004C1462" w:rsidRDefault="004C1462" w:rsidP="004C1462">
      <w:pPr>
        <w:spacing w:after="120" w:line="269" w:lineRule="auto"/>
        <w:rPr>
          <w:lang w:eastAsia="en-NZ"/>
        </w:rPr>
      </w:pPr>
      <w:r>
        <w:rPr>
          <w:lang w:eastAsia="en-NZ"/>
        </w:rPr>
        <w:t>Respondents discussed safety largely in relation to having</w:t>
      </w:r>
      <w:r w:rsidRPr="00FD6E5D">
        <w:rPr>
          <w:lang w:eastAsia="en-NZ"/>
        </w:rPr>
        <w:t xml:space="preserve"> </w:t>
      </w:r>
      <w:r>
        <w:rPr>
          <w:lang w:eastAsia="en-NZ"/>
        </w:rPr>
        <w:t xml:space="preserve">safe and </w:t>
      </w:r>
      <w:r w:rsidRPr="00FD6E5D">
        <w:rPr>
          <w:lang w:eastAsia="en-NZ"/>
        </w:rPr>
        <w:t>appropriate services</w:t>
      </w:r>
      <w:r>
        <w:rPr>
          <w:lang w:eastAsia="en-NZ"/>
        </w:rPr>
        <w:t xml:space="preserve">, but also about people not being taken advantage of. The Māori focus group suggested </w:t>
      </w:r>
      <w:r w:rsidR="00D5146A">
        <w:rPr>
          <w:lang w:eastAsia="en-NZ"/>
        </w:rPr>
        <w:t>several</w:t>
      </w:r>
      <w:r>
        <w:rPr>
          <w:lang w:eastAsia="en-NZ"/>
        </w:rPr>
        <w:t xml:space="preserve"> possible terms:</w:t>
      </w:r>
    </w:p>
    <w:p w14:paraId="3C5C193D" w14:textId="249CFD40" w:rsidR="004C1462" w:rsidRDefault="004C1462" w:rsidP="004C1462">
      <w:pPr>
        <w:pStyle w:val="ListParagraph"/>
        <w:numPr>
          <w:ilvl w:val="0"/>
          <w:numId w:val="18"/>
        </w:numPr>
        <w:spacing w:line="269" w:lineRule="auto"/>
      </w:pPr>
      <w:bookmarkStart w:id="41" w:name="_Hlk53040076"/>
      <w:r>
        <w:t>Whai</w:t>
      </w:r>
      <w:r w:rsidR="00113D2D">
        <w:t xml:space="preserve"> </w:t>
      </w:r>
      <w:r>
        <w:t>ora whānau – no further harm coming to the person. Whai</w:t>
      </w:r>
      <w:r w:rsidR="00113D2D">
        <w:t xml:space="preserve"> </w:t>
      </w:r>
      <w:r>
        <w:t xml:space="preserve">ora means seeking wellbeing but doing it without any further harm, so seeking wellbeing and reducing harm; whānau ora is the same in a sense but this is specifically about </w:t>
      </w:r>
      <w:r w:rsidRPr="00FD6E5D">
        <w:t>reducing harm</w:t>
      </w:r>
      <w:bookmarkEnd w:id="41"/>
      <w:r>
        <w:t xml:space="preserve">. </w:t>
      </w:r>
    </w:p>
    <w:p w14:paraId="34411B51" w14:textId="594FC2D9" w:rsidR="004C1462" w:rsidRPr="0046662D" w:rsidRDefault="004C1462" w:rsidP="004C1462">
      <w:pPr>
        <w:pStyle w:val="ListParagraph"/>
        <w:numPr>
          <w:ilvl w:val="0"/>
          <w:numId w:val="18"/>
        </w:numPr>
        <w:spacing w:line="269" w:lineRule="auto"/>
      </w:pPr>
      <w:proofErr w:type="spellStart"/>
      <w:r>
        <w:t>K</w:t>
      </w:r>
      <w:r w:rsidRPr="0046662D">
        <w:t>aua</w:t>
      </w:r>
      <w:proofErr w:type="spellEnd"/>
      <w:r w:rsidRPr="0046662D">
        <w:t xml:space="preserve"> e </w:t>
      </w:r>
      <w:proofErr w:type="spellStart"/>
      <w:r w:rsidRPr="0046662D">
        <w:t>t</w:t>
      </w:r>
      <w:r w:rsidR="008C7C10">
        <w:t>ū</w:t>
      </w:r>
      <w:r w:rsidRPr="0046662D">
        <w:t>kino</w:t>
      </w:r>
      <w:proofErr w:type="spellEnd"/>
      <w:r w:rsidR="00D97845">
        <w:t xml:space="preserve"> – </w:t>
      </w:r>
      <w:r w:rsidRPr="0046662D">
        <w:t>do no further harm</w:t>
      </w:r>
      <w:r>
        <w:t>.</w:t>
      </w:r>
    </w:p>
    <w:p w14:paraId="4F8B5DAA" w14:textId="290E6774" w:rsidR="00FE3520" w:rsidRDefault="004C1462" w:rsidP="004C1462">
      <w:pPr>
        <w:pStyle w:val="ListParagraph"/>
        <w:numPr>
          <w:ilvl w:val="0"/>
          <w:numId w:val="18"/>
        </w:numPr>
        <w:spacing w:line="269" w:lineRule="auto"/>
      </w:pPr>
      <w:proofErr w:type="spellStart"/>
      <w:r>
        <w:t>W</w:t>
      </w:r>
      <w:r w:rsidRPr="0046662D">
        <w:t>hakatoihara</w:t>
      </w:r>
      <w:proofErr w:type="spellEnd"/>
      <w:r w:rsidRPr="0046662D">
        <w:t xml:space="preserve"> kore</w:t>
      </w:r>
      <w:r w:rsidR="00D97845">
        <w:t xml:space="preserve"> – </w:t>
      </w:r>
      <w:r w:rsidRPr="0046662D">
        <w:t>no negative action.</w:t>
      </w:r>
    </w:p>
    <w:p w14:paraId="3C25940C" w14:textId="3E9404DD" w:rsidR="00E768F4" w:rsidRDefault="00E768F4" w:rsidP="00D5146A">
      <w:pPr>
        <w:pStyle w:val="Heading4"/>
      </w:pPr>
      <w:r>
        <w:t>Economic resources and socio-economic outcomes</w:t>
      </w:r>
    </w:p>
    <w:p w14:paraId="08AD7225" w14:textId="7A988C97" w:rsidR="00E768F4" w:rsidRDefault="00113D2D" w:rsidP="007E043C">
      <w:pPr>
        <w:spacing w:after="120" w:line="269" w:lineRule="auto"/>
        <w:rPr>
          <w:lang w:val="en-NZ"/>
        </w:rPr>
      </w:pPr>
      <w:r>
        <w:rPr>
          <w:lang w:val="en-NZ"/>
        </w:rPr>
        <w:t>Respondents</w:t>
      </w:r>
      <w:r w:rsidR="00763542">
        <w:rPr>
          <w:lang w:val="en-NZ"/>
        </w:rPr>
        <w:t xml:space="preserve"> wanted a</w:t>
      </w:r>
      <w:r w:rsidR="00E768F4">
        <w:rPr>
          <w:lang w:val="en-NZ"/>
        </w:rPr>
        <w:t xml:space="preserve"> stronger focus on economic resources and socio-economic outcomes. This includes </w:t>
      </w:r>
      <w:r w:rsidR="00E768F4" w:rsidRPr="00D34185">
        <w:rPr>
          <w:lang w:val="en-NZ"/>
        </w:rPr>
        <w:t>adequate and equitable access to technology and internet, income equality, civic engagement, and leisure and</w:t>
      </w:r>
      <w:r w:rsidR="00E768F4">
        <w:rPr>
          <w:lang w:val="en-NZ"/>
        </w:rPr>
        <w:t xml:space="preserve"> </w:t>
      </w:r>
      <w:r w:rsidR="00E768F4" w:rsidRPr="00D34185">
        <w:rPr>
          <w:lang w:val="en-NZ"/>
        </w:rPr>
        <w:t>recreation</w:t>
      </w:r>
      <w:r w:rsidR="00E768F4">
        <w:rPr>
          <w:lang w:val="en-NZ"/>
        </w:rPr>
        <w:t xml:space="preserve"> (‘</w:t>
      </w:r>
      <w:r w:rsidR="00E768F4" w:rsidRPr="00110026">
        <w:rPr>
          <w:lang w:val="en-NZ"/>
        </w:rPr>
        <w:t>It doesn't address some of the fundamental outcomes people say they want like secure housing, jobs and equitable access to goods and services</w:t>
      </w:r>
      <w:r w:rsidR="00E768F4">
        <w:rPr>
          <w:lang w:val="en-NZ"/>
        </w:rPr>
        <w:t>’</w:t>
      </w:r>
      <w:r w:rsidR="00140E7A">
        <w:rPr>
          <w:rStyle w:val="FootnoteReference"/>
          <w:lang w:val="en-NZ"/>
        </w:rPr>
        <w:footnoteReference w:id="40"/>
      </w:r>
      <w:r w:rsidR="00E768F4">
        <w:rPr>
          <w:lang w:val="en-NZ"/>
        </w:rPr>
        <w:t>).</w:t>
      </w:r>
    </w:p>
    <w:p w14:paraId="0100AA7F" w14:textId="24736DF3" w:rsidR="00E768F4" w:rsidRDefault="00E768F4" w:rsidP="007E043C">
      <w:pPr>
        <w:pStyle w:val="Quote"/>
        <w:spacing w:before="120" w:after="120" w:line="269" w:lineRule="auto"/>
        <w:rPr>
          <w:lang w:val="en-NZ"/>
        </w:rPr>
      </w:pPr>
      <w:r w:rsidRPr="004F016A">
        <w:rPr>
          <w:lang w:val="en-NZ"/>
        </w:rPr>
        <w:t>Again economic power is underemphasised, particularly for Māori, given the historical context. Being able to provide for family is a minimum. Having an abundance of resources and equal opportunities should be the aim, not subsistence</w:t>
      </w:r>
      <w:r>
        <w:rPr>
          <w:lang w:val="en-NZ"/>
        </w:rPr>
        <w:t>.</w:t>
      </w:r>
      <w:r w:rsidRPr="004F016A">
        <w:t xml:space="preserve"> </w:t>
      </w:r>
      <w:r w:rsidR="00CD3BE4">
        <w:rPr>
          <w:lang w:val="en-NZ"/>
        </w:rPr>
        <w:t>[Balance Aotearoa]</w:t>
      </w:r>
    </w:p>
    <w:p w14:paraId="61EA3D19" w14:textId="0EAF9DF1" w:rsidR="00FE3520" w:rsidRDefault="00FA59E6" w:rsidP="00FA59E6">
      <w:pPr>
        <w:pStyle w:val="Quote"/>
      </w:pPr>
      <w:r w:rsidRPr="00FA59E6">
        <w:t>It does not get down to the crux of the matter in that people need to be able to access supports in the first place. People who are already at a disadvantage in location or lack of health/technology literacy are not able to get help where they are and in the manner they need.</w:t>
      </w:r>
      <w:r w:rsidR="00A46919">
        <w:t xml:space="preserve"> </w:t>
      </w:r>
      <w:r w:rsidRPr="00FA59E6">
        <w:t xml:space="preserve">There are so many layers of social disadvantage people have to overcome, access to government departments, healthcare, financial advice and services, communication and decent and </w:t>
      </w:r>
      <w:r w:rsidRPr="00FA59E6">
        <w:lastRenderedPageBreak/>
        <w:t xml:space="preserve">affordable housing are all areas that need to be addressed before we can </w:t>
      </w:r>
      <w:r w:rsidR="007F75F3">
        <w:t>‘</w:t>
      </w:r>
      <w:r w:rsidRPr="00FA59E6">
        <w:t>fix</w:t>
      </w:r>
      <w:r w:rsidR="007F75F3">
        <w:t>’</w:t>
      </w:r>
      <w:r w:rsidRPr="00FA59E6">
        <w:t xml:space="preserve"> the wellbeing issues. [Individual respondent]</w:t>
      </w:r>
    </w:p>
    <w:p w14:paraId="28D4F463" w14:textId="30951242" w:rsidR="00E768F4" w:rsidRDefault="00E768F4" w:rsidP="006D3E49">
      <w:pPr>
        <w:pStyle w:val="Heading4"/>
      </w:pPr>
      <w:r>
        <w:t>Social cohesion</w:t>
      </w:r>
    </w:p>
    <w:p w14:paraId="0CB03C81" w14:textId="4A0A38AC" w:rsidR="00E768F4" w:rsidRPr="00690988" w:rsidRDefault="00E768F4" w:rsidP="007E043C">
      <w:pPr>
        <w:spacing w:after="120" w:line="269" w:lineRule="auto"/>
        <w:rPr>
          <w:lang w:eastAsia="en-NZ"/>
        </w:rPr>
      </w:pPr>
      <w:r>
        <w:rPr>
          <w:lang w:eastAsia="en-NZ"/>
        </w:rPr>
        <w:t>Commenting on the importance of social cohesion and mental wellbeing in relation to COVID-19, the N</w:t>
      </w:r>
      <w:r w:rsidR="00637BFB">
        <w:rPr>
          <w:lang w:eastAsia="en-NZ"/>
        </w:rPr>
        <w:t xml:space="preserve">ew </w:t>
      </w:r>
      <w:r>
        <w:rPr>
          <w:lang w:eastAsia="en-NZ"/>
        </w:rPr>
        <w:t>Z</w:t>
      </w:r>
      <w:r w:rsidR="00637BFB">
        <w:rPr>
          <w:lang w:eastAsia="en-NZ"/>
        </w:rPr>
        <w:t xml:space="preserve">ealand </w:t>
      </w:r>
      <w:r>
        <w:rPr>
          <w:lang w:eastAsia="en-NZ"/>
        </w:rPr>
        <w:t>C</w:t>
      </w:r>
      <w:r w:rsidR="00637BFB">
        <w:rPr>
          <w:lang w:eastAsia="en-NZ"/>
        </w:rPr>
        <w:t xml:space="preserve">ollege of Public Health Medicine </w:t>
      </w:r>
      <w:r>
        <w:rPr>
          <w:lang w:eastAsia="en-NZ"/>
        </w:rPr>
        <w:t>recommended that social cohesion be more strongly embedded in the framework.</w:t>
      </w:r>
    </w:p>
    <w:p w14:paraId="205C22B0" w14:textId="089A6B10" w:rsidR="00FE3520" w:rsidRDefault="00E768F4" w:rsidP="007E043C">
      <w:pPr>
        <w:pStyle w:val="Quote"/>
        <w:spacing w:before="120" w:after="120" w:line="269" w:lineRule="auto"/>
        <w:rPr>
          <w:lang w:eastAsia="en-NZ"/>
        </w:rPr>
      </w:pPr>
      <w:r w:rsidRPr="00690988">
        <w:rPr>
          <w:lang w:eastAsia="en-NZ"/>
        </w:rPr>
        <w:t>New Zealand’s cohesiveness was evident in the early responses to COVID-19. However, this has been challenged since then as decisions made by the Government, individuals and businesses have created tensions in the face of different views of the best path forward and wellbeing is affected.</w:t>
      </w:r>
      <w:r w:rsidR="00CA4C12">
        <w:rPr>
          <w:lang w:eastAsia="en-NZ"/>
        </w:rPr>
        <w:t xml:space="preserve"> </w:t>
      </w:r>
      <w:r w:rsidRPr="00690988">
        <w:rPr>
          <w:lang w:eastAsia="en-NZ"/>
        </w:rPr>
        <w:t xml:space="preserve">To achieve social cohesion, constructive and inclusive decision-making processes are needed that empower communities and foster co-determination; this could be better reflected in the outcomes framework to promote mental wellbeing as we move forward. The NZCPHM acknowledges that the six wellbeing areas includes the concepts of whanaungatanga (connection and belonging) for Māori and the importance of connection and contribution to communities for everyone in Aotearoa. However, we suggest that these areas of wellbeing are further explored to reflect the need order to foster the five key components of social cohesion, as outlined in the Koi </w:t>
      </w:r>
      <w:proofErr w:type="spellStart"/>
      <w:r w:rsidRPr="00690988">
        <w:rPr>
          <w:lang w:eastAsia="en-NZ"/>
        </w:rPr>
        <w:t>Tū</w:t>
      </w:r>
      <w:proofErr w:type="spellEnd"/>
      <w:r w:rsidRPr="00690988">
        <w:rPr>
          <w:lang w:eastAsia="en-NZ"/>
        </w:rPr>
        <w:t xml:space="preserve"> report – belonging, inclusion, participation, recognition, and legitimacy</w:t>
      </w:r>
      <w:r>
        <w:rPr>
          <w:lang w:eastAsia="en-NZ"/>
        </w:rPr>
        <w:t>. [</w:t>
      </w:r>
      <w:r w:rsidR="00637BFB">
        <w:rPr>
          <w:lang w:eastAsia="en-NZ"/>
        </w:rPr>
        <w:t>New Zealand College of Public Health Medicine</w:t>
      </w:r>
      <w:r>
        <w:rPr>
          <w:lang w:eastAsia="en-NZ"/>
        </w:rPr>
        <w:t>]</w:t>
      </w:r>
      <w:bookmarkEnd w:id="40"/>
    </w:p>
    <w:p w14:paraId="29382065" w14:textId="0D30B353" w:rsidR="00851DCC" w:rsidRDefault="00ED7656" w:rsidP="006D3E49">
      <w:pPr>
        <w:pStyle w:val="Heading4"/>
      </w:pPr>
      <w:r w:rsidRPr="00851DCC">
        <w:t>Spirituality</w:t>
      </w:r>
      <w:r w:rsidR="00851DCC">
        <w:t xml:space="preserve"> </w:t>
      </w:r>
    </w:p>
    <w:p w14:paraId="13A209E0" w14:textId="37A46F9F" w:rsidR="00FE3520" w:rsidRDefault="0041479E" w:rsidP="007E043C">
      <w:pPr>
        <w:spacing w:after="120" w:line="269" w:lineRule="auto"/>
      </w:pPr>
      <w:r>
        <w:t xml:space="preserve">Several </w:t>
      </w:r>
      <w:r w:rsidR="0073696C">
        <w:t>respondents</w:t>
      </w:r>
      <w:r>
        <w:t xml:space="preserve"> </w:t>
      </w:r>
      <w:r w:rsidR="0073696C">
        <w:t xml:space="preserve">wanted to see </w:t>
      </w:r>
      <w:r w:rsidR="00ED7656" w:rsidRPr="00ED7656">
        <w:t xml:space="preserve">spirituality and belonging </w:t>
      </w:r>
      <w:r w:rsidR="00B04CCE">
        <w:t>given more prominence</w:t>
      </w:r>
      <w:r w:rsidR="00ED7656" w:rsidRPr="00ED7656">
        <w:t xml:space="preserve"> in</w:t>
      </w:r>
      <w:r w:rsidR="00B04CCE">
        <w:t xml:space="preserve"> </w:t>
      </w:r>
      <w:r w:rsidR="00F04791">
        <w:t xml:space="preserve">the </w:t>
      </w:r>
      <w:r w:rsidR="00F04791" w:rsidRPr="00ED7656">
        <w:t>‘</w:t>
      </w:r>
      <w:r w:rsidR="00F04791">
        <w:t>f</w:t>
      </w:r>
      <w:r w:rsidR="00ED7656" w:rsidRPr="00ED7656">
        <w:t>or everyone in Aotearoa'</w:t>
      </w:r>
      <w:r w:rsidR="00B04CCE">
        <w:t xml:space="preserve"> layer</w:t>
      </w:r>
      <w:r w:rsidR="00ED7656">
        <w:t xml:space="preserve">. </w:t>
      </w:r>
      <w:r w:rsidR="00F04791">
        <w:t xml:space="preserve">As noted previously, </w:t>
      </w:r>
      <w:r w:rsidR="00F04791">
        <w:rPr>
          <w:color w:val="000000" w:themeColor="text1"/>
        </w:rPr>
        <w:t xml:space="preserve">respondents in the </w:t>
      </w:r>
      <w:r w:rsidR="00D97845">
        <w:rPr>
          <w:color w:val="000000" w:themeColor="text1"/>
        </w:rPr>
        <w:t>Pacific</w:t>
      </w:r>
      <w:r w:rsidR="00F04791">
        <w:rPr>
          <w:color w:val="000000" w:themeColor="text1"/>
        </w:rPr>
        <w:t xml:space="preserve"> engagement said that faith and spirituality needed to be more explicit and should be incorporated into a domain name.</w:t>
      </w:r>
    </w:p>
    <w:p w14:paraId="52208790" w14:textId="09AB81DF" w:rsidR="00F46EB8" w:rsidRDefault="00F46EB8" w:rsidP="006D3E49">
      <w:pPr>
        <w:pStyle w:val="Heading4"/>
      </w:pPr>
      <w:r>
        <w:t>Confidence</w:t>
      </w:r>
    </w:p>
    <w:p w14:paraId="4F3BE9AD" w14:textId="4C030744" w:rsidR="001151E2" w:rsidRPr="001151E2" w:rsidRDefault="00BA78D1" w:rsidP="007E043C">
      <w:pPr>
        <w:spacing w:after="120" w:line="269" w:lineRule="auto"/>
        <w:rPr>
          <w:lang w:val="en-NZ"/>
        </w:rPr>
      </w:pPr>
      <w:r>
        <w:rPr>
          <w:lang w:val="en-NZ"/>
        </w:rPr>
        <w:t>One respondent suggested that c</w:t>
      </w:r>
      <w:r w:rsidR="001151E2">
        <w:rPr>
          <w:lang w:val="en-NZ"/>
        </w:rPr>
        <w:t xml:space="preserve">onfidence was </w:t>
      </w:r>
      <w:r w:rsidR="000E7EEA">
        <w:rPr>
          <w:lang w:val="en-NZ"/>
        </w:rPr>
        <w:t xml:space="preserve">an </w:t>
      </w:r>
      <w:r w:rsidR="001151E2">
        <w:rPr>
          <w:lang w:val="en-NZ"/>
        </w:rPr>
        <w:t xml:space="preserve">important concept to explicitly reference. </w:t>
      </w:r>
    </w:p>
    <w:p w14:paraId="1EC0B607" w14:textId="73E920DE" w:rsidR="00FE3520" w:rsidRDefault="00E539D6" w:rsidP="007E043C">
      <w:pPr>
        <w:pStyle w:val="Quote"/>
        <w:spacing w:before="120" w:after="120" w:line="269" w:lineRule="auto"/>
        <w:rPr>
          <w:b/>
          <w:lang w:val="en-NZ"/>
        </w:rPr>
      </w:pPr>
      <w:r w:rsidRPr="008E4D43">
        <w:rPr>
          <w:lang w:val="en-NZ"/>
        </w:rPr>
        <w:t>T</w:t>
      </w:r>
      <w:r w:rsidRPr="00E539D6">
        <w:rPr>
          <w:lang w:val="en-NZ"/>
        </w:rPr>
        <w:t xml:space="preserve">his state of confidence is important, because it is what supports people to engage and seek support through the available avenues when they need this, </w:t>
      </w:r>
      <w:proofErr w:type="spellStart"/>
      <w:r w:rsidRPr="00E539D6">
        <w:rPr>
          <w:lang w:val="en-NZ"/>
        </w:rPr>
        <w:t>ie</w:t>
      </w:r>
      <w:proofErr w:type="spellEnd"/>
      <w:r w:rsidR="008C7C10">
        <w:rPr>
          <w:lang w:val="en-NZ"/>
        </w:rPr>
        <w:t>,</w:t>
      </w:r>
      <w:r w:rsidRPr="00E539D6">
        <w:rPr>
          <w:lang w:val="en-NZ"/>
        </w:rPr>
        <w:t xml:space="preserve"> to access mental health and addiction services. For Pacific Peoples, this state of being confident also supports them to create and deliver their own solutions.</w:t>
      </w:r>
      <w:r w:rsidR="00CA4C12">
        <w:rPr>
          <w:lang w:val="en-NZ"/>
        </w:rPr>
        <w:t xml:space="preserve"> </w:t>
      </w:r>
      <w:r w:rsidR="001151E2" w:rsidRPr="000967E6">
        <w:rPr>
          <w:lang w:val="en-NZ"/>
        </w:rPr>
        <w:t>[</w:t>
      </w:r>
      <w:bookmarkStart w:id="42" w:name="_Hlk53042967"/>
      <w:r w:rsidR="001151E2" w:rsidRPr="000967E6">
        <w:rPr>
          <w:lang w:val="en-NZ"/>
        </w:rPr>
        <w:t>Organisation</w:t>
      </w:r>
      <w:r w:rsidR="000967E6" w:rsidRPr="000967E6">
        <w:rPr>
          <w:lang w:val="en-NZ"/>
        </w:rPr>
        <w:t xml:space="preserve"> – </w:t>
      </w:r>
      <w:r w:rsidR="009E2778">
        <w:rPr>
          <w:lang w:val="en-NZ"/>
        </w:rPr>
        <w:t>did not consent to quotes being attributed</w:t>
      </w:r>
      <w:bookmarkEnd w:id="42"/>
      <w:r w:rsidR="001151E2">
        <w:rPr>
          <w:lang w:val="en-NZ"/>
        </w:rPr>
        <w:t>]</w:t>
      </w:r>
    </w:p>
    <w:p w14:paraId="372C26A3" w14:textId="4A61A340" w:rsidR="00E34A06" w:rsidRDefault="00E34A06" w:rsidP="006D3E49">
      <w:pPr>
        <w:pStyle w:val="Heading4"/>
      </w:pPr>
      <w:r>
        <w:t>Self-actualisation</w:t>
      </w:r>
    </w:p>
    <w:p w14:paraId="32837199" w14:textId="2709EA81" w:rsidR="00FE3520" w:rsidRDefault="00E34A06" w:rsidP="007E043C">
      <w:pPr>
        <w:spacing w:after="120" w:line="269" w:lineRule="auto"/>
        <w:rPr>
          <w:lang w:val="en-NZ"/>
        </w:rPr>
      </w:pPr>
      <w:r>
        <w:rPr>
          <w:lang w:val="en-NZ"/>
        </w:rPr>
        <w:t xml:space="preserve">There was discussion in the lived experience focus group </w:t>
      </w:r>
      <w:r w:rsidR="004601C1">
        <w:rPr>
          <w:lang w:val="en-NZ"/>
        </w:rPr>
        <w:t xml:space="preserve">and from other respondents </w:t>
      </w:r>
      <w:r>
        <w:rPr>
          <w:lang w:val="en-NZ"/>
        </w:rPr>
        <w:t>about including self-actualisation</w:t>
      </w:r>
      <w:r w:rsidR="00F80A32">
        <w:rPr>
          <w:rStyle w:val="FootnoteReference"/>
          <w:lang w:val="en-NZ"/>
        </w:rPr>
        <w:footnoteReference w:id="41"/>
      </w:r>
      <w:r>
        <w:rPr>
          <w:lang w:val="en-NZ"/>
        </w:rPr>
        <w:t xml:space="preserve"> as a concept. Some thought it missing, others questioned whether</w:t>
      </w:r>
      <w:r w:rsidRPr="0047532D">
        <w:rPr>
          <w:lang w:val="en-NZ"/>
        </w:rPr>
        <w:t xml:space="preserve"> people always have to want self-actualisation? </w:t>
      </w:r>
      <w:r>
        <w:rPr>
          <w:lang w:val="en-NZ"/>
        </w:rPr>
        <w:t>(</w:t>
      </w:r>
      <w:r w:rsidR="007F75F3">
        <w:rPr>
          <w:lang w:val="en-NZ"/>
        </w:rPr>
        <w:t>‘</w:t>
      </w:r>
      <w:r w:rsidRPr="0047532D">
        <w:rPr>
          <w:lang w:val="en-NZ"/>
        </w:rPr>
        <w:t xml:space="preserve">Isn’t this a really Western concept </w:t>
      </w:r>
      <w:r w:rsidR="007F75F3">
        <w:rPr>
          <w:lang w:val="en-NZ"/>
        </w:rPr>
        <w:t>‘</w:t>
      </w:r>
      <w:r w:rsidRPr="0047532D">
        <w:rPr>
          <w:lang w:val="en-NZ"/>
        </w:rPr>
        <w:t>fulfilment of talents and potentials</w:t>
      </w:r>
      <w:r w:rsidR="007F75F3">
        <w:rPr>
          <w:lang w:val="en-NZ"/>
        </w:rPr>
        <w:t>’</w:t>
      </w:r>
      <w:r w:rsidRPr="0047532D">
        <w:rPr>
          <w:lang w:val="en-NZ"/>
        </w:rPr>
        <w:t xml:space="preserve"> – I think it is pretty individualist culture</w:t>
      </w:r>
      <w:r>
        <w:rPr>
          <w:lang w:val="en-NZ"/>
        </w:rPr>
        <w:t>.</w:t>
      </w:r>
      <w:r w:rsidR="007F75F3">
        <w:rPr>
          <w:lang w:val="en-NZ"/>
        </w:rPr>
        <w:t>’</w:t>
      </w:r>
      <w:r w:rsidR="009442A4">
        <w:rPr>
          <w:rStyle w:val="FootnoteReference"/>
          <w:lang w:val="en-NZ"/>
        </w:rPr>
        <w:footnoteReference w:id="42"/>
      </w:r>
      <w:r>
        <w:rPr>
          <w:lang w:val="en-NZ"/>
        </w:rPr>
        <w:t>)</w:t>
      </w:r>
    </w:p>
    <w:p w14:paraId="1389B076" w14:textId="6213F3F9" w:rsidR="00E768F4" w:rsidRDefault="00E768F4" w:rsidP="006D3E49">
      <w:pPr>
        <w:pStyle w:val="Heading4"/>
      </w:pPr>
      <w:r>
        <w:lastRenderedPageBreak/>
        <w:t xml:space="preserve">Identity and meaning </w:t>
      </w:r>
    </w:p>
    <w:p w14:paraId="14B1C8C3" w14:textId="77777777" w:rsidR="00400063" w:rsidRPr="00753CD2" w:rsidRDefault="00400063" w:rsidP="00400063">
      <w:pPr>
        <w:spacing w:after="120"/>
      </w:pPr>
      <w:r>
        <w:t>Some respondents from lived experience perspectives felt the notion of identity and meaning was not reflected as strongly as it should, particularly as these are strong elements of addiction recovery frameworks.</w:t>
      </w:r>
    </w:p>
    <w:p w14:paraId="036F8AE1" w14:textId="62476577" w:rsidR="00400063" w:rsidRDefault="00400063" w:rsidP="0080284E">
      <w:pPr>
        <w:pStyle w:val="Quote"/>
      </w:pPr>
      <w:r>
        <w:t>T</w:t>
      </w:r>
      <w:r w:rsidRPr="00B80660">
        <w:t>hey (esp. Identity and Meaning) are not adequately articulated within the six interconnected areas of wellbeing. [Addiction Consumer Leadership Group, Te Pou]</w:t>
      </w:r>
    </w:p>
    <w:p w14:paraId="467B451C" w14:textId="748DEF9C" w:rsidR="00FE3520" w:rsidRDefault="00400063" w:rsidP="00400063">
      <w:pPr>
        <w:spacing w:after="120"/>
      </w:pPr>
      <w:r>
        <w:t xml:space="preserve">We heard in the lived experience focus group how some of the concepts are too individualist and could be framed </w:t>
      </w:r>
      <w:r w:rsidR="00F80A32">
        <w:t>instead in terms of</w:t>
      </w:r>
      <w:r>
        <w:t xml:space="preserve"> reaching for dreams and goals.</w:t>
      </w:r>
    </w:p>
    <w:p w14:paraId="52A0AFAC" w14:textId="77A9C1C3" w:rsidR="00CA6FB1" w:rsidRDefault="00CA6FB1" w:rsidP="006D3E49">
      <w:pPr>
        <w:pStyle w:val="Heading4"/>
      </w:pPr>
      <w:r>
        <w:t>Play</w:t>
      </w:r>
    </w:p>
    <w:p w14:paraId="197CB88D" w14:textId="42D6AAB7" w:rsidR="004601C1" w:rsidRDefault="004601C1" w:rsidP="007E043C">
      <w:pPr>
        <w:spacing w:after="120" w:line="269" w:lineRule="auto"/>
        <w:rPr>
          <w:lang w:val="en-NZ" w:eastAsia="en-GB"/>
        </w:rPr>
      </w:pPr>
      <w:r>
        <w:rPr>
          <w:lang w:val="en-NZ" w:eastAsia="en-GB"/>
        </w:rPr>
        <w:t xml:space="preserve">The New Zealand Psychological Society noted that the </w:t>
      </w:r>
      <w:r w:rsidR="00CA6FB1" w:rsidRPr="00CA6FB1">
        <w:rPr>
          <w:lang w:val="en-NZ" w:eastAsia="en-GB"/>
        </w:rPr>
        <w:t xml:space="preserve">concept </w:t>
      </w:r>
      <w:r>
        <w:rPr>
          <w:lang w:val="en-NZ" w:eastAsia="en-GB"/>
        </w:rPr>
        <w:t>of play</w:t>
      </w:r>
      <w:r w:rsidR="00CA6FB1" w:rsidRPr="00CA6FB1">
        <w:rPr>
          <w:lang w:val="en-NZ" w:eastAsia="en-GB"/>
        </w:rPr>
        <w:t xml:space="preserve"> is missing</w:t>
      </w:r>
      <w:r>
        <w:rPr>
          <w:lang w:val="en-NZ" w:eastAsia="en-GB"/>
        </w:rPr>
        <w:t>.</w:t>
      </w:r>
    </w:p>
    <w:p w14:paraId="4A3F9F17" w14:textId="77777777" w:rsidR="00FE3520" w:rsidRDefault="004601C1" w:rsidP="007E043C">
      <w:pPr>
        <w:pStyle w:val="Quote"/>
        <w:spacing w:before="120" w:after="120" w:line="269" w:lineRule="auto"/>
        <w:rPr>
          <w:lang w:val="en-NZ" w:eastAsia="en-GB"/>
        </w:rPr>
      </w:pPr>
      <w:r>
        <w:rPr>
          <w:lang w:val="en-NZ" w:eastAsia="en-GB"/>
        </w:rPr>
        <w:t>F</w:t>
      </w:r>
      <w:r w:rsidR="00CA6FB1" w:rsidRPr="00CA6FB1">
        <w:rPr>
          <w:lang w:val="en-NZ" w:eastAsia="en-GB"/>
        </w:rPr>
        <w:t>or children the ability (space, time, permission) to play is vital for mental health and wellbeing. It is also a very important aspect of adult wellbeing that is often overlooked</w:t>
      </w:r>
      <w:r>
        <w:rPr>
          <w:lang w:val="en-NZ" w:eastAsia="en-GB"/>
        </w:rPr>
        <w:t xml:space="preserve">. </w:t>
      </w:r>
      <w:r w:rsidR="00CA6FB1">
        <w:rPr>
          <w:lang w:val="en-NZ" w:eastAsia="en-GB"/>
        </w:rPr>
        <w:t>[</w:t>
      </w:r>
      <w:r w:rsidR="00CA6FB1" w:rsidRPr="00CA6FB1">
        <w:rPr>
          <w:lang w:val="en-NZ" w:eastAsia="en-GB"/>
        </w:rPr>
        <w:t>New Zealand Psychological Society</w:t>
      </w:r>
      <w:r w:rsidR="00CA6FB1">
        <w:rPr>
          <w:lang w:val="en-NZ" w:eastAsia="en-GB"/>
        </w:rPr>
        <w:t>]</w:t>
      </w:r>
    </w:p>
    <w:p w14:paraId="440AFB06" w14:textId="021712FA" w:rsidR="00E34A06" w:rsidRDefault="006D3E49" w:rsidP="006D3E49">
      <w:pPr>
        <w:pStyle w:val="Heading4"/>
      </w:pPr>
      <w:r>
        <w:t>Ancestral lands</w:t>
      </w:r>
    </w:p>
    <w:p w14:paraId="0F31F5B9" w14:textId="3CB96354" w:rsidR="000E619B" w:rsidRPr="000E619B" w:rsidRDefault="000E619B" w:rsidP="007E043C">
      <w:pPr>
        <w:spacing w:after="120" w:line="269" w:lineRule="auto"/>
        <w:rPr>
          <w:lang w:val="en-NZ" w:eastAsia="en-GB"/>
        </w:rPr>
      </w:pPr>
      <w:r>
        <w:rPr>
          <w:lang w:val="en-NZ" w:eastAsia="en-GB"/>
        </w:rPr>
        <w:t>One respondent considered it important to include actions for engaging with and using ancestral lands.</w:t>
      </w:r>
    </w:p>
    <w:p w14:paraId="42D2407E" w14:textId="6CF05F6D" w:rsidR="00FE3520" w:rsidRDefault="00E34A06" w:rsidP="007E043C">
      <w:pPr>
        <w:pStyle w:val="Quote"/>
        <w:spacing w:before="120" w:after="120" w:line="269" w:lineRule="auto"/>
        <w:rPr>
          <w:lang w:val="en-NZ"/>
        </w:rPr>
      </w:pPr>
      <w:r w:rsidRPr="00110026">
        <w:rPr>
          <w:lang w:val="en-NZ"/>
        </w:rPr>
        <w:t xml:space="preserve">This may include enacting </w:t>
      </w:r>
      <w:proofErr w:type="spellStart"/>
      <w:r w:rsidRPr="00110026">
        <w:rPr>
          <w:lang w:val="en-NZ"/>
        </w:rPr>
        <w:t>kaitiakitanga</w:t>
      </w:r>
      <w:proofErr w:type="spellEnd"/>
      <w:r w:rsidRPr="00110026">
        <w:rPr>
          <w:lang w:val="en-NZ"/>
        </w:rPr>
        <w:t xml:space="preserve">, enacting kai gathering, enacting </w:t>
      </w:r>
      <w:proofErr w:type="spellStart"/>
      <w:r w:rsidRPr="00110026">
        <w:rPr>
          <w:lang w:val="en-NZ"/>
        </w:rPr>
        <w:t>rongo</w:t>
      </w:r>
      <w:r w:rsidR="008C7C10">
        <w:rPr>
          <w:lang w:val="en-NZ"/>
        </w:rPr>
        <w:t>ā</w:t>
      </w:r>
      <w:proofErr w:type="spellEnd"/>
      <w:r w:rsidRPr="00110026">
        <w:rPr>
          <w:lang w:val="en-NZ"/>
        </w:rPr>
        <w:t xml:space="preserve"> practices</w:t>
      </w:r>
      <w:r>
        <w:rPr>
          <w:lang w:val="en-NZ"/>
        </w:rPr>
        <w:t xml:space="preserve">. </w:t>
      </w:r>
      <w:r w:rsidR="00862F07">
        <w:rPr>
          <w:lang w:val="en-NZ"/>
        </w:rPr>
        <w:t>[Individual respondent]</w:t>
      </w:r>
    </w:p>
    <w:p w14:paraId="2F4259FA" w14:textId="05C71DE3" w:rsidR="00F132A7" w:rsidRDefault="00F132A7" w:rsidP="006D3E49">
      <w:pPr>
        <w:pStyle w:val="Heading4"/>
      </w:pPr>
      <w:r>
        <w:t>Environment</w:t>
      </w:r>
    </w:p>
    <w:p w14:paraId="6AF780E5" w14:textId="715E7A4A" w:rsidR="00DE4217" w:rsidRDefault="00DE4217" w:rsidP="007E043C">
      <w:pPr>
        <w:spacing w:after="120" w:line="269" w:lineRule="auto"/>
        <w:rPr>
          <w:lang w:val="en-NZ" w:eastAsia="en-GB"/>
        </w:rPr>
      </w:pPr>
      <w:r>
        <w:rPr>
          <w:lang w:val="en-NZ" w:eastAsia="en-GB"/>
        </w:rPr>
        <w:t>Several respondents wanted the natural environment to have a greater emphasis</w:t>
      </w:r>
      <w:r w:rsidR="00483317">
        <w:rPr>
          <w:lang w:val="en-NZ" w:eastAsia="en-GB"/>
        </w:rPr>
        <w:t xml:space="preserve"> due to its important for everybody’s wellbeing</w:t>
      </w:r>
      <w:r>
        <w:rPr>
          <w:lang w:val="en-NZ" w:eastAsia="en-GB"/>
        </w:rPr>
        <w:t xml:space="preserve">. </w:t>
      </w:r>
    </w:p>
    <w:p w14:paraId="1A03FBC1" w14:textId="77777777" w:rsidR="00FE3520" w:rsidRDefault="00483317" w:rsidP="007E043C">
      <w:pPr>
        <w:pStyle w:val="Quote"/>
        <w:spacing w:before="120" w:after="120" w:line="269" w:lineRule="auto"/>
        <w:rPr>
          <w:lang w:val="en-NZ" w:eastAsia="en-GB"/>
        </w:rPr>
      </w:pPr>
      <w:r w:rsidRPr="00483317">
        <w:rPr>
          <w:lang w:val="en-NZ" w:eastAsia="en-GB"/>
        </w:rPr>
        <w:t>While there are several references to the environment across a number of areas in the framework, there is no mention of climate change or planetary health (which includes climate change but also the integrity of natural ecosystems, use of land, pollution, biodiversity, health of the oceans and rivers, etc).We suggest that it would be useful for the framework to specifically identify planetary health given its central importance to human health and wellbeing.</w:t>
      </w:r>
      <w:r>
        <w:rPr>
          <w:lang w:val="en-NZ" w:eastAsia="en-GB"/>
        </w:rPr>
        <w:t>[New Zealand Medical Association]</w:t>
      </w:r>
    </w:p>
    <w:p w14:paraId="14DEE646" w14:textId="5950298F" w:rsidR="00F0755E" w:rsidRDefault="00BF1683" w:rsidP="00D65A4B">
      <w:pPr>
        <w:pStyle w:val="Heading2"/>
      </w:pPr>
      <w:bookmarkStart w:id="43" w:name="_Toc56063537"/>
      <w:r>
        <w:t xml:space="preserve">Suggestions about </w:t>
      </w:r>
      <w:r w:rsidR="00190A79">
        <w:t xml:space="preserve">each </w:t>
      </w:r>
      <w:r>
        <w:t>domain</w:t>
      </w:r>
      <w:bookmarkEnd w:id="43"/>
    </w:p>
    <w:p w14:paraId="1B50560C" w14:textId="27D6ED8A" w:rsidR="00852DD2" w:rsidRDefault="008331EA" w:rsidP="00952126">
      <w:pPr>
        <w:pStyle w:val="Heading4"/>
      </w:pPr>
      <w:r>
        <w:t>Domain 1 for</w:t>
      </w:r>
      <w:r w:rsidR="00D8144E">
        <w:t xml:space="preserve"> Māori as tangata whenua</w:t>
      </w:r>
      <w:r w:rsidR="00D97845">
        <w:t xml:space="preserve"> – </w:t>
      </w:r>
      <w:proofErr w:type="spellStart"/>
      <w:r w:rsidR="000535AF" w:rsidRPr="000535AF">
        <w:t>whakaaetanga</w:t>
      </w:r>
      <w:proofErr w:type="spellEnd"/>
      <w:r w:rsidR="000535AF">
        <w:t xml:space="preserve"> (acceptance) and manaakitanga (love and compassion)</w:t>
      </w:r>
    </w:p>
    <w:p w14:paraId="0480CB26" w14:textId="71675923" w:rsidR="002729D2" w:rsidRPr="002729D2" w:rsidRDefault="002729D2" w:rsidP="007E043C">
      <w:pPr>
        <w:spacing w:after="120" w:line="269" w:lineRule="auto"/>
      </w:pPr>
      <w:r>
        <w:t xml:space="preserve">Further to the </w:t>
      </w:r>
      <w:r w:rsidR="008866F4">
        <w:t xml:space="preserve">comments about the need for care with the language, respondents had specific questions about the term used in this domain. </w:t>
      </w:r>
    </w:p>
    <w:p w14:paraId="030D3EB6" w14:textId="2A8C6CD3" w:rsidR="00852DD2" w:rsidRPr="00852DD2" w:rsidRDefault="00852DD2" w:rsidP="007E043C">
      <w:pPr>
        <w:pStyle w:val="Quote"/>
        <w:spacing w:before="120" w:after="120" w:line="269" w:lineRule="auto"/>
        <w:rPr>
          <w:lang w:val="en-NZ" w:eastAsia="en-GB"/>
        </w:rPr>
      </w:pPr>
      <w:r w:rsidRPr="00852DD2">
        <w:rPr>
          <w:lang w:val="en-NZ" w:eastAsia="en-GB"/>
        </w:rPr>
        <w:t xml:space="preserve">We would also query what is meant by </w:t>
      </w:r>
      <w:proofErr w:type="spellStart"/>
      <w:r w:rsidRPr="00852DD2">
        <w:rPr>
          <w:lang w:val="en-NZ" w:eastAsia="en-GB"/>
        </w:rPr>
        <w:t>whakaaetanga</w:t>
      </w:r>
      <w:proofErr w:type="spellEnd"/>
      <w:r w:rsidRPr="00852DD2">
        <w:rPr>
          <w:lang w:val="en-NZ" w:eastAsia="en-GB"/>
        </w:rPr>
        <w:t xml:space="preserve">? This term typically means that you are agreeing or that you’re compliant rather than ‘acceptance’. We are assuming this is intended to mean acceptance from others (as opposed to stigma)? Furthermore, </w:t>
      </w:r>
      <w:proofErr w:type="spellStart"/>
      <w:r w:rsidRPr="00852DD2">
        <w:rPr>
          <w:lang w:val="en-NZ" w:eastAsia="en-GB"/>
        </w:rPr>
        <w:t>whakaaetanga</w:t>
      </w:r>
      <w:proofErr w:type="spellEnd"/>
      <w:r w:rsidRPr="00852DD2">
        <w:rPr>
          <w:lang w:val="en-NZ" w:eastAsia="en-GB"/>
        </w:rPr>
        <w:t xml:space="preserve"> could be explained in the diagram and linked to wellbeing</w:t>
      </w:r>
      <w:r w:rsidR="008331EA">
        <w:rPr>
          <w:lang w:val="en-NZ" w:eastAsia="en-GB"/>
        </w:rPr>
        <w:t xml:space="preserve">. </w:t>
      </w:r>
      <w:r w:rsidR="00A5414B">
        <w:rPr>
          <w:lang w:val="en-NZ" w:eastAsia="en-GB"/>
        </w:rPr>
        <w:t>[New Zealand Psychological Society]</w:t>
      </w:r>
    </w:p>
    <w:p w14:paraId="433F7B9D" w14:textId="77777777" w:rsidR="00FE3520" w:rsidRDefault="008E5906" w:rsidP="007E043C">
      <w:pPr>
        <w:pStyle w:val="Quote"/>
        <w:spacing w:before="120" w:after="120" w:line="269" w:lineRule="auto"/>
        <w:rPr>
          <w:lang w:val="en-NZ" w:eastAsia="en-GB"/>
        </w:rPr>
      </w:pPr>
      <w:r w:rsidRPr="00C65CF0">
        <w:rPr>
          <w:lang w:val="en-NZ" w:eastAsia="en-GB"/>
        </w:rPr>
        <w:lastRenderedPageBreak/>
        <w:t>In relation to the description of ‘</w:t>
      </w:r>
      <w:proofErr w:type="spellStart"/>
      <w:r w:rsidRPr="00C65CF0">
        <w:rPr>
          <w:lang w:val="en-NZ" w:eastAsia="en-GB"/>
        </w:rPr>
        <w:t>whakaaetanga</w:t>
      </w:r>
      <w:proofErr w:type="spellEnd"/>
      <w:r w:rsidRPr="00C65CF0">
        <w:rPr>
          <w:lang w:val="en-NZ" w:eastAsia="en-GB"/>
        </w:rPr>
        <w:t xml:space="preserve"> and manaakitanga’, while we do not deny that </w:t>
      </w:r>
      <w:proofErr w:type="spellStart"/>
      <w:r w:rsidRPr="00C65CF0">
        <w:rPr>
          <w:lang w:val="en-NZ" w:eastAsia="en-GB"/>
        </w:rPr>
        <w:t>ritenga</w:t>
      </w:r>
      <w:proofErr w:type="spellEnd"/>
      <w:r w:rsidRPr="00C65CF0">
        <w:rPr>
          <w:lang w:val="en-NZ" w:eastAsia="en-GB"/>
        </w:rPr>
        <w:t xml:space="preserve"> Māori, tikanga Māori and mātauranga Māori certainly fall under the ambit of manaakitanga, they are equally as descriptive of wairuatanga because they provide the connection between te </w:t>
      </w:r>
      <w:proofErr w:type="spellStart"/>
      <w:r w:rsidRPr="00C65CF0">
        <w:rPr>
          <w:lang w:val="en-NZ" w:eastAsia="en-GB"/>
        </w:rPr>
        <w:t>ira</w:t>
      </w:r>
      <w:proofErr w:type="spellEnd"/>
      <w:r w:rsidRPr="00C65CF0">
        <w:rPr>
          <w:lang w:val="en-NZ" w:eastAsia="en-GB"/>
        </w:rPr>
        <w:t xml:space="preserve"> tangata (the human aspect) and te </w:t>
      </w:r>
      <w:proofErr w:type="spellStart"/>
      <w:r w:rsidRPr="00C65CF0">
        <w:rPr>
          <w:lang w:val="en-NZ" w:eastAsia="en-GB"/>
        </w:rPr>
        <w:t>ira</w:t>
      </w:r>
      <w:proofErr w:type="spellEnd"/>
      <w:r w:rsidRPr="00C65CF0">
        <w:rPr>
          <w:lang w:val="en-NZ" w:eastAsia="en-GB"/>
        </w:rPr>
        <w:t xml:space="preserve"> </w:t>
      </w:r>
      <w:proofErr w:type="spellStart"/>
      <w:r w:rsidRPr="00C65CF0">
        <w:rPr>
          <w:lang w:val="en-NZ" w:eastAsia="en-GB"/>
        </w:rPr>
        <w:t>atua</w:t>
      </w:r>
      <w:proofErr w:type="spellEnd"/>
      <w:r w:rsidRPr="00C65CF0">
        <w:rPr>
          <w:lang w:val="en-NZ" w:eastAsia="en-GB"/>
        </w:rPr>
        <w:t xml:space="preserve"> (the divine aspect), yet remain unmentioned in that area. Perhaps this tends to highlight the arbitrary distinctions which can be made where ‘areas of wellbeing’ are separated.</w:t>
      </w:r>
      <w:r>
        <w:rPr>
          <w:lang w:val="en-NZ" w:eastAsia="en-GB"/>
        </w:rPr>
        <w:t xml:space="preserve"> [</w:t>
      </w:r>
      <w:r w:rsidRPr="00D24DDE">
        <w:rPr>
          <w:lang w:val="en-NZ" w:eastAsia="en-GB"/>
        </w:rPr>
        <w:t>Te Pūtahitanga o Te Waipounamu</w:t>
      </w:r>
      <w:r>
        <w:rPr>
          <w:lang w:val="en-NZ" w:eastAsia="en-GB"/>
        </w:rPr>
        <w:t>]</w:t>
      </w:r>
    </w:p>
    <w:p w14:paraId="4D7CA081" w14:textId="37402C59" w:rsidR="00C059B1" w:rsidRDefault="00C059B1" w:rsidP="00C059B1">
      <w:pPr>
        <w:pStyle w:val="Heading4"/>
      </w:pPr>
      <w:r>
        <w:t>Domain 1 for Pacific peoples</w:t>
      </w:r>
      <w:r w:rsidR="00D97845">
        <w:t xml:space="preserve"> – </w:t>
      </w:r>
      <w:r>
        <w:t>safe and nurtured</w:t>
      </w:r>
    </w:p>
    <w:p w14:paraId="35C3C9EB" w14:textId="65CB7DFB" w:rsidR="00595A71" w:rsidRPr="00E77F0A" w:rsidRDefault="00595A71" w:rsidP="00595A71">
      <w:pPr>
        <w:spacing w:after="120" w:line="269" w:lineRule="auto"/>
        <w:rPr>
          <w:color w:val="000000" w:themeColor="text1"/>
        </w:rPr>
      </w:pPr>
      <w:r>
        <w:t xml:space="preserve">Respondents suggested </w:t>
      </w:r>
      <w:r>
        <w:rPr>
          <w:color w:val="000000" w:themeColor="text1"/>
        </w:rPr>
        <w:t xml:space="preserve">using </w:t>
      </w:r>
      <w:r w:rsidRPr="00831074">
        <w:rPr>
          <w:color w:val="000000" w:themeColor="text1"/>
        </w:rPr>
        <w:t>more accessible</w:t>
      </w:r>
      <w:r>
        <w:rPr>
          <w:color w:val="000000" w:themeColor="text1"/>
        </w:rPr>
        <w:t xml:space="preserve"> and inclusive language. Pacific</w:t>
      </w:r>
      <w:r w:rsidRPr="00831074">
        <w:rPr>
          <w:color w:val="000000" w:themeColor="text1"/>
        </w:rPr>
        <w:t xml:space="preserve"> language</w:t>
      </w:r>
      <w:r>
        <w:rPr>
          <w:color w:val="000000" w:themeColor="text1"/>
        </w:rPr>
        <w:t>s</w:t>
      </w:r>
      <w:r w:rsidRPr="00831074">
        <w:rPr>
          <w:color w:val="000000" w:themeColor="text1"/>
        </w:rPr>
        <w:t xml:space="preserve"> </w:t>
      </w:r>
      <w:r>
        <w:rPr>
          <w:color w:val="000000" w:themeColor="text1"/>
        </w:rPr>
        <w:t>would</w:t>
      </w:r>
      <w:r w:rsidRPr="00831074">
        <w:rPr>
          <w:color w:val="000000" w:themeColor="text1"/>
        </w:rPr>
        <w:t xml:space="preserve"> best express cultural principles </w:t>
      </w:r>
      <w:r>
        <w:rPr>
          <w:color w:val="000000" w:themeColor="text1"/>
        </w:rPr>
        <w:t>(</w:t>
      </w:r>
      <w:proofErr w:type="spellStart"/>
      <w:r w:rsidR="005C5A8F">
        <w:rPr>
          <w:color w:val="000000" w:themeColor="text1"/>
        </w:rPr>
        <w:t>eg</w:t>
      </w:r>
      <w:proofErr w:type="spellEnd"/>
      <w:r w:rsidR="005C5A8F">
        <w:rPr>
          <w:color w:val="000000" w:themeColor="text1"/>
        </w:rPr>
        <w:t>,</w:t>
      </w:r>
      <w:r w:rsidR="00796BDB">
        <w:rPr>
          <w:color w:val="000000" w:themeColor="text1"/>
        </w:rPr>
        <w:t xml:space="preserve"> </w:t>
      </w:r>
      <w:proofErr w:type="spellStart"/>
      <w:r w:rsidRPr="00831074">
        <w:rPr>
          <w:color w:val="000000" w:themeColor="text1"/>
        </w:rPr>
        <w:t>va</w:t>
      </w:r>
      <w:proofErr w:type="spellEnd"/>
      <w:r w:rsidRPr="00831074">
        <w:rPr>
          <w:color w:val="000000" w:themeColor="text1"/>
        </w:rPr>
        <w:t xml:space="preserve">, </w:t>
      </w:r>
      <w:proofErr w:type="spellStart"/>
      <w:r w:rsidRPr="00831074">
        <w:rPr>
          <w:color w:val="000000" w:themeColor="text1"/>
        </w:rPr>
        <w:t>feagaiga</w:t>
      </w:r>
      <w:proofErr w:type="spellEnd"/>
      <w:r>
        <w:rPr>
          <w:color w:val="000000" w:themeColor="text1"/>
        </w:rPr>
        <w:t xml:space="preserve"> (Samoan)).</w:t>
      </w:r>
      <w:r w:rsidR="00796BDB">
        <w:rPr>
          <w:color w:val="000000" w:themeColor="text1"/>
        </w:rPr>
        <w:t xml:space="preserve"> </w:t>
      </w:r>
      <w:r>
        <w:rPr>
          <w:color w:val="000000" w:themeColor="text1"/>
        </w:rPr>
        <w:t xml:space="preserve">It was a common feature throughout </w:t>
      </w:r>
      <w:proofErr w:type="gramStart"/>
      <w:r>
        <w:rPr>
          <w:color w:val="000000" w:themeColor="text1"/>
        </w:rPr>
        <w:t>all of</w:t>
      </w:r>
      <w:proofErr w:type="gramEnd"/>
      <w:r>
        <w:rPr>
          <w:color w:val="000000" w:themeColor="text1"/>
        </w:rPr>
        <w:t xml:space="preserve"> the talanoa sessions that the </w:t>
      </w:r>
      <w:r>
        <w:t>descriptor should include reference to faith and spirituality</w:t>
      </w:r>
      <w:r w:rsidRPr="00E77F0A">
        <w:t>.</w:t>
      </w:r>
      <w:r w:rsidR="00796BDB">
        <w:t xml:space="preserve"> </w:t>
      </w:r>
    </w:p>
    <w:p w14:paraId="64E3F76E" w14:textId="426A844D" w:rsidR="00C059B1" w:rsidRDefault="00C059B1" w:rsidP="00C059B1">
      <w:pPr>
        <w:spacing w:after="120" w:line="269" w:lineRule="auto"/>
      </w:pPr>
      <w:r>
        <w:rPr>
          <w:color w:val="000000" w:themeColor="text1"/>
        </w:rPr>
        <w:t>Respondents noted that communities are very diverse</w:t>
      </w:r>
      <w:r w:rsidR="00E77F0A">
        <w:rPr>
          <w:color w:val="000000" w:themeColor="text1"/>
        </w:rPr>
        <w:t>.</w:t>
      </w:r>
      <w:r w:rsidR="00A46919">
        <w:rPr>
          <w:color w:val="000000" w:themeColor="text1"/>
        </w:rPr>
        <w:t xml:space="preserve"> </w:t>
      </w:r>
      <w:r w:rsidR="00E77F0A">
        <w:rPr>
          <w:color w:val="000000" w:themeColor="text1"/>
        </w:rPr>
        <w:t>They</w:t>
      </w:r>
      <w:r>
        <w:rPr>
          <w:color w:val="000000" w:themeColor="text1"/>
        </w:rPr>
        <w:t xml:space="preserve"> suggested that the descriptor</w:t>
      </w:r>
      <w:r w:rsidRPr="00831074">
        <w:rPr>
          <w:color w:val="000000" w:themeColor="text1"/>
        </w:rPr>
        <w:t xml:space="preserve"> could be more inclusive when referencing diversity </w:t>
      </w:r>
      <w:r>
        <w:rPr>
          <w:color w:val="000000" w:themeColor="text1"/>
        </w:rPr>
        <w:t>(</w:t>
      </w:r>
      <w:r w:rsidRPr="00831074">
        <w:rPr>
          <w:color w:val="000000" w:themeColor="text1"/>
        </w:rPr>
        <w:t xml:space="preserve">within </w:t>
      </w:r>
      <w:r>
        <w:rPr>
          <w:color w:val="000000" w:themeColor="text1"/>
        </w:rPr>
        <w:t xml:space="preserve">Pacific </w:t>
      </w:r>
      <w:r w:rsidRPr="00831074">
        <w:rPr>
          <w:color w:val="000000" w:themeColor="text1"/>
        </w:rPr>
        <w:t>culture</w:t>
      </w:r>
      <w:r>
        <w:rPr>
          <w:color w:val="000000" w:themeColor="text1"/>
        </w:rPr>
        <w:t>s and for those ‘</w:t>
      </w:r>
      <w:r w:rsidRPr="006561EB">
        <w:rPr>
          <w:color w:val="000000" w:themeColor="text1"/>
        </w:rPr>
        <w:t>part Pasifika and part non-Pasifika’</w:t>
      </w:r>
      <w:r>
        <w:rPr>
          <w:color w:val="000000" w:themeColor="text1"/>
        </w:rPr>
        <w:t>) and</w:t>
      </w:r>
      <w:r w:rsidRPr="00831074">
        <w:rPr>
          <w:color w:val="000000" w:themeColor="text1"/>
        </w:rPr>
        <w:t xml:space="preserve"> locality (</w:t>
      </w:r>
      <w:r w:rsidR="005C5A8F">
        <w:rPr>
          <w:color w:val="000000" w:themeColor="text1"/>
        </w:rPr>
        <w:t xml:space="preserve">eg, </w:t>
      </w:r>
      <w:r w:rsidRPr="00831074">
        <w:rPr>
          <w:color w:val="000000" w:themeColor="text1"/>
        </w:rPr>
        <w:t>N</w:t>
      </w:r>
      <w:r>
        <w:rPr>
          <w:color w:val="000000" w:themeColor="text1"/>
        </w:rPr>
        <w:t xml:space="preserve">ew </w:t>
      </w:r>
      <w:r w:rsidRPr="00831074">
        <w:rPr>
          <w:color w:val="000000" w:themeColor="text1"/>
        </w:rPr>
        <w:t>Z</w:t>
      </w:r>
      <w:r>
        <w:rPr>
          <w:color w:val="000000" w:themeColor="text1"/>
        </w:rPr>
        <w:t>ealand</w:t>
      </w:r>
      <w:r w:rsidRPr="00831074">
        <w:rPr>
          <w:color w:val="000000" w:themeColor="text1"/>
        </w:rPr>
        <w:t xml:space="preserve"> </w:t>
      </w:r>
      <w:proofErr w:type="gramStart"/>
      <w:r w:rsidRPr="00831074">
        <w:rPr>
          <w:color w:val="000000" w:themeColor="text1"/>
        </w:rPr>
        <w:t>born</w:t>
      </w:r>
      <w:proofErr w:type="gramEnd"/>
      <w:r w:rsidRPr="00831074">
        <w:rPr>
          <w:color w:val="000000" w:themeColor="text1"/>
        </w:rPr>
        <w:t xml:space="preserve"> </w:t>
      </w:r>
      <w:r>
        <w:rPr>
          <w:color w:val="000000" w:themeColor="text1"/>
        </w:rPr>
        <w:t>and</w:t>
      </w:r>
      <w:r w:rsidRPr="00831074">
        <w:rPr>
          <w:color w:val="000000" w:themeColor="text1"/>
        </w:rPr>
        <w:t xml:space="preserve"> Island born)</w:t>
      </w:r>
      <w:r>
        <w:rPr>
          <w:color w:val="000000" w:themeColor="text1"/>
        </w:rPr>
        <w:t xml:space="preserve">. </w:t>
      </w:r>
      <w:r w:rsidR="00E77F0A">
        <w:rPr>
          <w:color w:val="000000" w:themeColor="text1"/>
        </w:rPr>
        <w:t>The descriptor</w:t>
      </w:r>
      <w:r>
        <w:rPr>
          <w:color w:val="000000" w:themeColor="text1"/>
        </w:rPr>
        <w:t xml:space="preserve"> should also </w:t>
      </w:r>
      <w:r>
        <w:t>recognise that Pacific peoples live (and move) in Aotearoa and across the Pacific</w:t>
      </w:r>
      <w:r w:rsidR="00E77F0A">
        <w:t>.</w:t>
      </w:r>
      <w:r>
        <w:t xml:space="preserve"> </w:t>
      </w:r>
    </w:p>
    <w:p w14:paraId="1E9B0532" w14:textId="33E16DCA" w:rsidR="00C059B1" w:rsidRDefault="00E77F0A" w:rsidP="00C059B1">
      <w:pPr>
        <w:spacing w:after="120" w:line="269" w:lineRule="auto"/>
      </w:pPr>
      <w:r>
        <w:rPr>
          <w:color w:val="000000" w:themeColor="text1"/>
        </w:rPr>
        <w:t>T</w:t>
      </w:r>
      <w:r w:rsidR="00C059B1">
        <w:rPr>
          <w:color w:val="000000" w:themeColor="text1"/>
        </w:rPr>
        <w:t>he definition of ‘cohesion’</w:t>
      </w:r>
      <w:r>
        <w:rPr>
          <w:color w:val="000000" w:themeColor="text1"/>
        </w:rPr>
        <w:t xml:space="preserve"> was questioned</w:t>
      </w:r>
      <w:r w:rsidR="00C059B1">
        <w:rPr>
          <w:color w:val="000000" w:themeColor="text1"/>
        </w:rPr>
        <w:t>, in the sentence ‘</w:t>
      </w:r>
      <w:r w:rsidR="00C059B1" w:rsidRPr="0004464A">
        <w:rPr>
          <w:color w:val="000000" w:themeColor="text1"/>
        </w:rPr>
        <w:t>Pacific communities maintain their cohesion and cultural integrity with strong relationships</w:t>
      </w:r>
      <w:proofErr w:type="gramStart"/>
      <w:r w:rsidR="00C059B1" w:rsidRPr="0004464A">
        <w:rPr>
          <w:color w:val="000000" w:themeColor="text1"/>
        </w:rPr>
        <w:t xml:space="preserve">’ </w:t>
      </w:r>
      <w:r>
        <w:rPr>
          <w:color w:val="000000" w:themeColor="text1"/>
        </w:rPr>
        <w:t>.</w:t>
      </w:r>
      <w:proofErr w:type="gramEnd"/>
      <w:r>
        <w:rPr>
          <w:color w:val="000000" w:themeColor="text1"/>
        </w:rPr>
        <w:t xml:space="preserve"> It was </w:t>
      </w:r>
      <w:r w:rsidR="00C059B1">
        <w:rPr>
          <w:color w:val="000000" w:themeColor="text1"/>
        </w:rPr>
        <w:t xml:space="preserve">suggested this should be ‘social cohesion’. Another suggestion was to </w:t>
      </w:r>
      <w:r w:rsidR="00C059B1">
        <w:t>replace ‘cohesion’ with ‘collectivity’</w:t>
      </w:r>
      <w:r>
        <w:t>.</w:t>
      </w:r>
    </w:p>
    <w:p w14:paraId="66CF1BBE" w14:textId="69930850" w:rsidR="006A0B12" w:rsidRDefault="00367AB8" w:rsidP="00952126">
      <w:pPr>
        <w:pStyle w:val="Heading4"/>
      </w:pPr>
      <w:r>
        <w:t>Domain 1 for everyone</w:t>
      </w:r>
      <w:r w:rsidR="000535AF">
        <w:t xml:space="preserve"> in Aotearoa</w:t>
      </w:r>
      <w:r w:rsidR="00D97845">
        <w:t xml:space="preserve"> – </w:t>
      </w:r>
      <w:r w:rsidR="00CC4102">
        <w:t>s</w:t>
      </w:r>
      <w:r>
        <w:t>afe and nurtured</w:t>
      </w:r>
    </w:p>
    <w:p w14:paraId="68CFD01A" w14:textId="541B8237" w:rsidR="00D8144E" w:rsidRDefault="008E5906" w:rsidP="007E043C">
      <w:pPr>
        <w:spacing w:after="120" w:line="269" w:lineRule="auto"/>
        <w:rPr>
          <w:lang w:val="en-NZ" w:eastAsia="en-GB"/>
        </w:rPr>
      </w:pPr>
      <w:r>
        <w:rPr>
          <w:lang w:val="en-NZ" w:eastAsia="en-GB"/>
        </w:rPr>
        <w:t xml:space="preserve">There was </w:t>
      </w:r>
      <w:r w:rsidR="00D202C6">
        <w:rPr>
          <w:lang w:val="en-NZ" w:eastAsia="en-GB"/>
        </w:rPr>
        <w:t>wide</w:t>
      </w:r>
      <w:r w:rsidR="007A583A">
        <w:rPr>
          <w:lang w:val="en-NZ" w:eastAsia="en-GB"/>
        </w:rPr>
        <w:t xml:space="preserve"> support for the </w:t>
      </w:r>
      <w:r w:rsidR="00367AB8">
        <w:rPr>
          <w:lang w:val="en-NZ" w:eastAsia="en-GB"/>
        </w:rPr>
        <w:t>use of the word nurtured</w:t>
      </w:r>
      <w:r w:rsidR="007A583A">
        <w:rPr>
          <w:lang w:val="en-NZ" w:eastAsia="en-GB"/>
        </w:rPr>
        <w:t xml:space="preserve">, </w:t>
      </w:r>
      <w:r w:rsidR="00D8144E">
        <w:rPr>
          <w:lang w:val="en-NZ" w:eastAsia="en-GB"/>
        </w:rPr>
        <w:t xml:space="preserve">however </w:t>
      </w:r>
      <w:r w:rsidR="00190A79">
        <w:rPr>
          <w:lang w:val="en-NZ" w:eastAsia="en-GB"/>
        </w:rPr>
        <w:t>some respondents felt other words would be more suitable:</w:t>
      </w:r>
    </w:p>
    <w:p w14:paraId="3918510E" w14:textId="0786A995" w:rsidR="007A583A" w:rsidRDefault="007A583A" w:rsidP="007E043C">
      <w:pPr>
        <w:pStyle w:val="Quote"/>
        <w:spacing w:before="120" w:after="120" w:line="269" w:lineRule="auto"/>
        <w:rPr>
          <w:lang w:val="en-NZ" w:eastAsia="en-GB"/>
        </w:rPr>
      </w:pPr>
      <w:r w:rsidRPr="007A583A">
        <w:rPr>
          <w:lang w:val="en-NZ" w:eastAsia="en-GB"/>
        </w:rPr>
        <w:t>‘</w:t>
      </w:r>
      <w:r w:rsidR="00AA319E">
        <w:rPr>
          <w:lang w:val="en-NZ" w:eastAsia="en-GB"/>
        </w:rPr>
        <w:t>N</w:t>
      </w:r>
      <w:r w:rsidRPr="007A583A">
        <w:rPr>
          <w:lang w:val="en-NZ" w:eastAsia="en-GB"/>
        </w:rPr>
        <w:t>urture’ speaks more to younger age groups and ‘support’ or ‘interdependence’ may be more relatable concepts for adults and older age groups. Simply changing the wording from ‘nurtured’ to ‘supported’ could open engagement with a wider group of people</w:t>
      </w:r>
      <w:r w:rsidR="00D8144E">
        <w:rPr>
          <w:lang w:val="en-NZ" w:eastAsia="en-GB"/>
        </w:rPr>
        <w:t>.</w:t>
      </w:r>
      <w:r w:rsidR="00190A79">
        <w:rPr>
          <w:lang w:val="en-NZ" w:eastAsia="en-GB"/>
        </w:rPr>
        <w:t xml:space="preserve"> [Age Concern NZ]</w:t>
      </w:r>
    </w:p>
    <w:p w14:paraId="17D15B1E" w14:textId="45C438C3" w:rsidR="00190A79" w:rsidRDefault="00190A79" w:rsidP="007E043C">
      <w:pPr>
        <w:pStyle w:val="Quote"/>
        <w:spacing w:before="120" w:after="120" w:line="269" w:lineRule="auto"/>
      </w:pPr>
      <w:r w:rsidRPr="0088349E">
        <w:t>I feel it is important for all people in Aotearoa to feel acceptance, love and compassion, think they are better words than safe and nurtured.</w:t>
      </w:r>
      <w:r>
        <w:t xml:space="preserve"> [Individual respondent]</w:t>
      </w:r>
    </w:p>
    <w:p w14:paraId="22A3D208" w14:textId="166566E4" w:rsidR="00BF1683" w:rsidRDefault="006C1FB9" w:rsidP="007E043C">
      <w:pPr>
        <w:spacing w:after="120" w:line="269" w:lineRule="auto"/>
        <w:rPr>
          <w:lang w:val="en-NZ" w:eastAsia="en-GB"/>
        </w:rPr>
      </w:pPr>
      <w:r>
        <w:rPr>
          <w:lang w:val="en-NZ" w:eastAsia="en-GB"/>
        </w:rPr>
        <w:t xml:space="preserve">Several respondents saw safety as separate from nurture. </w:t>
      </w:r>
      <w:r w:rsidRPr="00B3723B">
        <w:rPr>
          <w:lang w:val="en-NZ" w:eastAsia="en-GB"/>
        </w:rPr>
        <w:t>T</w:t>
      </w:r>
      <w:r w:rsidR="00123111" w:rsidRPr="00B3723B">
        <w:rPr>
          <w:lang w:val="en-NZ" w:eastAsia="en-GB"/>
        </w:rPr>
        <w:t xml:space="preserve">here </w:t>
      </w:r>
      <w:r w:rsidRPr="00B3723B">
        <w:rPr>
          <w:lang w:val="en-NZ" w:eastAsia="en-GB"/>
        </w:rPr>
        <w:t>could even be a</w:t>
      </w:r>
      <w:r w:rsidR="00123111" w:rsidRPr="00B3723B">
        <w:rPr>
          <w:lang w:val="en-NZ" w:eastAsia="en-GB"/>
        </w:rPr>
        <w:t xml:space="preserve"> tension between these</w:t>
      </w:r>
      <w:r w:rsidRPr="00B3723B">
        <w:rPr>
          <w:lang w:val="en-NZ" w:eastAsia="en-GB"/>
        </w:rPr>
        <w:t xml:space="preserve"> concepts</w:t>
      </w:r>
      <w:r w:rsidR="00A5414B" w:rsidRPr="00B3723B">
        <w:rPr>
          <w:lang w:val="en-NZ" w:eastAsia="en-GB"/>
        </w:rPr>
        <w:t xml:space="preserve">. </w:t>
      </w:r>
      <w:r w:rsidR="00340EF1" w:rsidRPr="00B3723B">
        <w:rPr>
          <w:lang w:val="en-NZ" w:eastAsia="en-GB"/>
        </w:rPr>
        <w:t xml:space="preserve">As discussed previously (see page </w:t>
      </w:r>
      <w:r w:rsidR="00340EF1" w:rsidRPr="00B3723B">
        <w:rPr>
          <w:lang w:val="en-NZ" w:eastAsia="en-GB"/>
        </w:rPr>
        <w:fldChar w:fldCharType="begin"/>
      </w:r>
      <w:r w:rsidR="00340EF1" w:rsidRPr="00B3723B">
        <w:rPr>
          <w:lang w:val="en-NZ" w:eastAsia="en-GB"/>
        </w:rPr>
        <w:instrText xml:space="preserve"> PAGEREF _Ref51225860 \h </w:instrText>
      </w:r>
      <w:r w:rsidR="00340EF1" w:rsidRPr="00B3723B">
        <w:rPr>
          <w:lang w:val="en-NZ" w:eastAsia="en-GB"/>
        </w:rPr>
      </w:r>
      <w:r w:rsidR="00340EF1" w:rsidRPr="00B3723B">
        <w:rPr>
          <w:lang w:val="en-NZ" w:eastAsia="en-GB"/>
        </w:rPr>
        <w:fldChar w:fldCharType="separate"/>
      </w:r>
      <w:r w:rsidR="002512BA">
        <w:rPr>
          <w:noProof/>
          <w:lang w:val="en-NZ" w:eastAsia="en-GB"/>
        </w:rPr>
        <w:t>25</w:t>
      </w:r>
      <w:r w:rsidR="00340EF1" w:rsidRPr="00B3723B">
        <w:rPr>
          <w:lang w:val="en-NZ" w:eastAsia="en-GB"/>
        </w:rPr>
        <w:fldChar w:fldCharType="end"/>
      </w:r>
      <w:r w:rsidR="00340EF1">
        <w:rPr>
          <w:lang w:val="en-NZ" w:eastAsia="en-GB"/>
        </w:rPr>
        <w:t xml:space="preserve">) safety could be </w:t>
      </w:r>
      <w:r w:rsidR="00BF1683">
        <w:rPr>
          <w:lang w:val="en-NZ" w:eastAsia="en-GB"/>
        </w:rPr>
        <w:t xml:space="preserve">woven throughout </w:t>
      </w:r>
      <w:r w:rsidR="00340EF1">
        <w:rPr>
          <w:lang w:val="en-NZ" w:eastAsia="en-GB"/>
        </w:rPr>
        <w:t xml:space="preserve">the </w:t>
      </w:r>
      <w:r w:rsidR="00BF1683">
        <w:rPr>
          <w:lang w:val="en-NZ" w:eastAsia="en-GB"/>
        </w:rPr>
        <w:t xml:space="preserve">domains or </w:t>
      </w:r>
      <w:r w:rsidR="00340EF1">
        <w:rPr>
          <w:lang w:val="en-NZ" w:eastAsia="en-GB"/>
        </w:rPr>
        <w:t xml:space="preserve">be </w:t>
      </w:r>
      <w:r w:rsidR="00D8144E">
        <w:rPr>
          <w:lang w:val="en-NZ" w:eastAsia="en-GB"/>
        </w:rPr>
        <w:t>a</w:t>
      </w:r>
      <w:r w:rsidR="00BF1683">
        <w:rPr>
          <w:lang w:val="en-NZ" w:eastAsia="en-GB"/>
        </w:rPr>
        <w:t xml:space="preserve"> separate </w:t>
      </w:r>
      <w:r w:rsidR="00D8144E">
        <w:rPr>
          <w:lang w:val="en-NZ" w:eastAsia="en-GB"/>
        </w:rPr>
        <w:t xml:space="preserve">domain. </w:t>
      </w:r>
    </w:p>
    <w:p w14:paraId="3A0EBF95" w14:textId="44EE516B" w:rsidR="008E5906" w:rsidRPr="00367AB8" w:rsidRDefault="006C1FB9" w:rsidP="007E043C">
      <w:pPr>
        <w:pBdr>
          <w:top w:val="nil"/>
          <w:left w:val="nil"/>
          <w:bottom w:val="nil"/>
          <w:right w:val="nil"/>
          <w:between w:val="nil"/>
        </w:pBdr>
        <w:spacing w:after="120" w:line="269" w:lineRule="auto"/>
        <w:rPr>
          <w:lang w:val="en-NZ" w:eastAsia="en-GB"/>
        </w:rPr>
      </w:pPr>
      <w:r>
        <w:rPr>
          <w:lang w:val="en-NZ" w:eastAsia="en-GB"/>
        </w:rPr>
        <w:t>Although appreciating the positive language used in the framework, some participants in the lived experience focus group wanted to see freedom from violence and abuse as a specific outcome in the framework.</w:t>
      </w:r>
      <w:r w:rsidR="005D5176">
        <w:rPr>
          <w:lang w:val="en-NZ" w:eastAsia="en-GB"/>
        </w:rPr>
        <w:t xml:space="preserve"> This domain</w:t>
      </w:r>
      <w:r w:rsidR="005D5176" w:rsidRPr="005D5176">
        <w:rPr>
          <w:lang w:val="en-NZ" w:eastAsia="en-GB"/>
        </w:rPr>
        <w:t xml:space="preserve"> </w:t>
      </w:r>
      <w:r w:rsidR="005D5176">
        <w:rPr>
          <w:lang w:val="en-NZ" w:eastAsia="en-GB"/>
        </w:rPr>
        <w:t xml:space="preserve">should also cover having a safe place to go, and safety in services. </w:t>
      </w:r>
      <w:r w:rsidR="008E5906">
        <w:rPr>
          <w:lang w:val="en-NZ" w:eastAsia="en-GB"/>
        </w:rPr>
        <w:t>One respondent suggested adding integrity to this domain.</w:t>
      </w:r>
    </w:p>
    <w:p w14:paraId="3A92500F" w14:textId="4BBDC1AE" w:rsidR="008E5906" w:rsidRPr="000E1B70" w:rsidRDefault="008E5906" w:rsidP="007E043C">
      <w:pPr>
        <w:pBdr>
          <w:top w:val="nil"/>
          <w:left w:val="nil"/>
          <w:bottom w:val="nil"/>
          <w:right w:val="nil"/>
          <w:between w:val="nil"/>
        </w:pBdr>
        <w:spacing w:after="120" w:line="269" w:lineRule="auto"/>
        <w:rPr>
          <w:lang w:val="en-NZ" w:eastAsia="en-GB"/>
        </w:rPr>
      </w:pPr>
      <w:r>
        <w:rPr>
          <w:lang w:val="en-NZ" w:eastAsia="en-GB"/>
        </w:rPr>
        <w:t xml:space="preserve">In relation to </w:t>
      </w:r>
      <w:r w:rsidR="00A5414B">
        <w:rPr>
          <w:lang w:val="en-NZ" w:eastAsia="en-GB"/>
        </w:rPr>
        <w:t xml:space="preserve">the previously noted point that </w:t>
      </w:r>
      <w:r>
        <w:rPr>
          <w:lang w:val="en-NZ" w:eastAsia="en-GB"/>
        </w:rPr>
        <w:t>it was not always desirable or possible</w:t>
      </w:r>
      <w:r w:rsidR="00A5414B">
        <w:rPr>
          <w:lang w:val="en-NZ" w:eastAsia="en-GB"/>
        </w:rPr>
        <w:t xml:space="preserve"> to</w:t>
      </w:r>
      <w:r w:rsidR="00A5414B" w:rsidRPr="00A5414B">
        <w:rPr>
          <w:lang w:val="en-NZ" w:eastAsia="en-GB"/>
        </w:rPr>
        <w:t xml:space="preserve"> </w:t>
      </w:r>
      <w:r w:rsidR="00A5414B">
        <w:rPr>
          <w:lang w:val="en-NZ" w:eastAsia="en-GB"/>
        </w:rPr>
        <w:t>‘</w:t>
      </w:r>
      <w:r w:rsidR="00A5414B" w:rsidRPr="007F07EE">
        <w:rPr>
          <w:lang w:val="en-NZ" w:eastAsia="en-GB"/>
        </w:rPr>
        <w:t>reconnect people with their family</w:t>
      </w:r>
      <w:r w:rsidR="00A5414B">
        <w:rPr>
          <w:lang w:val="en-NZ" w:eastAsia="en-GB"/>
        </w:rPr>
        <w:t>’,</w:t>
      </w:r>
      <w:r>
        <w:rPr>
          <w:lang w:val="en-NZ" w:eastAsia="en-GB"/>
        </w:rPr>
        <w:t xml:space="preserve"> </w:t>
      </w:r>
      <w:r w:rsidR="00A5414B">
        <w:rPr>
          <w:lang w:val="en-NZ" w:eastAsia="en-GB"/>
        </w:rPr>
        <w:t>a</w:t>
      </w:r>
      <w:r w:rsidRPr="007F07EE">
        <w:rPr>
          <w:lang w:val="en-NZ" w:eastAsia="en-GB"/>
        </w:rPr>
        <w:t xml:space="preserve"> small change </w:t>
      </w:r>
      <w:r w:rsidR="00A5414B">
        <w:rPr>
          <w:lang w:val="en-NZ" w:eastAsia="en-GB"/>
        </w:rPr>
        <w:t xml:space="preserve">was suggested, </w:t>
      </w:r>
      <w:r w:rsidRPr="007F07EE">
        <w:rPr>
          <w:lang w:val="en-NZ" w:eastAsia="en-GB"/>
        </w:rPr>
        <w:t>such as ‘People have a sense of security and belonging in a family and/or social group...</w:t>
      </w:r>
      <w:r w:rsidR="00223C9F">
        <w:rPr>
          <w:lang w:val="en-NZ" w:eastAsia="en-GB"/>
        </w:rPr>
        <w:t xml:space="preserve"> .</w:t>
      </w:r>
      <w:r w:rsidRPr="007F07EE">
        <w:rPr>
          <w:lang w:val="en-NZ" w:eastAsia="en-GB"/>
        </w:rPr>
        <w:t>’</w:t>
      </w:r>
      <w:r w:rsidR="00AA319E">
        <w:rPr>
          <w:rStyle w:val="FootnoteReference"/>
          <w:lang w:val="en-NZ" w:eastAsia="en-GB"/>
        </w:rPr>
        <w:footnoteReference w:id="43"/>
      </w:r>
      <w:r w:rsidR="00CA4C12">
        <w:rPr>
          <w:lang w:val="en-NZ" w:eastAsia="en-GB"/>
        </w:rPr>
        <w:t xml:space="preserve"> </w:t>
      </w:r>
      <w:r w:rsidR="005D5176">
        <w:rPr>
          <w:lang w:val="en-NZ" w:eastAsia="en-GB"/>
        </w:rPr>
        <w:t xml:space="preserve">Such a change would </w:t>
      </w:r>
      <w:r w:rsidRPr="007F07EE">
        <w:rPr>
          <w:lang w:val="en-NZ" w:eastAsia="en-GB"/>
        </w:rPr>
        <w:lastRenderedPageBreak/>
        <w:t>leave space for alternative ways of being</w:t>
      </w:r>
      <w:r>
        <w:rPr>
          <w:lang w:val="en-NZ" w:eastAsia="en-GB"/>
        </w:rPr>
        <w:t>.</w:t>
      </w:r>
      <w:r>
        <w:rPr>
          <w:color w:val="FF0000"/>
          <w:lang w:val="en-NZ" w:eastAsia="en-GB"/>
        </w:rPr>
        <w:t xml:space="preserve"> </w:t>
      </w:r>
      <w:r w:rsidR="000E1B70">
        <w:rPr>
          <w:lang w:val="en-NZ" w:eastAsia="en-GB"/>
        </w:rPr>
        <w:t xml:space="preserve">Similarly, participants in the </w:t>
      </w:r>
      <w:r w:rsidR="00D97845">
        <w:rPr>
          <w:lang w:val="en-NZ" w:eastAsia="en-GB"/>
        </w:rPr>
        <w:t>Pacific</w:t>
      </w:r>
      <w:r w:rsidR="000E1B70">
        <w:rPr>
          <w:lang w:val="en-NZ" w:eastAsia="en-GB"/>
        </w:rPr>
        <w:t xml:space="preserve"> </w:t>
      </w:r>
      <w:r w:rsidR="00AA319E">
        <w:rPr>
          <w:lang w:val="en-NZ" w:eastAsia="en-GB"/>
        </w:rPr>
        <w:t>engagement</w:t>
      </w:r>
      <w:r w:rsidR="000E1B70">
        <w:rPr>
          <w:lang w:val="en-NZ" w:eastAsia="en-GB"/>
        </w:rPr>
        <w:t xml:space="preserve"> </w:t>
      </w:r>
      <w:r w:rsidR="00AA319E">
        <w:rPr>
          <w:color w:val="000000" w:themeColor="text1"/>
        </w:rPr>
        <w:t>suggested</w:t>
      </w:r>
      <w:r w:rsidR="000E1B70" w:rsidRPr="00831074">
        <w:rPr>
          <w:color w:val="000000" w:themeColor="text1"/>
        </w:rPr>
        <w:t xml:space="preserve"> </w:t>
      </w:r>
      <w:r w:rsidR="000E1B70">
        <w:rPr>
          <w:color w:val="000000" w:themeColor="text1"/>
        </w:rPr>
        <w:t xml:space="preserve">including </w:t>
      </w:r>
      <w:r w:rsidR="000E1B70" w:rsidRPr="00831074">
        <w:rPr>
          <w:color w:val="000000" w:themeColor="text1"/>
        </w:rPr>
        <w:t>other wh</w:t>
      </w:r>
      <w:r w:rsidR="00307777">
        <w:rPr>
          <w:color w:val="000000" w:themeColor="text1"/>
        </w:rPr>
        <w:t>ā</w:t>
      </w:r>
      <w:r w:rsidR="000E1B70" w:rsidRPr="00831074">
        <w:rPr>
          <w:color w:val="000000" w:themeColor="text1"/>
        </w:rPr>
        <w:t xml:space="preserve">nau-like groups </w:t>
      </w:r>
      <w:r w:rsidR="00F80A32">
        <w:rPr>
          <w:color w:val="000000" w:themeColor="text1"/>
        </w:rPr>
        <w:t>such as</w:t>
      </w:r>
      <w:r w:rsidR="000E1B70" w:rsidRPr="00831074">
        <w:rPr>
          <w:color w:val="000000" w:themeColor="text1"/>
        </w:rPr>
        <w:t xml:space="preserve"> church</w:t>
      </w:r>
      <w:r w:rsidR="00F80A32">
        <w:rPr>
          <w:color w:val="000000" w:themeColor="text1"/>
        </w:rPr>
        <w:t xml:space="preserve"> communities</w:t>
      </w:r>
      <w:r w:rsidR="00AA319E">
        <w:rPr>
          <w:color w:val="000000" w:themeColor="text1"/>
        </w:rPr>
        <w:t>.</w:t>
      </w:r>
    </w:p>
    <w:p w14:paraId="623CCF74" w14:textId="69DB5692" w:rsidR="00372175" w:rsidRDefault="00BD01ED" w:rsidP="007E043C">
      <w:pPr>
        <w:spacing w:after="120" w:line="269" w:lineRule="auto"/>
        <w:rPr>
          <w:lang w:val="en-NZ" w:eastAsia="en-GB"/>
        </w:rPr>
      </w:pPr>
      <w:r>
        <w:rPr>
          <w:lang w:val="en-NZ" w:eastAsia="en-GB"/>
        </w:rPr>
        <w:t>In relation to the sentence</w:t>
      </w:r>
      <w:r w:rsidR="00372175" w:rsidRPr="00372175">
        <w:rPr>
          <w:lang w:val="en-NZ" w:eastAsia="en-GB"/>
        </w:rPr>
        <w:t xml:space="preserve"> </w:t>
      </w:r>
      <w:r>
        <w:rPr>
          <w:lang w:val="en-NZ" w:eastAsia="en-GB"/>
        </w:rPr>
        <w:t>‘</w:t>
      </w:r>
      <w:r w:rsidR="00372175" w:rsidRPr="00372175">
        <w:rPr>
          <w:lang w:val="en-NZ" w:eastAsia="en-GB"/>
        </w:rPr>
        <w:t>People have the economic resources needed to provide for their children, grandchildren, and other dependants.</w:t>
      </w:r>
      <w:r>
        <w:rPr>
          <w:lang w:val="en-NZ" w:eastAsia="en-GB"/>
        </w:rPr>
        <w:t>’</w:t>
      </w:r>
      <w:r w:rsidR="00372175" w:rsidRPr="00372175">
        <w:rPr>
          <w:lang w:val="en-NZ" w:eastAsia="en-GB"/>
        </w:rPr>
        <w:t xml:space="preserve"> </w:t>
      </w:r>
      <w:r>
        <w:rPr>
          <w:lang w:val="en-NZ" w:eastAsia="en-GB"/>
        </w:rPr>
        <w:t xml:space="preserve">It was suggested that this be restated to </w:t>
      </w:r>
      <w:r w:rsidR="008969E1">
        <w:rPr>
          <w:lang w:val="en-NZ" w:eastAsia="en-GB"/>
        </w:rPr>
        <w:t xml:space="preserve">read </w:t>
      </w:r>
      <w:r>
        <w:rPr>
          <w:lang w:val="en-NZ" w:eastAsia="en-GB"/>
        </w:rPr>
        <w:t>‘</w:t>
      </w:r>
      <w:r w:rsidR="00372175" w:rsidRPr="00372175">
        <w:rPr>
          <w:lang w:val="en-NZ" w:eastAsia="en-GB"/>
        </w:rPr>
        <w:t xml:space="preserve">People have the economic resources needed to provide for </w:t>
      </w:r>
      <w:r w:rsidR="00372175" w:rsidRPr="00BD01ED">
        <w:rPr>
          <w:u w:val="single"/>
          <w:lang w:val="en-NZ" w:eastAsia="en-GB"/>
        </w:rPr>
        <w:t>themselves</w:t>
      </w:r>
      <w:r w:rsidR="00372175" w:rsidRPr="00372175">
        <w:rPr>
          <w:lang w:val="en-NZ" w:eastAsia="en-GB"/>
        </w:rPr>
        <w:t>,</w:t>
      </w:r>
      <w:r w:rsidR="00CA4C12">
        <w:rPr>
          <w:lang w:val="en-NZ" w:eastAsia="en-GB"/>
        </w:rPr>
        <w:t xml:space="preserve"> </w:t>
      </w:r>
      <w:r w:rsidR="00372175" w:rsidRPr="00372175">
        <w:rPr>
          <w:lang w:val="en-NZ" w:eastAsia="en-GB"/>
        </w:rPr>
        <w:t>their children, grandchildren, and other dependants.</w:t>
      </w:r>
      <w:r>
        <w:rPr>
          <w:lang w:val="en-NZ" w:eastAsia="en-GB"/>
        </w:rPr>
        <w:t>’</w:t>
      </w:r>
      <w:r w:rsidR="00F80A32">
        <w:rPr>
          <w:rStyle w:val="FootnoteReference"/>
          <w:lang w:val="en-NZ" w:eastAsia="en-GB"/>
        </w:rPr>
        <w:footnoteReference w:id="44"/>
      </w:r>
      <w:r w:rsidRPr="00BD01ED">
        <w:rPr>
          <w:lang w:val="en-NZ" w:eastAsia="en-GB"/>
        </w:rPr>
        <w:t xml:space="preserve"> </w:t>
      </w:r>
      <w:r>
        <w:rPr>
          <w:lang w:val="en-NZ" w:eastAsia="en-GB"/>
        </w:rPr>
        <w:t>This amendment relate</w:t>
      </w:r>
      <w:r w:rsidR="00D202C6">
        <w:rPr>
          <w:lang w:val="en-NZ" w:eastAsia="en-GB"/>
        </w:rPr>
        <w:t>d</w:t>
      </w:r>
      <w:r>
        <w:rPr>
          <w:lang w:val="en-NZ" w:eastAsia="en-GB"/>
        </w:rPr>
        <w:t xml:space="preserve"> to m</w:t>
      </w:r>
      <w:r w:rsidRPr="00372175">
        <w:rPr>
          <w:lang w:val="en-NZ" w:eastAsia="en-GB"/>
        </w:rPr>
        <w:t>any children and young people need</w:t>
      </w:r>
      <w:r>
        <w:rPr>
          <w:lang w:val="en-NZ" w:eastAsia="en-GB"/>
        </w:rPr>
        <w:t>ing</w:t>
      </w:r>
      <w:r w:rsidRPr="00372175">
        <w:rPr>
          <w:lang w:val="en-NZ" w:eastAsia="en-GB"/>
        </w:rPr>
        <w:t xml:space="preserve"> (and </w:t>
      </w:r>
      <w:r>
        <w:rPr>
          <w:lang w:val="en-NZ" w:eastAsia="en-GB"/>
        </w:rPr>
        <w:t>being</w:t>
      </w:r>
      <w:r w:rsidRPr="00372175">
        <w:rPr>
          <w:lang w:val="en-NZ" w:eastAsia="en-GB"/>
        </w:rPr>
        <w:t xml:space="preserve"> entitled to) independent economic resources (</w:t>
      </w:r>
      <w:r w:rsidR="00F80A32">
        <w:rPr>
          <w:lang w:val="en-NZ" w:eastAsia="en-GB"/>
        </w:rPr>
        <w:t>including</w:t>
      </w:r>
      <w:r w:rsidRPr="00372175">
        <w:rPr>
          <w:lang w:val="en-NZ" w:eastAsia="en-GB"/>
        </w:rPr>
        <w:t xml:space="preserve"> children in state care).</w:t>
      </w:r>
    </w:p>
    <w:p w14:paraId="6C4AE6BF" w14:textId="5BB7FD2E" w:rsidR="00DE4217" w:rsidRDefault="005D5176" w:rsidP="007E043C">
      <w:pPr>
        <w:spacing w:after="120" w:line="269" w:lineRule="auto"/>
      </w:pPr>
      <w:r>
        <w:rPr>
          <w:lang w:val="en-NZ" w:eastAsia="en-GB"/>
        </w:rPr>
        <w:t>Thinking about the outcome</w:t>
      </w:r>
      <w:r>
        <w:t xml:space="preserve"> </w:t>
      </w:r>
      <w:r w:rsidRPr="005D5176">
        <w:t>‘People have a sense of security and belonging in a family and social group, and can form meaningful relationships’</w:t>
      </w:r>
      <w:r>
        <w:t xml:space="preserve">, one respondent </w:t>
      </w:r>
      <w:r>
        <w:rPr>
          <w:lang w:val="en-NZ" w:eastAsia="en-GB"/>
        </w:rPr>
        <w:t>noted that b</w:t>
      </w:r>
      <w:r w:rsidR="00360B5F" w:rsidRPr="003A082D">
        <w:rPr>
          <w:lang w:val="en-NZ" w:eastAsia="en-GB"/>
        </w:rPr>
        <w:t xml:space="preserve">elonging </w:t>
      </w:r>
      <w:r>
        <w:rPr>
          <w:lang w:val="en-NZ" w:eastAsia="en-GB"/>
        </w:rPr>
        <w:t>while</w:t>
      </w:r>
      <w:r w:rsidR="00360B5F">
        <w:rPr>
          <w:lang w:val="en-NZ" w:eastAsia="en-GB"/>
        </w:rPr>
        <w:t xml:space="preserve"> </w:t>
      </w:r>
      <w:r w:rsidR="00DE4217">
        <w:rPr>
          <w:lang w:val="en-NZ" w:eastAsia="en-GB"/>
        </w:rPr>
        <w:t>critically important</w:t>
      </w:r>
      <w:r w:rsidR="00360B5F">
        <w:rPr>
          <w:lang w:val="en-NZ" w:eastAsia="en-GB"/>
        </w:rPr>
        <w:t xml:space="preserve">, could be difficult for </w:t>
      </w:r>
      <w:r w:rsidR="00BD79B3">
        <w:rPr>
          <w:lang w:val="en-NZ" w:eastAsia="en-GB"/>
        </w:rPr>
        <w:t>some people if they don’t feel they belong anywhere</w:t>
      </w:r>
      <w:r w:rsidR="00360B5F" w:rsidRPr="005D5176">
        <w:t>.</w:t>
      </w:r>
      <w:r w:rsidR="00DE4217">
        <w:t xml:space="preserve">The lived experience focus group noted belonging was not only an ethnic or geographic concept, however ‘as </w:t>
      </w:r>
      <w:proofErr w:type="spellStart"/>
      <w:r w:rsidR="00DE4217">
        <w:t>Pākehā</w:t>
      </w:r>
      <w:proofErr w:type="spellEnd"/>
      <w:r w:rsidR="00DE4217">
        <w:t xml:space="preserve"> it can be difficult to claim belonging, not to Europe or to here – it’s difficult for New Zealanders, and would be great to talk about more’.</w:t>
      </w:r>
    </w:p>
    <w:p w14:paraId="4E516A47" w14:textId="4EEB7A1C" w:rsidR="00FE3520" w:rsidRDefault="00837F86" w:rsidP="007E043C">
      <w:pPr>
        <w:spacing w:after="120" w:line="269" w:lineRule="auto"/>
      </w:pPr>
      <w:r>
        <w:t xml:space="preserve">There was also a suggestion that </w:t>
      </w:r>
      <w:r w:rsidRPr="00837F86">
        <w:t xml:space="preserve">environmental health </w:t>
      </w:r>
      <w:r>
        <w:t xml:space="preserve">was referenced under this domain </w:t>
      </w:r>
      <w:r w:rsidR="002E573B">
        <w:t>‘</w:t>
      </w:r>
      <w:r w:rsidRPr="00837F86">
        <w:t xml:space="preserve">similar to how it is mentioned in the te ao Māori side, as statistics </w:t>
      </w:r>
      <w:r w:rsidR="002E573B">
        <w:t>…[show]</w:t>
      </w:r>
      <w:r w:rsidRPr="00837F86">
        <w:t xml:space="preserve"> that anxiety about climate change and generational climate grief is cited by rangatahi as one of the largest challenges for their mental health</w:t>
      </w:r>
      <w:r w:rsidR="00223C9F">
        <w:t>.</w:t>
      </w:r>
      <w:r w:rsidR="002E573B">
        <w:t>’</w:t>
      </w:r>
      <w:r w:rsidR="002E573B">
        <w:rPr>
          <w:rStyle w:val="FootnoteReference"/>
        </w:rPr>
        <w:footnoteReference w:id="45"/>
      </w:r>
    </w:p>
    <w:p w14:paraId="1D62B7E7" w14:textId="10CA821F" w:rsidR="00D8144E" w:rsidRDefault="00D8144E" w:rsidP="00952126">
      <w:pPr>
        <w:pStyle w:val="Heading4"/>
      </w:pPr>
      <w:r>
        <w:t>Domain 2 for Māori as tangata whenua</w:t>
      </w:r>
      <w:r w:rsidR="00D97845">
        <w:t xml:space="preserve"> – </w:t>
      </w:r>
      <w:proofErr w:type="spellStart"/>
      <w:r>
        <w:t>oranga</w:t>
      </w:r>
      <w:proofErr w:type="spellEnd"/>
    </w:p>
    <w:p w14:paraId="4709F67F" w14:textId="381A6B3C" w:rsidR="00797B86" w:rsidRDefault="00825F79" w:rsidP="007E043C">
      <w:pPr>
        <w:spacing w:after="120" w:line="269" w:lineRule="auto"/>
        <w:rPr>
          <w:lang w:val="en-NZ" w:eastAsia="en-GB"/>
        </w:rPr>
      </w:pPr>
      <w:r>
        <w:rPr>
          <w:lang w:val="en-NZ" w:eastAsia="en-GB"/>
        </w:rPr>
        <w:t>The focus</w:t>
      </w:r>
      <w:r w:rsidRPr="00825F79">
        <w:rPr>
          <w:lang w:val="en-NZ" w:eastAsia="en-GB"/>
        </w:rPr>
        <w:t xml:space="preserve"> on equitable health outcomes for </w:t>
      </w:r>
      <w:r w:rsidR="00A14C43">
        <w:rPr>
          <w:lang w:val="en-NZ" w:eastAsia="en-GB"/>
        </w:rPr>
        <w:t xml:space="preserve">Māori </w:t>
      </w:r>
      <w:r>
        <w:rPr>
          <w:lang w:val="en-NZ" w:eastAsia="en-GB"/>
        </w:rPr>
        <w:t xml:space="preserve">was </w:t>
      </w:r>
      <w:r w:rsidR="008969E1">
        <w:rPr>
          <w:lang w:val="en-NZ" w:eastAsia="en-GB"/>
        </w:rPr>
        <w:t>strongly supported</w:t>
      </w:r>
      <w:r w:rsidR="00796BDB">
        <w:rPr>
          <w:lang w:val="en-NZ" w:eastAsia="en-GB"/>
        </w:rPr>
        <w:t>. H</w:t>
      </w:r>
      <w:r>
        <w:rPr>
          <w:lang w:val="en-NZ" w:eastAsia="en-GB"/>
        </w:rPr>
        <w:t>owever, t</w:t>
      </w:r>
      <w:r w:rsidR="008E5906" w:rsidRPr="00451875">
        <w:rPr>
          <w:lang w:val="en-NZ" w:eastAsia="en-GB"/>
        </w:rPr>
        <w:t>he descript</w:t>
      </w:r>
      <w:r w:rsidR="00797B86">
        <w:rPr>
          <w:lang w:val="en-NZ" w:eastAsia="en-GB"/>
        </w:rPr>
        <w:t>or</w:t>
      </w:r>
      <w:r w:rsidR="008E5906" w:rsidRPr="00451875">
        <w:rPr>
          <w:lang w:val="en-NZ" w:eastAsia="en-GB"/>
        </w:rPr>
        <w:t xml:space="preserve"> </w:t>
      </w:r>
      <w:r w:rsidR="008E5906">
        <w:rPr>
          <w:lang w:val="en-NZ" w:eastAsia="en-GB"/>
        </w:rPr>
        <w:t>for this domain was thought</w:t>
      </w:r>
      <w:r w:rsidR="008E5906" w:rsidRPr="00451875">
        <w:rPr>
          <w:lang w:val="en-NZ" w:eastAsia="en-GB"/>
        </w:rPr>
        <w:t xml:space="preserve"> vague</w:t>
      </w:r>
      <w:r>
        <w:rPr>
          <w:lang w:val="en-NZ" w:eastAsia="en-GB"/>
        </w:rPr>
        <w:t xml:space="preserve"> by some</w:t>
      </w:r>
      <w:r w:rsidR="008E5906">
        <w:rPr>
          <w:lang w:val="en-NZ" w:eastAsia="en-GB"/>
        </w:rPr>
        <w:t xml:space="preserve">. </w:t>
      </w:r>
      <w:r>
        <w:rPr>
          <w:lang w:val="en-NZ" w:eastAsia="en-GB"/>
        </w:rPr>
        <w:t>R</w:t>
      </w:r>
      <w:r w:rsidR="00797B86">
        <w:rPr>
          <w:lang w:val="en-NZ" w:eastAsia="en-GB"/>
        </w:rPr>
        <w:t xml:space="preserve">ewording was suggested: </w:t>
      </w:r>
    </w:p>
    <w:p w14:paraId="64423ACE" w14:textId="15083928" w:rsidR="00797B86" w:rsidRPr="00451875" w:rsidRDefault="00797B86" w:rsidP="007E043C">
      <w:pPr>
        <w:pStyle w:val="Quote"/>
        <w:spacing w:before="120" w:after="120" w:line="269" w:lineRule="auto"/>
        <w:rPr>
          <w:lang w:val="en-NZ" w:eastAsia="en-GB"/>
        </w:rPr>
      </w:pPr>
      <w:r>
        <w:rPr>
          <w:lang w:val="en-NZ" w:eastAsia="en-GB"/>
        </w:rPr>
        <w:t>T</w:t>
      </w:r>
      <w:r w:rsidRPr="00451875">
        <w:rPr>
          <w:lang w:val="en-NZ" w:eastAsia="en-GB"/>
        </w:rPr>
        <w:t xml:space="preserve">he </w:t>
      </w:r>
      <w:r>
        <w:rPr>
          <w:lang w:val="en-NZ" w:eastAsia="en-GB"/>
        </w:rPr>
        <w:t>first sentence of the descriptor does not make sense</w:t>
      </w:r>
      <w:r w:rsidRPr="00451875">
        <w:rPr>
          <w:lang w:val="en-NZ" w:eastAsia="en-GB"/>
        </w:rPr>
        <w:t xml:space="preserve"> as pae ora </w:t>
      </w:r>
      <w:r>
        <w:rPr>
          <w:lang w:val="en-NZ" w:eastAsia="en-GB"/>
        </w:rPr>
        <w:t>(‘</w:t>
      </w:r>
      <w:r w:rsidRPr="00451875">
        <w:rPr>
          <w:lang w:val="en-NZ" w:eastAsia="en-GB"/>
        </w:rPr>
        <w:t>healthy futures</w:t>
      </w:r>
      <w:r>
        <w:rPr>
          <w:lang w:val="en-NZ" w:eastAsia="en-GB"/>
        </w:rPr>
        <w:t>’)</w:t>
      </w:r>
      <w:r w:rsidRPr="00451875">
        <w:rPr>
          <w:lang w:val="en-NZ" w:eastAsia="en-GB"/>
        </w:rPr>
        <w:t xml:space="preserve"> is not something that we can ‘enjoy’ or experience in the present moment as we only exist in the present moment. It is rather, something that we work towards. The belief is that healthy individuals, healthy wh</w:t>
      </w:r>
      <w:r w:rsidR="00307777">
        <w:rPr>
          <w:lang w:val="en-NZ" w:eastAsia="en-GB"/>
        </w:rPr>
        <w:t>ā</w:t>
      </w:r>
      <w:r w:rsidRPr="00451875">
        <w:rPr>
          <w:lang w:val="en-NZ" w:eastAsia="en-GB"/>
        </w:rPr>
        <w:t>nau, and healthy environments collectively contribute towards building a healthy future. It is understood that in order to build a healthy future then it is necessary to have healthy individuals, healthy families, and healthy environments.</w:t>
      </w:r>
      <w:r>
        <w:rPr>
          <w:lang w:val="en-NZ" w:eastAsia="en-GB"/>
        </w:rPr>
        <w:t xml:space="preserve"> [Individual respondent]</w:t>
      </w:r>
    </w:p>
    <w:p w14:paraId="1D7241DC" w14:textId="047DF420" w:rsidR="008E5906" w:rsidRDefault="00D202C6" w:rsidP="00F425C0">
      <w:pPr>
        <w:spacing w:after="120" w:line="269" w:lineRule="auto"/>
        <w:rPr>
          <w:lang w:val="en-NZ" w:eastAsia="en-GB"/>
        </w:rPr>
      </w:pPr>
      <w:r>
        <w:rPr>
          <w:lang w:val="en-NZ" w:eastAsia="en-GB"/>
        </w:rPr>
        <w:t>It was suggested that t</w:t>
      </w:r>
      <w:r w:rsidR="00825F79">
        <w:rPr>
          <w:lang w:val="en-NZ" w:eastAsia="en-GB"/>
        </w:rPr>
        <w:t>he descriptor</w:t>
      </w:r>
      <w:r w:rsidR="008E5906" w:rsidRPr="00451875">
        <w:rPr>
          <w:lang w:val="en-NZ" w:eastAsia="en-GB"/>
        </w:rPr>
        <w:t xml:space="preserve"> could be </w:t>
      </w:r>
      <w:r w:rsidR="00797B86">
        <w:rPr>
          <w:lang w:val="en-NZ" w:eastAsia="en-GB"/>
        </w:rPr>
        <w:t xml:space="preserve">further </w:t>
      </w:r>
      <w:r w:rsidR="008E5906" w:rsidRPr="00451875">
        <w:rPr>
          <w:lang w:val="en-NZ" w:eastAsia="en-GB"/>
        </w:rPr>
        <w:t>strengthened by providing detail or an example of what constitutes a healthy individual</w:t>
      </w:r>
      <w:r w:rsidR="008969E1">
        <w:rPr>
          <w:lang w:val="en-NZ" w:eastAsia="en-GB"/>
        </w:rPr>
        <w:t xml:space="preserve">, </w:t>
      </w:r>
      <w:r w:rsidR="008E5906" w:rsidRPr="00451875">
        <w:rPr>
          <w:lang w:val="en-NZ" w:eastAsia="en-GB"/>
        </w:rPr>
        <w:t>healthy family</w:t>
      </w:r>
      <w:r w:rsidR="008969E1">
        <w:rPr>
          <w:lang w:val="en-NZ" w:eastAsia="en-GB"/>
        </w:rPr>
        <w:t xml:space="preserve"> and</w:t>
      </w:r>
      <w:r w:rsidR="008E5906" w:rsidRPr="00451875">
        <w:rPr>
          <w:lang w:val="en-NZ" w:eastAsia="en-GB"/>
        </w:rPr>
        <w:t xml:space="preserve"> healthy environment</w:t>
      </w:r>
      <w:r w:rsidR="00796BDB">
        <w:rPr>
          <w:lang w:val="en-NZ" w:eastAsia="en-GB"/>
        </w:rPr>
        <w:t>. F</w:t>
      </w:r>
      <w:r w:rsidR="008E5906">
        <w:rPr>
          <w:lang w:val="en-NZ" w:eastAsia="en-GB"/>
        </w:rPr>
        <w:t>or example, f</w:t>
      </w:r>
      <w:r w:rsidR="008E5906" w:rsidRPr="00451875">
        <w:rPr>
          <w:lang w:val="en-NZ" w:eastAsia="en-GB"/>
        </w:rPr>
        <w:t xml:space="preserve">ood, shelter, warmth, exercise, sleep, social relationships etc. </w:t>
      </w:r>
    </w:p>
    <w:p w14:paraId="1FA5ED4D" w14:textId="77777777" w:rsidR="00FE3520" w:rsidRDefault="00DD47D1" w:rsidP="007E043C">
      <w:pPr>
        <w:spacing w:after="120" w:line="269" w:lineRule="auto"/>
        <w:rPr>
          <w:lang w:val="en-NZ" w:eastAsia="en-GB"/>
        </w:rPr>
      </w:pPr>
      <w:r>
        <w:rPr>
          <w:lang w:val="en-NZ" w:eastAsia="en-GB"/>
        </w:rPr>
        <w:t xml:space="preserve">It was also suggested by one respondent that the phrase ‘unfair differences’ in the </w:t>
      </w:r>
      <w:r w:rsidR="00597404">
        <w:rPr>
          <w:lang w:val="en-NZ" w:eastAsia="en-GB"/>
        </w:rPr>
        <w:t>text</w:t>
      </w:r>
      <w:r>
        <w:rPr>
          <w:lang w:val="en-NZ" w:eastAsia="en-GB"/>
        </w:rPr>
        <w:t xml:space="preserve"> could be amended to better reflect the </w:t>
      </w:r>
      <w:r w:rsidR="00597404">
        <w:rPr>
          <w:lang w:val="en-NZ" w:eastAsia="en-GB"/>
        </w:rPr>
        <w:t xml:space="preserve">otherwise </w:t>
      </w:r>
      <w:r>
        <w:rPr>
          <w:lang w:val="en-NZ" w:eastAsia="en-GB"/>
        </w:rPr>
        <w:t xml:space="preserve">generally positive framing of the </w:t>
      </w:r>
      <w:r w:rsidR="00597404">
        <w:rPr>
          <w:lang w:val="en-NZ" w:eastAsia="en-GB"/>
        </w:rPr>
        <w:t>descriptors</w:t>
      </w:r>
      <w:r>
        <w:rPr>
          <w:lang w:val="en-NZ" w:eastAsia="en-GB"/>
        </w:rPr>
        <w:t>.</w:t>
      </w:r>
    </w:p>
    <w:p w14:paraId="5DE51287" w14:textId="0162FD99" w:rsidR="005620E3" w:rsidRDefault="005620E3" w:rsidP="005620E3">
      <w:pPr>
        <w:pStyle w:val="Heading4"/>
      </w:pPr>
      <w:r>
        <w:t>Domain 2 for Pacific peoples – are healthy</w:t>
      </w:r>
    </w:p>
    <w:p w14:paraId="5118C378" w14:textId="16B259B2" w:rsidR="005620E3" w:rsidRDefault="005620E3" w:rsidP="005620E3">
      <w:pPr>
        <w:spacing w:after="120" w:line="269" w:lineRule="auto"/>
        <w:rPr>
          <w:color w:val="000000" w:themeColor="text1"/>
        </w:rPr>
      </w:pPr>
      <w:r w:rsidRPr="00FE333B">
        <w:rPr>
          <w:color w:val="000000" w:themeColor="text1"/>
        </w:rPr>
        <w:t xml:space="preserve">The descriptor in the Pacific example resonated for </w:t>
      </w:r>
      <w:r>
        <w:rPr>
          <w:color w:val="000000" w:themeColor="text1"/>
        </w:rPr>
        <w:t>respondents</w:t>
      </w:r>
      <w:r w:rsidRPr="00FE333B">
        <w:rPr>
          <w:color w:val="000000" w:themeColor="text1"/>
        </w:rPr>
        <w:t xml:space="preserve">, but </w:t>
      </w:r>
      <w:r>
        <w:rPr>
          <w:color w:val="000000" w:themeColor="text1"/>
        </w:rPr>
        <w:t xml:space="preserve">people wanted several concepts to be </w:t>
      </w:r>
      <w:r w:rsidRPr="00FE333B">
        <w:rPr>
          <w:color w:val="000000" w:themeColor="text1"/>
        </w:rPr>
        <w:t>explicitly captured</w:t>
      </w:r>
      <w:r>
        <w:rPr>
          <w:color w:val="000000" w:themeColor="text1"/>
        </w:rPr>
        <w:t xml:space="preserve">. Most prominently, </w:t>
      </w:r>
      <w:r w:rsidRPr="00FE333B">
        <w:rPr>
          <w:color w:val="000000" w:themeColor="text1"/>
        </w:rPr>
        <w:t xml:space="preserve">spirituality and faith </w:t>
      </w:r>
      <w:r>
        <w:rPr>
          <w:color w:val="000000" w:themeColor="text1"/>
        </w:rPr>
        <w:t>which ‘contributes solutions to individuals and families’. Equity was highlighted as integral to being healthy, for example</w:t>
      </w:r>
      <w:r w:rsidRPr="005620E3">
        <w:rPr>
          <w:color w:val="000000" w:themeColor="text1"/>
        </w:rPr>
        <w:t>, ‘</w:t>
      </w:r>
      <w:r w:rsidRPr="005620E3">
        <w:t>equitable educational outcomes’.</w:t>
      </w:r>
      <w:r w:rsidRPr="005620E3">
        <w:rPr>
          <w:color w:val="000000" w:themeColor="text1"/>
        </w:rPr>
        <w:t xml:space="preserve"> The natural environment should also be referenced in this domain as it ‘plays a huge part in how we see</w:t>
      </w:r>
      <w:r>
        <w:rPr>
          <w:color w:val="000000" w:themeColor="text1"/>
        </w:rPr>
        <w:t xml:space="preserve"> the world’.</w:t>
      </w:r>
      <w:r w:rsidR="00A46919">
        <w:rPr>
          <w:color w:val="000000" w:themeColor="text1"/>
        </w:rPr>
        <w:t xml:space="preserve"> </w:t>
      </w:r>
    </w:p>
    <w:p w14:paraId="3B26E327" w14:textId="623E088A" w:rsidR="005620E3" w:rsidRPr="005620E3" w:rsidRDefault="005620E3" w:rsidP="005620E3">
      <w:pPr>
        <w:spacing w:after="120" w:line="269" w:lineRule="auto"/>
        <w:rPr>
          <w:color w:val="000000" w:themeColor="text1"/>
        </w:rPr>
      </w:pPr>
      <w:r w:rsidRPr="00FE333B">
        <w:rPr>
          <w:color w:val="000000" w:themeColor="text1"/>
        </w:rPr>
        <w:lastRenderedPageBreak/>
        <w:t xml:space="preserve">Some </w:t>
      </w:r>
      <w:r>
        <w:rPr>
          <w:color w:val="000000" w:themeColor="text1"/>
        </w:rPr>
        <w:t xml:space="preserve">respondents </w:t>
      </w:r>
      <w:r w:rsidRPr="00FE333B">
        <w:rPr>
          <w:color w:val="000000" w:themeColor="text1"/>
        </w:rPr>
        <w:t xml:space="preserve">preferred a reference to emotions rather than mental health and wanted to see a greater emphasis on emotional wellbeing. </w:t>
      </w:r>
      <w:r w:rsidR="00937978">
        <w:rPr>
          <w:color w:val="000000" w:themeColor="text1"/>
        </w:rPr>
        <w:t>In the feedback, p</w:t>
      </w:r>
      <w:r w:rsidRPr="00FE333B">
        <w:rPr>
          <w:color w:val="000000" w:themeColor="text1"/>
        </w:rPr>
        <w:t xml:space="preserve">eople also questioned the </w:t>
      </w:r>
      <w:r>
        <w:rPr>
          <w:color w:val="000000" w:themeColor="text1"/>
        </w:rPr>
        <w:t>connection between the outcomes framework and actual</w:t>
      </w:r>
      <w:r w:rsidRPr="00FE333B">
        <w:rPr>
          <w:color w:val="000000" w:themeColor="text1"/>
        </w:rPr>
        <w:t xml:space="preserve"> support</w:t>
      </w:r>
      <w:r>
        <w:rPr>
          <w:color w:val="000000" w:themeColor="text1"/>
        </w:rPr>
        <w:t xml:space="preserve"> for people experiencing acute mental distress or addiction issues</w:t>
      </w:r>
      <w:r w:rsidRPr="00FE333B">
        <w:rPr>
          <w:color w:val="000000" w:themeColor="text1"/>
        </w:rPr>
        <w:t>: ‘When there is an episode, what support is there during those periods?</w:t>
      </w:r>
      <w:r>
        <w:rPr>
          <w:color w:val="000000" w:themeColor="text1"/>
        </w:rPr>
        <w:t>’</w:t>
      </w:r>
      <w:r>
        <w:rPr>
          <w:rStyle w:val="FootnoteReference"/>
          <w:color w:val="000000" w:themeColor="text1"/>
        </w:rPr>
        <w:footnoteReference w:id="46"/>
      </w:r>
      <w:r w:rsidRPr="00FE333B">
        <w:rPr>
          <w:color w:val="000000" w:themeColor="text1"/>
        </w:rPr>
        <w:t xml:space="preserve"> </w:t>
      </w:r>
      <w:r w:rsidR="00937978">
        <w:rPr>
          <w:color w:val="000000" w:themeColor="text1"/>
        </w:rPr>
        <w:t>It was noted that n</w:t>
      </w:r>
      <w:r>
        <w:rPr>
          <w:color w:val="000000" w:themeColor="text1"/>
        </w:rPr>
        <w:t>etworks of support should be culturally relevant and appropriate.</w:t>
      </w:r>
    </w:p>
    <w:p w14:paraId="6A587695" w14:textId="72D04653" w:rsidR="008331EA" w:rsidRDefault="008331EA" w:rsidP="00952126">
      <w:pPr>
        <w:pStyle w:val="Heading4"/>
      </w:pPr>
      <w:bookmarkStart w:id="44" w:name="_Hlk53471164"/>
      <w:r>
        <w:t>Domain 2 for everyone</w:t>
      </w:r>
      <w:r w:rsidR="00DA0693">
        <w:t xml:space="preserve"> in Aotearoa</w:t>
      </w:r>
      <w:r>
        <w:t xml:space="preserve"> – are healthy</w:t>
      </w:r>
    </w:p>
    <w:p w14:paraId="0FA46FF2" w14:textId="7BD0F26A" w:rsidR="007D7DCE" w:rsidRDefault="00DA0693" w:rsidP="007E043C">
      <w:pPr>
        <w:spacing w:after="120" w:line="269" w:lineRule="auto"/>
        <w:rPr>
          <w:lang w:val="en-NZ" w:eastAsia="en-GB"/>
        </w:rPr>
      </w:pPr>
      <w:r>
        <w:rPr>
          <w:lang w:val="en-NZ" w:eastAsia="en-GB"/>
        </w:rPr>
        <w:t>‘A</w:t>
      </w:r>
      <w:r w:rsidRPr="00CD0CC0">
        <w:rPr>
          <w:lang w:val="en-NZ" w:eastAsia="en-GB"/>
        </w:rPr>
        <w:t>re healthy</w:t>
      </w:r>
      <w:r>
        <w:rPr>
          <w:lang w:val="en-NZ" w:eastAsia="en-GB"/>
        </w:rPr>
        <w:t xml:space="preserve">’ was thought by one respondent to be </w:t>
      </w:r>
      <w:r w:rsidRPr="00CD0CC0">
        <w:rPr>
          <w:lang w:val="en-NZ" w:eastAsia="en-GB"/>
        </w:rPr>
        <w:t>too ambiguous and open to interpretation.</w:t>
      </w:r>
      <w:r w:rsidR="0006655B">
        <w:rPr>
          <w:lang w:val="en-NZ" w:eastAsia="en-GB"/>
        </w:rPr>
        <w:t xml:space="preserve"> </w:t>
      </w:r>
      <w:r>
        <w:rPr>
          <w:lang w:val="en-NZ" w:eastAsia="en-GB"/>
        </w:rPr>
        <w:t>This needed</w:t>
      </w:r>
      <w:r w:rsidRPr="00CD0CC0">
        <w:rPr>
          <w:lang w:val="en-NZ" w:eastAsia="en-GB"/>
        </w:rPr>
        <w:t xml:space="preserve"> to be more specific.</w:t>
      </w:r>
      <w:r w:rsidR="00CA4C12">
        <w:rPr>
          <w:lang w:val="en-NZ" w:eastAsia="en-GB"/>
        </w:rPr>
        <w:t xml:space="preserve"> </w:t>
      </w:r>
      <w:r w:rsidR="006C1FB9">
        <w:rPr>
          <w:lang w:val="en-NZ" w:eastAsia="en-GB"/>
        </w:rPr>
        <w:t xml:space="preserve">A few </w:t>
      </w:r>
      <w:r w:rsidR="00905D8A">
        <w:rPr>
          <w:lang w:val="en-NZ" w:eastAsia="en-GB"/>
        </w:rPr>
        <w:t>respondent</w:t>
      </w:r>
      <w:r w:rsidR="006C1FB9">
        <w:rPr>
          <w:lang w:val="en-NZ" w:eastAsia="en-GB"/>
        </w:rPr>
        <w:t>s</w:t>
      </w:r>
      <w:r>
        <w:rPr>
          <w:lang w:val="en-NZ" w:eastAsia="en-GB"/>
        </w:rPr>
        <w:t xml:space="preserve"> suggested that </w:t>
      </w:r>
      <w:r w:rsidR="007D7DCE">
        <w:rPr>
          <w:lang w:val="en-NZ" w:eastAsia="en-GB"/>
        </w:rPr>
        <w:t xml:space="preserve">‘enjoys the best possible health’ is better aligned with </w:t>
      </w:r>
      <w:r w:rsidR="00597404">
        <w:rPr>
          <w:lang w:val="en-NZ" w:eastAsia="en-GB"/>
        </w:rPr>
        <w:t xml:space="preserve">the </w:t>
      </w:r>
      <w:r w:rsidR="007D7DCE">
        <w:rPr>
          <w:lang w:val="en-NZ" w:eastAsia="en-GB"/>
        </w:rPr>
        <w:t xml:space="preserve">descriptor </w:t>
      </w:r>
      <w:r w:rsidR="00753CE0">
        <w:rPr>
          <w:lang w:val="en-NZ" w:eastAsia="en-GB"/>
        </w:rPr>
        <w:t xml:space="preserve">as it reflects </w:t>
      </w:r>
      <w:r w:rsidR="007D7DCE">
        <w:rPr>
          <w:lang w:val="en-NZ" w:eastAsia="en-GB"/>
        </w:rPr>
        <w:t>continual improvement</w:t>
      </w:r>
      <w:r w:rsidR="00597404">
        <w:rPr>
          <w:lang w:val="en-NZ" w:eastAsia="en-GB"/>
        </w:rPr>
        <w:t>.</w:t>
      </w:r>
      <w:r w:rsidR="007D7DCE">
        <w:rPr>
          <w:lang w:val="en-NZ" w:eastAsia="en-GB"/>
        </w:rPr>
        <w:t xml:space="preserve"> </w:t>
      </w:r>
    </w:p>
    <w:p w14:paraId="51F0C619" w14:textId="5119DEA4" w:rsidR="00753CE0" w:rsidRDefault="00753CE0" w:rsidP="007E043C">
      <w:pPr>
        <w:pStyle w:val="Quote"/>
        <w:spacing w:before="120" w:after="120" w:line="269" w:lineRule="auto"/>
        <w:rPr>
          <w:lang w:val="en-NZ" w:eastAsia="en-GB"/>
        </w:rPr>
      </w:pPr>
      <w:r w:rsidRPr="00753CE0">
        <w:rPr>
          <w:lang w:val="en-NZ" w:eastAsia="en-GB"/>
        </w:rPr>
        <w:t xml:space="preserve">People can be </w:t>
      </w:r>
      <w:r w:rsidR="007F75F3">
        <w:rPr>
          <w:lang w:val="en-NZ" w:eastAsia="en-GB"/>
        </w:rPr>
        <w:t>‘</w:t>
      </w:r>
      <w:r w:rsidRPr="00753CE0">
        <w:rPr>
          <w:lang w:val="en-NZ" w:eastAsia="en-GB"/>
        </w:rPr>
        <w:t>healthy</w:t>
      </w:r>
      <w:r w:rsidR="007F75F3">
        <w:rPr>
          <w:lang w:val="en-NZ" w:eastAsia="en-GB"/>
        </w:rPr>
        <w:t>’</w:t>
      </w:r>
      <w:r w:rsidRPr="00753CE0">
        <w:rPr>
          <w:lang w:val="en-NZ" w:eastAsia="en-GB"/>
        </w:rPr>
        <w:t xml:space="preserve"> as defined by </w:t>
      </w:r>
      <w:r w:rsidR="007F75F3">
        <w:rPr>
          <w:lang w:val="en-NZ" w:eastAsia="en-GB"/>
        </w:rPr>
        <w:t>‘</w:t>
      </w:r>
      <w:r w:rsidRPr="00753CE0">
        <w:rPr>
          <w:lang w:val="en-NZ" w:eastAsia="en-GB"/>
        </w:rPr>
        <w:t>no immediate need for medical intervention</w:t>
      </w:r>
      <w:r w:rsidR="007F75F3">
        <w:rPr>
          <w:lang w:val="en-NZ" w:eastAsia="en-GB"/>
        </w:rPr>
        <w:t>’</w:t>
      </w:r>
      <w:r w:rsidRPr="00753CE0">
        <w:rPr>
          <w:lang w:val="en-NZ" w:eastAsia="en-GB"/>
        </w:rPr>
        <w:t xml:space="preserve"> and remain at risk from existing mild conditions, delayed ‘elective’ surgery, poverty, deprivation, etc. But if they are to </w:t>
      </w:r>
      <w:r w:rsidR="007F75F3">
        <w:rPr>
          <w:lang w:val="en-NZ" w:eastAsia="en-GB"/>
        </w:rPr>
        <w:t>‘</w:t>
      </w:r>
      <w:r w:rsidRPr="00753CE0">
        <w:rPr>
          <w:lang w:val="en-NZ" w:eastAsia="en-GB"/>
        </w:rPr>
        <w:t>enjoy the best possible health</w:t>
      </w:r>
      <w:r w:rsidR="007F75F3">
        <w:rPr>
          <w:lang w:val="en-NZ" w:eastAsia="en-GB"/>
        </w:rPr>
        <w:t>’</w:t>
      </w:r>
      <w:r w:rsidRPr="00753CE0">
        <w:rPr>
          <w:lang w:val="en-NZ" w:eastAsia="en-GB"/>
        </w:rPr>
        <w:t xml:space="preserve"> then there is a continual process of improvement that takes account of how the person feels about that process. </w:t>
      </w:r>
      <w:r w:rsidR="007F75F3">
        <w:rPr>
          <w:lang w:val="en-NZ" w:eastAsia="en-GB"/>
        </w:rPr>
        <w:t>‘</w:t>
      </w:r>
      <w:r w:rsidRPr="00753CE0">
        <w:rPr>
          <w:lang w:val="en-NZ" w:eastAsia="en-GB"/>
        </w:rPr>
        <w:t>Healthy</w:t>
      </w:r>
      <w:r w:rsidR="007F75F3">
        <w:rPr>
          <w:lang w:val="en-NZ" w:eastAsia="en-GB"/>
        </w:rPr>
        <w:t>’</w:t>
      </w:r>
      <w:r w:rsidRPr="00753CE0">
        <w:rPr>
          <w:lang w:val="en-NZ" w:eastAsia="en-GB"/>
        </w:rPr>
        <w:t xml:space="preserve"> does not communicate that concept adequately</w:t>
      </w:r>
      <w:r w:rsidR="00597404">
        <w:rPr>
          <w:lang w:val="en-NZ" w:eastAsia="en-GB"/>
        </w:rPr>
        <w:t>.</w:t>
      </w:r>
      <w:r w:rsidR="00CD0CC0">
        <w:rPr>
          <w:lang w:val="en-NZ" w:eastAsia="en-GB"/>
        </w:rPr>
        <w:t xml:space="preserve"> [</w:t>
      </w:r>
      <w:r w:rsidR="00597404">
        <w:rPr>
          <w:lang w:val="en-NZ" w:eastAsia="en-GB"/>
        </w:rPr>
        <w:t>Balance Aotearoa]</w:t>
      </w:r>
      <w:r w:rsidR="00CD0CC0">
        <w:rPr>
          <w:lang w:val="en-NZ" w:eastAsia="en-GB"/>
        </w:rPr>
        <w:t>]</w:t>
      </w:r>
    </w:p>
    <w:p w14:paraId="52C4F88A" w14:textId="72DCB290" w:rsidR="00862F07" w:rsidRDefault="00862F07" w:rsidP="007E043C">
      <w:pPr>
        <w:spacing w:after="120" w:line="269" w:lineRule="auto"/>
        <w:rPr>
          <w:lang w:val="en-NZ" w:eastAsia="en-GB"/>
        </w:rPr>
      </w:pPr>
      <w:r>
        <w:rPr>
          <w:lang w:val="en-NZ" w:eastAsia="en-GB"/>
        </w:rPr>
        <w:t>However</w:t>
      </w:r>
      <w:r w:rsidR="0089192D">
        <w:rPr>
          <w:lang w:val="en-NZ" w:eastAsia="en-GB"/>
        </w:rPr>
        <w:t>,</w:t>
      </w:r>
      <w:r>
        <w:rPr>
          <w:lang w:val="en-NZ" w:eastAsia="en-GB"/>
        </w:rPr>
        <w:t xml:space="preserve"> it was also suggested that this domain descriptor should be r</w:t>
      </w:r>
      <w:r w:rsidRPr="00360B5F">
        <w:rPr>
          <w:lang w:val="en-NZ" w:eastAsia="en-GB"/>
        </w:rPr>
        <w:t>eview</w:t>
      </w:r>
      <w:r>
        <w:rPr>
          <w:lang w:val="en-NZ" w:eastAsia="en-GB"/>
        </w:rPr>
        <w:t>ed</w:t>
      </w:r>
      <w:r w:rsidRPr="00360B5F">
        <w:rPr>
          <w:lang w:val="en-NZ" w:eastAsia="en-GB"/>
        </w:rPr>
        <w:t xml:space="preserve"> </w:t>
      </w:r>
      <w:r>
        <w:rPr>
          <w:lang w:val="en-NZ" w:eastAsia="en-GB"/>
        </w:rPr>
        <w:t>from the perspective of</w:t>
      </w:r>
      <w:r w:rsidRPr="00360B5F">
        <w:rPr>
          <w:lang w:val="en-NZ" w:eastAsia="en-GB"/>
        </w:rPr>
        <w:t xml:space="preserve"> people who live with permanent disability </w:t>
      </w:r>
      <w:r>
        <w:rPr>
          <w:lang w:val="en-NZ" w:eastAsia="en-GB"/>
        </w:rPr>
        <w:t>or</w:t>
      </w:r>
      <w:r w:rsidRPr="00360B5F">
        <w:rPr>
          <w:lang w:val="en-NZ" w:eastAsia="en-GB"/>
        </w:rPr>
        <w:t xml:space="preserve"> chronic health conditions</w:t>
      </w:r>
      <w:r>
        <w:rPr>
          <w:lang w:val="en-NZ" w:eastAsia="en-GB"/>
        </w:rPr>
        <w:t>.</w:t>
      </w:r>
    </w:p>
    <w:p w14:paraId="53E569F3" w14:textId="2FFC4701" w:rsidR="008E5906" w:rsidRDefault="00862F07" w:rsidP="007E043C">
      <w:pPr>
        <w:spacing w:after="120" w:line="269" w:lineRule="auto"/>
        <w:rPr>
          <w:lang w:val="en-NZ" w:eastAsia="en-GB"/>
        </w:rPr>
      </w:pPr>
      <w:r>
        <w:rPr>
          <w:lang w:val="en-NZ" w:eastAsia="en-GB"/>
        </w:rPr>
        <w:t xml:space="preserve">It was considered important </w:t>
      </w:r>
      <w:r w:rsidR="00D202C6">
        <w:rPr>
          <w:lang w:val="en-NZ" w:eastAsia="en-GB"/>
        </w:rPr>
        <w:t xml:space="preserve">by </w:t>
      </w:r>
      <w:r w:rsidR="00401AF6">
        <w:rPr>
          <w:lang w:val="en-NZ" w:eastAsia="en-GB"/>
        </w:rPr>
        <w:t>several</w:t>
      </w:r>
      <w:r w:rsidR="00D202C6">
        <w:rPr>
          <w:lang w:val="en-NZ" w:eastAsia="en-GB"/>
        </w:rPr>
        <w:t xml:space="preserve"> respondents </w:t>
      </w:r>
      <w:r>
        <w:rPr>
          <w:lang w:val="en-NZ" w:eastAsia="en-GB"/>
        </w:rPr>
        <w:t>to make e</w:t>
      </w:r>
      <w:r w:rsidR="008E5906">
        <w:rPr>
          <w:lang w:val="en-NZ" w:eastAsia="en-GB"/>
        </w:rPr>
        <w:t xml:space="preserve">xplicit reference to </w:t>
      </w:r>
      <w:r w:rsidR="008E5906" w:rsidRPr="00B53179">
        <w:rPr>
          <w:lang w:val="en-NZ" w:eastAsia="en-GB"/>
        </w:rPr>
        <w:t>equity of physical</w:t>
      </w:r>
      <w:r w:rsidR="008E5906">
        <w:rPr>
          <w:lang w:val="en-NZ" w:eastAsia="en-GB"/>
        </w:rPr>
        <w:t xml:space="preserve"> </w:t>
      </w:r>
      <w:r w:rsidR="008E5906" w:rsidRPr="00B53179">
        <w:rPr>
          <w:lang w:val="en-NZ" w:eastAsia="en-GB"/>
        </w:rPr>
        <w:t xml:space="preserve">health. </w:t>
      </w:r>
    </w:p>
    <w:p w14:paraId="231E7AF4" w14:textId="6A99B818" w:rsidR="008E5906" w:rsidRDefault="008E5906" w:rsidP="007E043C">
      <w:pPr>
        <w:pStyle w:val="Quote"/>
        <w:spacing w:before="120" w:after="120" w:line="269" w:lineRule="auto"/>
        <w:rPr>
          <w:lang w:val="en-NZ" w:eastAsia="en-GB"/>
        </w:rPr>
      </w:pPr>
      <w:r w:rsidRPr="00B53179">
        <w:rPr>
          <w:lang w:val="en-NZ" w:eastAsia="en-GB"/>
        </w:rPr>
        <w:t>People accessing secondary mental health and addiction services</w:t>
      </w:r>
      <w:r>
        <w:rPr>
          <w:lang w:val="en-NZ" w:eastAsia="en-GB"/>
        </w:rPr>
        <w:t xml:space="preserve"> </w:t>
      </w:r>
      <w:r w:rsidRPr="00B53179">
        <w:rPr>
          <w:lang w:val="en-NZ" w:eastAsia="en-GB"/>
        </w:rPr>
        <w:t>have more than twice the mortality rate than the general population and people with</w:t>
      </w:r>
      <w:r>
        <w:rPr>
          <w:lang w:val="en-NZ" w:eastAsia="en-GB"/>
        </w:rPr>
        <w:t xml:space="preserve"> </w:t>
      </w:r>
      <w:r w:rsidRPr="00B53179">
        <w:rPr>
          <w:lang w:val="en-NZ" w:eastAsia="en-GB"/>
        </w:rPr>
        <w:t>experiences labelled as psychosis have more than three times the overall risk of</w:t>
      </w:r>
      <w:r>
        <w:rPr>
          <w:lang w:val="en-NZ" w:eastAsia="en-GB"/>
        </w:rPr>
        <w:t xml:space="preserve"> </w:t>
      </w:r>
      <w:r w:rsidRPr="00B53179">
        <w:rPr>
          <w:lang w:val="en-NZ" w:eastAsia="en-GB"/>
        </w:rPr>
        <w:t>premature death, and the workforce and system play a major role in addressing this</w:t>
      </w:r>
      <w:r>
        <w:rPr>
          <w:lang w:val="en-NZ" w:eastAsia="en-GB"/>
        </w:rPr>
        <w:t xml:space="preserve"> </w:t>
      </w:r>
      <w:r w:rsidRPr="00B53179">
        <w:rPr>
          <w:lang w:val="en-NZ" w:eastAsia="en-GB"/>
        </w:rPr>
        <w:t>health inequity. Physical health equity for this group often goes unrecognised in many</w:t>
      </w:r>
      <w:r>
        <w:rPr>
          <w:lang w:val="en-NZ" w:eastAsia="en-GB"/>
        </w:rPr>
        <w:t xml:space="preserve"> </w:t>
      </w:r>
      <w:r w:rsidRPr="00B53179">
        <w:rPr>
          <w:lang w:val="en-NZ" w:eastAsia="en-GB"/>
        </w:rPr>
        <w:t>parts of the health system</w:t>
      </w:r>
      <w:r>
        <w:rPr>
          <w:lang w:val="en-NZ" w:eastAsia="en-GB"/>
        </w:rPr>
        <w:t xml:space="preserve">. </w:t>
      </w:r>
      <w:r w:rsidR="00D80930">
        <w:rPr>
          <w:lang w:val="en-NZ" w:eastAsia="en-GB"/>
        </w:rPr>
        <w:t>[Mental Health Foundation]</w:t>
      </w:r>
    </w:p>
    <w:p w14:paraId="2AEE7E08" w14:textId="77B246C9" w:rsidR="00F318B2" w:rsidRPr="00F318B2" w:rsidRDefault="00F318B2" w:rsidP="00F318B2">
      <w:pPr>
        <w:pStyle w:val="Quote"/>
        <w:spacing w:before="120" w:after="120" w:line="269" w:lineRule="auto"/>
        <w:rPr>
          <w:lang w:val="en-NZ" w:eastAsia="en-GB"/>
        </w:rPr>
      </w:pPr>
      <w:r>
        <w:rPr>
          <w:lang w:val="en-NZ" w:eastAsia="en-GB"/>
        </w:rPr>
        <w:t>I</w:t>
      </w:r>
      <w:r w:rsidRPr="008331EA">
        <w:rPr>
          <w:lang w:val="en-NZ" w:eastAsia="en-GB"/>
        </w:rPr>
        <w:t>nclude (amongst other things) access to quality health care (access to and quality of physical health care are known to be major barriers to physical health equity</w:t>
      </w:r>
      <w:r>
        <w:rPr>
          <w:lang w:val="en-NZ" w:eastAsia="en-GB"/>
        </w:rPr>
        <w:t>. [The Wise Group]</w:t>
      </w:r>
    </w:p>
    <w:p w14:paraId="398441C6" w14:textId="18A03B49" w:rsidR="00F132A7" w:rsidRPr="00CC799C" w:rsidRDefault="006B2235" w:rsidP="00CC799C">
      <w:pPr>
        <w:spacing w:after="120" w:line="269" w:lineRule="auto"/>
      </w:pPr>
      <w:r>
        <w:t>A</w:t>
      </w:r>
      <w:r w:rsidR="00401AF6">
        <w:t xml:space="preserve"> few</w:t>
      </w:r>
      <w:r w:rsidR="00F132A7" w:rsidRPr="00CC799C">
        <w:t xml:space="preserve"> respondents suggest</w:t>
      </w:r>
      <w:r>
        <w:t>ed</w:t>
      </w:r>
      <w:r w:rsidR="00F132A7" w:rsidRPr="00CC799C">
        <w:t xml:space="preserve"> </w:t>
      </w:r>
      <w:r w:rsidR="008717F5">
        <w:t>mental</w:t>
      </w:r>
      <w:r w:rsidR="00F132A7" w:rsidRPr="00CC799C">
        <w:t xml:space="preserve"> health </w:t>
      </w:r>
      <w:r w:rsidR="009F6753">
        <w:t>should be</w:t>
      </w:r>
      <w:r w:rsidR="008717F5">
        <w:t xml:space="preserve"> prioritised, for example:</w:t>
      </w:r>
      <w:r w:rsidR="00F318B2">
        <w:t xml:space="preserve"> </w:t>
      </w:r>
      <w:r w:rsidR="008717F5">
        <w:t>‘</w:t>
      </w:r>
      <w:r w:rsidR="00F318B2" w:rsidRPr="00F318B2">
        <w:t>I would like to see more concrete outcomes that are focused on mental health and non-physical wellbeing first and foremost.</w:t>
      </w:r>
      <w:r w:rsidR="008717F5">
        <w:t>’</w:t>
      </w:r>
      <w:r w:rsidR="008717F5">
        <w:rPr>
          <w:rStyle w:val="FootnoteReference"/>
        </w:rPr>
        <w:footnoteReference w:id="47"/>
      </w:r>
    </w:p>
    <w:bookmarkEnd w:id="44"/>
    <w:p w14:paraId="58033ECB" w14:textId="359322BB" w:rsidR="00680832" w:rsidRDefault="00D202C6" w:rsidP="007E043C">
      <w:pPr>
        <w:spacing w:after="120" w:line="269" w:lineRule="auto"/>
      </w:pPr>
      <w:r>
        <w:rPr>
          <w:lang w:val="en-NZ" w:eastAsia="en-GB"/>
        </w:rPr>
        <w:t>It was also noted that t</w:t>
      </w:r>
      <w:r w:rsidR="00E66617">
        <w:rPr>
          <w:lang w:val="en-NZ" w:eastAsia="en-GB"/>
        </w:rPr>
        <w:t>he concept of psychological wellbeing should be explicit.</w:t>
      </w:r>
    </w:p>
    <w:p w14:paraId="350F21C6" w14:textId="1538034C" w:rsidR="00E66617" w:rsidRDefault="00680832" w:rsidP="007E043C">
      <w:pPr>
        <w:pStyle w:val="Quote"/>
        <w:spacing w:before="120" w:after="120" w:line="269" w:lineRule="auto"/>
        <w:rPr>
          <w:lang w:val="en-NZ" w:eastAsia="en-GB"/>
        </w:rPr>
      </w:pPr>
      <w:r w:rsidRPr="00680832">
        <w:rPr>
          <w:lang w:val="en-NZ" w:eastAsia="en-GB"/>
        </w:rPr>
        <w:t xml:space="preserve">For instance under ‘are healthy’ there is reference to healthy kai, and you could then </w:t>
      </w:r>
      <w:proofErr w:type="gramStart"/>
      <w:r w:rsidRPr="00680832">
        <w:rPr>
          <w:lang w:val="en-NZ" w:eastAsia="en-GB"/>
        </w:rPr>
        <w:t>say</w:t>
      </w:r>
      <w:proofErr w:type="gramEnd"/>
      <w:r w:rsidRPr="00680832">
        <w:rPr>
          <w:lang w:val="en-NZ" w:eastAsia="en-GB"/>
        </w:rPr>
        <w:t xml:space="preserve"> ‘healthy and psychologically safe homes,’ (as well as) safe physical activity and economic security. There are no doubt homes with plenty of money but where too much family violence is part of the picture. Yes, psychological wellbeing is part of being resilient etc but it is not specifically noted.</w:t>
      </w:r>
      <w:r w:rsidRPr="00680832">
        <w:t xml:space="preserve"> </w:t>
      </w:r>
      <w:r w:rsidR="008C58D4">
        <w:rPr>
          <w:lang w:val="en-NZ" w:eastAsia="en-GB"/>
        </w:rPr>
        <w:t>[Individual respondent]</w:t>
      </w:r>
    </w:p>
    <w:p w14:paraId="575241BF" w14:textId="4B55B03D" w:rsidR="00A02E4C" w:rsidRDefault="00A02E4C" w:rsidP="007E043C">
      <w:pPr>
        <w:spacing w:after="120" w:line="269" w:lineRule="auto"/>
        <w:rPr>
          <w:lang w:val="en-NZ" w:eastAsia="en-GB"/>
        </w:rPr>
      </w:pPr>
      <w:r>
        <w:rPr>
          <w:lang w:val="en-NZ" w:eastAsia="en-GB"/>
        </w:rPr>
        <w:t>Referring to the need to explicitly address infants, children and young people in the framework</w:t>
      </w:r>
      <w:r w:rsidR="00862F07">
        <w:rPr>
          <w:lang w:val="en-NZ" w:eastAsia="en-GB"/>
        </w:rPr>
        <w:t xml:space="preserve"> </w:t>
      </w:r>
      <w:r>
        <w:rPr>
          <w:lang w:val="en-NZ" w:eastAsia="en-GB"/>
        </w:rPr>
        <w:t>(</w:t>
      </w:r>
      <w:r w:rsidR="00862F07">
        <w:rPr>
          <w:lang w:val="en-NZ" w:eastAsia="en-GB"/>
        </w:rPr>
        <w:t xml:space="preserve">and </w:t>
      </w:r>
      <w:r>
        <w:rPr>
          <w:lang w:val="en-NZ" w:eastAsia="en-GB"/>
        </w:rPr>
        <w:t>acknowledging the framework</w:t>
      </w:r>
      <w:r w:rsidRPr="00A02E4C">
        <w:rPr>
          <w:lang w:val="en-NZ" w:eastAsia="en-GB"/>
        </w:rPr>
        <w:t xml:space="preserve"> refers to a life course approach</w:t>
      </w:r>
      <w:r>
        <w:rPr>
          <w:lang w:val="en-NZ" w:eastAsia="en-GB"/>
        </w:rPr>
        <w:t xml:space="preserve">), it was </w:t>
      </w:r>
      <w:r>
        <w:rPr>
          <w:lang w:val="en-NZ" w:eastAsia="en-GB"/>
        </w:rPr>
        <w:lastRenderedPageBreak/>
        <w:t>suggested that</w:t>
      </w:r>
      <w:r w:rsidRPr="00A02E4C">
        <w:rPr>
          <w:lang w:val="en-NZ" w:eastAsia="en-GB"/>
        </w:rPr>
        <w:t xml:space="preserve"> the wording </w:t>
      </w:r>
      <w:r w:rsidR="00511915">
        <w:rPr>
          <w:lang w:val="en-NZ" w:eastAsia="en-GB"/>
        </w:rPr>
        <w:t>under ‘Are healthy’ be</w:t>
      </w:r>
      <w:r>
        <w:rPr>
          <w:lang w:val="en-NZ" w:eastAsia="en-GB"/>
        </w:rPr>
        <w:t xml:space="preserve"> amended to</w:t>
      </w:r>
      <w:r w:rsidRPr="00A02E4C">
        <w:rPr>
          <w:lang w:val="en-NZ" w:eastAsia="en-GB"/>
        </w:rPr>
        <w:t xml:space="preserve"> </w:t>
      </w:r>
      <w:r w:rsidR="007F75F3">
        <w:rPr>
          <w:lang w:val="en-NZ" w:eastAsia="en-GB"/>
        </w:rPr>
        <w:t>‘</w:t>
      </w:r>
      <w:r w:rsidRPr="00A02E4C">
        <w:rPr>
          <w:lang w:val="en-NZ" w:eastAsia="en-GB"/>
        </w:rPr>
        <w:t>…retain their wellness across their life course, starting from conception.</w:t>
      </w:r>
      <w:r w:rsidR="007F75F3">
        <w:rPr>
          <w:lang w:val="en-NZ" w:eastAsia="en-GB"/>
        </w:rPr>
        <w:t>’</w:t>
      </w:r>
      <w:r w:rsidR="00252299">
        <w:rPr>
          <w:rStyle w:val="FootnoteReference"/>
          <w:lang w:val="en-NZ" w:eastAsia="en-GB"/>
        </w:rPr>
        <w:footnoteReference w:id="48"/>
      </w:r>
    </w:p>
    <w:p w14:paraId="48FFB78B" w14:textId="06EEF2FE" w:rsidR="008614FC" w:rsidRDefault="008614FC" w:rsidP="007E043C">
      <w:pPr>
        <w:spacing w:after="120" w:line="269" w:lineRule="auto"/>
        <w:rPr>
          <w:lang w:val="en-NZ" w:eastAsia="en-GB"/>
        </w:rPr>
      </w:pPr>
      <w:r>
        <w:rPr>
          <w:lang w:val="en-NZ" w:eastAsia="en-GB"/>
        </w:rPr>
        <w:t xml:space="preserve">Having a relationship with oneself that is compassionate and respectful was another aspect </w:t>
      </w:r>
      <w:r w:rsidR="00D202C6">
        <w:rPr>
          <w:lang w:val="en-NZ" w:eastAsia="en-GB"/>
        </w:rPr>
        <w:t>that could be added</w:t>
      </w:r>
      <w:r>
        <w:rPr>
          <w:lang w:val="en-NZ" w:eastAsia="en-GB"/>
        </w:rPr>
        <w:t xml:space="preserve"> to this domain.</w:t>
      </w:r>
    </w:p>
    <w:p w14:paraId="4CBE95BA" w14:textId="6FFA09CE" w:rsidR="00F75493" w:rsidRDefault="00F75493" w:rsidP="007E043C">
      <w:pPr>
        <w:pStyle w:val="Quote"/>
        <w:spacing w:before="120" w:after="120" w:line="269" w:lineRule="auto"/>
        <w:rPr>
          <w:lang w:val="en-NZ" w:eastAsia="en-GB"/>
        </w:rPr>
      </w:pPr>
      <w:r>
        <w:t xml:space="preserve">We can have everything in our communities, families, learn about emotions, have support </w:t>
      </w:r>
      <w:proofErr w:type="spellStart"/>
      <w:r>
        <w:t>etc</w:t>
      </w:r>
      <w:proofErr w:type="spellEnd"/>
      <w:r>
        <w:t xml:space="preserve">, but if we are not able to be in relationship kindly with </w:t>
      </w:r>
      <w:proofErr w:type="gramStart"/>
      <w:r>
        <w:t>ourselves</w:t>
      </w:r>
      <w:proofErr w:type="gramEnd"/>
      <w:r>
        <w:t xml:space="preserve"> we can still experience immense and life ruining distress – definitely not wellbeing. [Individual respondent]</w:t>
      </w:r>
    </w:p>
    <w:p w14:paraId="4657F71F" w14:textId="70B3AA5D" w:rsidR="007D7DCE" w:rsidRDefault="0035263D" w:rsidP="007E043C">
      <w:pPr>
        <w:spacing w:after="120" w:line="269" w:lineRule="auto"/>
        <w:rPr>
          <w:lang w:val="en-NZ" w:eastAsia="en-GB"/>
        </w:rPr>
      </w:pPr>
      <w:r>
        <w:rPr>
          <w:lang w:val="en-NZ" w:eastAsia="en-GB"/>
        </w:rPr>
        <w:t>It was pointed out</w:t>
      </w:r>
      <w:r w:rsidR="00127156">
        <w:rPr>
          <w:lang w:val="en-NZ" w:eastAsia="en-GB"/>
        </w:rPr>
        <w:t xml:space="preserve"> that social determinants </w:t>
      </w:r>
      <w:r w:rsidR="00511915">
        <w:rPr>
          <w:lang w:val="en-NZ" w:eastAsia="en-GB"/>
        </w:rPr>
        <w:t xml:space="preserve">such as healthy homes </w:t>
      </w:r>
      <w:r w:rsidR="00127156">
        <w:rPr>
          <w:lang w:val="en-NZ" w:eastAsia="en-GB"/>
        </w:rPr>
        <w:t xml:space="preserve">contribute to good health </w:t>
      </w:r>
      <w:r w:rsidR="00396A18">
        <w:rPr>
          <w:lang w:val="en-NZ" w:eastAsia="en-GB"/>
        </w:rPr>
        <w:t>and</w:t>
      </w:r>
      <w:r w:rsidR="00396A18" w:rsidRPr="00396A18">
        <w:rPr>
          <w:lang w:val="en-NZ" w:eastAsia="en-GB"/>
        </w:rPr>
        <w:t xml:space="preserve"> </w:t>
      </w:r>
      <w:r w:rsidR="00396A18">
        <w:rPr>
          <w:lang w:val="en-NZ" w:eastAsia="en-GB"/>
        </w:rPr>
        <w:t>that people need information to be healthy.</w:t>
      </w:r>
      <w:r w:rsidR="00862F07" w:rsidRPr="00862F07">
        <w:rPr>
          <w:lang w:val="en-NZ" w:eastAsia="en-GB"/>
        </w:rPr>
        <w:t xml:space="preserve"> </w:t>
      </w:r>
      <w:r w:rsidR="00862F07">
        <w:rPr>
          <w:lang w:val="en-NZ" w:eastAsia="en-GB"/>
        </w:rPr>
        <w:t xml:space="preserve">The framework could </w:t>
      </w:r>
      <w:r w:rsidR="00862F07" w:rsidRPr="00E679E2">
        <w:rPr>
          <w:lang w:val="en-NZ" w:eastAsia="en-GB"/>
        </w:rPr>
        <w:t>incorporate more mental health promotion</w:t>
      </w:r>
      <w:r w:rsidR="00862F07">
        <w:rPr>
          <w:lang w:val="en-NZ" w:eastAsia="en-GB"/>
        </w:rPr>
        <w:t xml:space="preserve"> </w:t>
      </w:r>
      <w:r w:rsidR="00862F07" w:rsidRPr="00E679E2">
        <w:rPr>
          <w:lang w:val="en-NZ" w:eastAsia="en-GB"/>
        </w:rPr>
        <w:t xml:space="preserve">elements, </w:t>
      </w:r>
      <w:r w:rsidR="00862F07">
        <w:rPr>
          <w:lang w:val="en-NZ" w:eastAsia="en-GB"/>
        </w:rPr>
        <w:t>‘</w:t>
      </w:r>
      <w:r w:rsidR="00862F07" w:rsidRPr="00E679E2">
        <w:rPr>
          <w:lang w:val="en-NZ" w:eastAsia="en-GB"/>
        </w:rPr>
        <w:t>for example promoting good behaviours as protective factors for mental</w:t>
      </w:r>
      <w:r w:rsidR="00862F07">
        <w:rPr>
          <w:lang w:val="en-NZ" w:eastAsia="en-GB"/>
        </w:rPr>
        <w:t xml:space="preserve"> </w:t>
      </w:r>
      <w:r w:rsidR="00862F07" w:rsidRPr="00E679E2">
        <w:rPr>
          <w:lang w:val="en-NZ" w:eastAsia="en-GB"/>
        </w:rPr>
        <w:t>health and wellbeing</w:t>
      </w:r>
      <w:r w:rsidR="00223C9F">
        <w:rPr>
          <w:lang w:val="en-NZ" w:eastAsia="en-GB"/>
        </w:rPr>
        <w:t>.</w:t>
      </w:r>
      <w:r w:rsidR="00862F07">
        <w:rPr>
          <w:lang w:val="en-NZ" w:eastAsia="en-GB"/>
        </w:rPr>
        <w:t>’</w:t>
      </w:r>
      <w:r w:rsidR="00F75493">
        <w:rPr>
          <w:rStyle w:val="FootnoteReference"/>
          <w:lang w:val="en-NZ" w:eastAsia="en-GB"/>
        </w:rPr>
        <w:footnoteReference w:id="49"/>
      </w:r>
    </w:p>
    <w:p w14:paraId="40662EBF" w14:textId="77777777" w:rsidR="00862F07" w:rsidRDefault="00862F07" w:rsidP="007E043C">
      <w:pPr>
        <w:spacing w:after="120" w:line="269" w:lineRule="auto"/>
        <w:rPr>
          <w:lang w:val="en-NZ" w:eastAsia="en-GB"/>
        </w:rPr>
      </w:pPr>
      <w:r>
        <w:rPr>
          <w:lang w:val="en-NZ" w:eastAsia="en-GB"/>
        </w:rPr>
        <w:t>It was also</w:t>
      </w:r>
      <w:r w:rsidR="00801CF4">
        <w:rPr>
          <w:lang w:val="en-NZ" w:eastAsia="en-GB"/>
        </w:rPr>
        <w:t xml:space="preserve"> noted in relation to the phrase</w:t>
      </w:r>
      <w:r w:rsidR="00801CF4" w:rsidRPr="00CE50FE">
        <w:rPr>
          <w:lang w:val="en-NZ" w:eastAsia="en-GB"/>
        </w:rPr>
        <w:t xml:space="preserve"> </w:t>
      </w:r>
      <w:r w:rsidR="00801CF4">
        <w:rPr>
          <w:lang w:val="en-NZ" w:eastAsia="en-GB"/>
        </w:rPr>
        <w:t>‘</w:t>
      </w:r>
      <w:r w:rsidR="00801CF4" w:rsidRPr="00CE50FE">
        <w:rPr>
          <w:lang w:val="en-NZ" w:eastAsia="en-GB"/>
        </w:rPr>
        <w:t>equity of health</w:t>
      </w:r>
      <w:r w:rsidR="00801CF4">
        <w:rPr>
          <w:lang w:val="en-NZ" w:eastAsia="en-GB"/>
        </w:rPr>
        <w:t>’</w:t>
      </w:r>
      <w:r w:rsidR="00801CF4" w:rsidRPr="00CE50FE">
        <w:rPr>
          <w:lang w:val="en-NZ" w:eastAsia="en-GB"/>
        </w:rPr>
        <w:t xml:space="preserve">, </w:t>
      </w:r>
      <w:r w:rsidR="00801CF4">
        <w:rPr>
          <w:lang w:val="en-NZ" w:eastAsia="en-GB"/>
        </w:rPr>
        <w:t>that</w:t>
      </w:r>
      <w:r w:rsidR="00801CF4" w:rsidRPr="00CE50FE">
        <w:rPr>
          <w:lang w:val="en-NZ" w:eastAsia="en-GB"/>
        </w:rPr>
        <w:t xml:space="preserve"> equity </w:t>
      </w:r>
      <w:r w:rsidR="00801CF4">
        <w:rPr>
          <w:lang w:val="en-NZ" w:eastAsia="en-GB"/>
        </w:rPr>
        <w:t>was not used</w:t>
      </w:r>
      <w:r w:rsidR="00801CF4" w:rsidRPr="00CE50FE">
        <w:rPr>
          <w:lang w:val="en-NZ" w:eastAsia="en-GB"/>
        </w:rPr>
        <w:t xml:space="preserve"> in reference to other areas in a similar way. </w:t>
      </w:r>
    </w:p>
    <w:p w14:paraId="39374012" w14:textId="7A28FF95" w:rsidR="00FE3520" w:rsidRDefault="00801CF4" w:rsidP="007E043C">
      <w:pPr>
        <w:pStyle w:val="Quote"/>
        <w:spacing w:before="120" w:after="120" w:line="269" w:lineRule="auto"/>
        <w:rPr>
          <w:lang w:val="en-NZ" w:eastAsia="en-GB"/>
        </w:rPr>
      </w:pPr>
      <w:r w:rsidRPr="00CE50FE">
        <w:rPr>
          <w:lang w:val="en-NZ" w:eastAsia="en-GB"/>
        </w:rPr>
        <w:t xml:space="preserve">It would be good to expand the phase equity of health so that it encompasses wellbeing in its fullest sense, and in particular, mental wellbeing and addiction, either in this section or </w:t>
      </w:r>
      <w:proofErr w:type="spellStart"/>
      <w:r w:rsidRPr="005C32A5">
        <w:rPr>
          <w:rFonts w:cs="Arial"/>
          <w:szCs w:val="20"/>
          <w:lang w:val="en-NZ" w:eastAsia="en-GB"/>
        </w:rPr>
        <w:t>incorpor</w:t>
      </w:r>
      <w:proofErr w:type="spellEnd"/>
      <w:r w:rsidRPr="005C32A5">
        <w:t xml:space="preserve">ate it into other areas. </w:t>
      </w:r>
      <w:r w:rsidR="00862F07" w:rsidRPr="005C32A5">
        <w:t>[</w:t>
      </w:r>
      <w:r w:rsidR="005C32A5" w:rsidRPr="005C32A5">
        <w:t xml:space="preserve">Te </w:t>
      </w:r>
      <w:proofErr w:type="spellStart"/>
      <w:r w:rsidR="005C32A5" w:rsidRPr="005C32A5">
        <w:t>Hiringa</w:t>
      </w:r>
      <w:proofErr w:type="spellEnd"/>
      <w:r w:rsidR="005C32A5" w:rsidRPr="005C32A5">
        <w:t xml:space="preserve"> </w:t>
      </w:r>
      <w:proofErr w:type="spellStart"/>
      <w:r w:rsidR="005C32A5" w:rsidRPr="005C32A5">
        <w:t>Haurora</w:t>
      </w:r>
      <w:proofErr w:type="spellEnd"/>
      <w:r w:rsidR="00D97845">
        <w:t xml:space="preserve"> – </w:t>
      </w:r>
      <w:r w:rsidR="005C32A5" w:rsidRPr="005C32A5">
        <w:t>Health Promotion Agency</w:t>
      </w:r>
      <w:r w:rsidR="00862F07" w:rsidRPr="005C32A5">
        <w:t>]</w:t>
      </w:r>
    </w:p>
    <w:p w14:paraId="0FBEEE85" w14:textId="2447B026" w:rsidR="007A7161" w:rsidRDefault="007A7161" w:rsidP="005C32A5">
      <w:pPr>
        <w:pStyle w:val="Heading4"/>
      </w:pPr>
      <w:bookmarkStart w:id="45" w:name="_Ref51683060"/>
      <w:r>
        <w:t xml:space="preserve">Domain 3 for </w:t>
      </w:r>
      <w:r w:rsidR="00CD0CC0">
        <w:t xml:space="preserve">Māori as </w:t>
      </w:r>
      <w:r>
        <w:t>tangata whenua</w:t>
      </w:r>
      <w:r w:rsidR="00D97845">
        <w:t xml:space="preserve"> – </w:t>
      </w:r>
      <w:r w:rsidR="00EF1CC0" w:rsidRPr="0049194B">
        <w:t>rangatiratanga</w:t>
      </w:r>
      <w:r w:rsidR="00EF1CC0">
        <w:t xml:space="preserve"> (autonomy), mana </w:t>
      </w:r>
      <w:proofErr w:type="spellStart"/>
      <w:r w:rsidR="00EF1CC0">
        <w:t>motuhake</w:t>
      </w:r>
      <w:proofErr w:type="spellEnd"/>
      <w:r w:rsidR="00EF1CC0">
        <w:t xml:space="preserve"> (authority) and </w:t>
      </w:r>
      <w:proofErr w:type="spellStart"/>
      <w:r w:rsidR="00EF1CC0">
        <w:t>whakaute</w:t>
      </w:r>
      <w:proofErr w:type="spellEnd"/>
      <w:r w:rsidR="00EF1CC0">
        <w:t xml:space="preserve"> (respect)</w:t>
      </w:r>
      <w:bookmarkEnd w:id="45"/>
    </w:p>
    <w:p w14:paraId="7591197A" w14:textId="67D238D7" w:rsidR="00D24F79" w:rsidRPr="00D24F79" w:rsidRDefault="00D24F79" w:rsidP="005C32A5">
      <w:pPr>
        <w:pStyle w:val="Heading5"/>
      </w:pPr>
      <w:r>
        <w:t>Rangatiratanga</w:t>
      </w:r>
    </w:p>
    <w:p w14:paraId="2AD11DB7" w14:textId="6A46CB22" w:rsidR="007A7161" w:rsidRPr="007A7161" w:rsidRDefault="007A7161" w:rsidP="007E043C">
      <w:pPr>
        <w:spacing w:after="120" w:line="269" w:lineRule="auto"/>
        <w:rPr>
          <w:lang w:val="en-NZ" w:eastAsia="en-GB"/>
        </w:rPr>
      </w:pPr>
      <w:r>
        <w:rPr>
          <w:lang w:val="en-NZ" w:eastAsia="en-GB"/>
        </w:rPr>
        <w:t>Many respondents</w:t>
      </w:r>
      <w:r w:rsidR="008038F4">
        <w:rPr>
          <w:lang w:val="en-NZ" w:eastAsia="en-GB"/>
        </w:rPr>
        <w:t>, including those in the Māori focus group,</w:t>
      </w:r>
      <w:r>
        <w:rPr>
          <w:lang w:val="en-NZ" w:eastAsia="en-GB"/>
        </w:rPr>
        <w:t xml:space="preserve"> questioned the repetition of rangatiratanga in domains 3 and 6. </w:t>
      </w:r>
    </w:p>
    <w:p w14:paraId="6D02D37C" w14:textId="5D3D8217" w:rsidR="007609C0" w:rsidRDefault="007609C0" w:rsidP="007E043C">
      <w:pPr>
        <w:pStyle w:val="Quote"/>
        <w:spacing w:before="120" w:after="120" w:line="269" w:lineRule="auto"/>
        <w:rPr>
          <w:lang w:eastAsia="en-NZ"/>
        </w:rPr>
      </w:pPr>
      <w:r w:rsidRPr="007609C0">
        <w:rPr>
          <w:lang w:eastAsia="en-NZ"/>
        </w:rPr>
        <w:t>For M</w:t>
      </w:r>
      <w:r>
        <w:rPr>
          <w:lang w:eastAsia="en-NZ"/>
        </w:rPr>
        <w:t>ā</w:t>
      </w:r>
      <w:r w:rsidRPr="007609C0">
        <w:rPr>
          <w:lang w:eastAsia="en-NZ"/>
        </w:rPr>
        <w:t>ori as tangata whenua there appears to be two wellbeing areas (the third and sixth in list) that are the same with a slight variation (</w:t>
      </w:r>
      <w:proofErr w:type="spellStart"/>
      <w:r w:rsidRPr="007609C0">
        <w:rPr>
          <w:lang w:eastAsia="en-NZ"/>
        </w:rPr>
        <w:t>whakaute</w:t>
      </w:r>
      <w:proofErr w:type="spellEnd"/>
      <w:r w:rsidRPr="007609C0">
        <w:rPr>
          <w:lang w:eastAsia="en-NZ"/>
        </w:rPr>
        <w:t xml:space="preserve"> and </w:t>
      </w:r>
      <w:proofErr w:type="spellStart"/>
      <w:r w:rsidRPr="007609C0">
        <w:rPr>
          <w:lang w:eastAsia="en-NZ"/>
        </w:rPr>
        <w:t>whakanuitanga</w:t>
      </w:r>
      <w:proofErr w:type="spellEnd"/>
      <w:r w:rsidRPr="007609C0">
        <w:rPr>
          <w:lang w:eastAsia="en-NZ"/>
        </w:rPr>
        <w:t>), however a clear distinction is made in their corresponding descriptions. A suggestion to change the third wellbeing area title to better represent the corresponding description and to make distinct from the sixth wellbeing area.</w:t>
      </w:r>
      <w:r>
        <w:rPr>
          <w:lang w:eastAsia="en-NZ"/>
        </w:rPr>
        <w:t xml:space="preserve"> </w:t>
      </w:r>
      <w:r w:rsidR="00A776EF">
        <w:rPr>
          <w:lang w:eastAsia="en-NZ"/>
        </w:rPr>
        <w:t>[Individual respondent]</w:t>
      </w:r>
    </w:p>
    <w:p w14:paraId="58667C1D" w14:textId="389B75C9" w:rsidR="0006035D" w:rsidRDefault="0006035D" w:rsidP="007E043C">
      <w:pPr>
        <w:spacing w:after="120" w:line="269" w:lineRule="auto"/>
        <w:rPr>
          <w:lang w:eastAsia="en-NZ"/>
        </w:rPr>
      </w:pPr>
      <w:r>
        <w:rPr>
          <w:lang w:val="en-NZ" w:eastAsia="en-GB"/>
        </w:rPr>
        <w:t xml:space="preserve">The Māori focus group </w:t>
      </w:r>
      <w:r w:rsidR="008038F4">
        <w:rPr>
          <w:lang w:val="en-NZ" w:eastAsia="en-GB"/>
        </w:rPr>
        <w:t xml:space="preserve">also </w:t>
      </w:r>
      <w:r>
        <w:rPr>
          <w:lang w:val="en-NZ" w:eastAsia="en-GB"/>
        </w:rPr>
        <w:t xml:space="preserve">asked that the title of Domain 3 be </w:t>
      </w:r>
      <w:r w:rsidR="007609C0">
        <w:rPr>
          <w:lang w:val="en-NZ" w:eastAsia="en-GB"/>
        </w:rPr>
        <w:t>t</w:t>
      </w:r>
      <w:r>
        <w:rPr>
          <w:lang w:val="en-NZ" w:eastAsia="en-GB"/>
        </w:rPr>
        <w:t>ino rangatiratanga</w:t>
      </w:r>
      <w:r w:rsidR="007609C0">
        <w:rPr>
          <w:lang w:val="en-NZ" w:eastAsia="en-GB"/>
        </w:rPr>
        <w:t>:</w:t>
      </w:r>
      <w:r w:rsidR="0006655B">
        <w:rPr>
          <w:lang w:val="en-NZ" w:eastAsia="en-GB"/>
        </w:rPr>
        <w:t xml:space="preserve"> </w:t>
      </w:r>
    </w:p>
    <w:p w14:paraId="4E24FB32" w14:textId="1D39785D" w:rsidR="006A0B12" w:rsidRDefault="007609C0" w:rsidP="007E043C">
      <w:pPr>
        <w:pStyle w:val="Quote"/>
        <w:spacing w:before="120" w:after="120" w:line="269" w:lineRule="auto"/>
        <w:rPr>
          <w:lang w:eastAsia="en-NZ"/>
        </w:rPr>
      </w:pPr>
      <w:r>
        <w:rPr>
          <w:lang w:eastAsia="en-NZ"/>
        </w:rPr>
        <w:t xml:space="preserve">Why would you want two domains with rangatiratanga? There’s only </w:t>
      </w:r>
      <w:r w:rsidR="00301B8A">
        <w:rPr>
          <w:lang w:eastAsia="en-NZ"/>
        </w:rPr>
        <w:t>one</w:t>
      </w:r>
      <w:r>
        <w:rPr>
          <w:lang w:eastAsia="en-NZ"/>
        </w:rPr>
        <w:t xml:space="preserve"> class of tino </w:t>
      </w:r>
      <w:r w:rsidRPr="00FD6E5D">
        <w:rPr>
          <w:lang w:eastAsia="en-NZ"/>
        </w:rPr>
        <w:t>rangatiratanga</w:t>
      </w:r>
      <w:r>
        <w:rPr>
          <w:lang w:eastAsia="en-NZ"/>
        </w:rPr>
        <w:t>.</w:t>
      </w:r>
      <w:r w:rsidR="0006655B">
        <w:rPr>
          <w:lang w:eastAsia="en-NZ"/>
        </w:rPr>
        <w:t xml:space="preserve"> </w:t>
      </w:r>
    </w:p>
    <w:p w14:paraId="2D61D939" w14:textId="006DD26C" w:rsidR="00D24F79" w:rsidRDefault="00D24F79" w:rsidP="005C32A5">
      <w:pPr>
        <w:pStyle w:val="Heading5"/>
        <w:rPr>
          <w:lang w:val="en-NZ" w:eastAsia="en-GB"/>
        </w:rPr>
      </w:pPr>
      <w:r>
        <w:rPr>
          <w:lang w:val="en-NZ" w:eastAsia="en-GB"/>
        </w:rPr>
        <w:t>Rights</w:t>
      </w:r>
    </w:p>
    <w:p w14:paraId="4396DC03" w14:textId="0D53C315" w:rsidR="000B7A5A" w:rsidRDefault="000B7A5A" w:rsidP="007E043C">
      <w:pPr>
        <w:spacing w:after="120" w:line="269" w:lineRule="auto"/>
        <w:rPr>
          <w:lang w:val="en-NZ" w:eastAsia="en-GB"/>
        </w:rPr>
      </w:pPr>
      <w:r>
        <w:rPr>
          <w:lang w:val="en-NZ" w:eastAsia="en-GB"/>
        </w:rPr>
        <w:t>Respondents questioned the statement ‘</w:t>
      </w:r>
      <w:r w:rsidRPr="000B7A5A">
        <w:rPr>
          <w:lang w:val="en-NZ" w:eastAsia="en-GB"/>
        </w:rPr>
        <w:t>Whānau legal, human, cultural and other rights framed by Te Tiriti o Waitangi are protected and privileged</w:t>
      </w:r>
      <w:r>
        <w:rPr>
          <w:lang w:val="en-NZ" w:eastAsia="en-GB"/>
        </w:rPr>
        <w:t xml:space="preserve"> ‘. ‘P</w:t>
      </w:r>
      <w:r w:rsidRPr="000B7A5A">
        <w:rPr>
          <w:lang w:val="en-NZ" w:eastAsia="en-GB"/>
        </w:rPr>
        <w:t>rivileged</w:t>
      </w:r>
      <w:r>
        <w:rPr>
          <w:lang w:val="en-NZ" w:eastAsia="en-GB"/>
        </w:rPr>
        <w:t>’</w:t>
      </w:r>
      <w:r w:rsidRPr="000B7A5A">
        <w:rPr>
          <w:lang w:val="en-NZ" w:eastAsia="en-GB"/>
        </w:rPr>
        <w:t xml:space="preserve"> </w:t>
      </w:r>
      <w:r>
        <w:rPr>
          <w:lang w:val="en-NZ" w:eastAsia="en-GB"/>
        </w:rPr>
        <w:t>was</w:t>
      </w:r>
      <w:r w:rsidRPr="000B7A5A">
        <w:rPr>
          <w:lang w:val="en-NZ" w:eastAsia="en-GB"/>
        </w:rPr>
        <w:t xml:space="preserve"> </w:t>
      </w:r>
      <w:r>
        <w:rPr>
          <w:lang w:val="en-NZ" w:eastAsia="en-GB"/>
        </w:rPr>
        <w:t>not the</w:t>
      </w:r>
      <w:r w:rsidRPr="000B7A5A">
        <w:rPr>
          <w:lang w:val="en-NZ" w:eastAsia="en-GB"/>
        </w:rPr>
        <w:t xml:space="preserve"> right term</w:t>
      </w:r>
      <w:r>
        <w:rPr>
          <w:lang w:val="en-NZ" w:eastAsia="en-GB"/>
        </w:rPr>
        <w:t>.</w:t>
      </w:r>
      <w:r w:rsidR="00CA4C12">
        <w:rPr>
          <w:lang w:val="en-NZ" w:eastAsia="en-GB"/>
        </w:rPr>
        <w:t xml:space="preserve"> </w:t>
      </w:r>
      <w:r>
        <w:rPr>
          <w:lang w:val="en-NZ" w:eastAsia="en-GB"/>
        </w:rPr>
        <w:t>‘V</w:t>
      </w:r>
      <w:r w:rsidRPr="000B7A5A">
        <w:rPr>
          <w:lang w:val="en-NZ" w:eastAsia="en-GB"/>
        </w:rPr>
        <w:t>alued</w:t>
      </w:r>
      <w:r>
        <w:rPr>
          <w:lang w:val="en-NZ" w:eastAsia="en-GB"/>
        </w:rPr>
        <w:t>’</w:t>
      </w:r>
      <w:r w:rsidRPr="000B7A5A">
        <w:rPr>
          <w:lang w:val="en-NZ" w:eastAsia="en-GB"/>
        </w:rPr>
        <w:t xml:space="preserve"> or </w:t>
      </w:r>
      <w:r>
        <w:rPr>
          <w:lang w:val="en-NZ" w:eastAsia="en-GB"/>
        </w:rPr>
        <w:t>‘</w:t>
      </w:r>
      <w:r w:rsidRPr="000B7A5A">
        <w:rPr>
          <w:lang w:val="en-NZ" w:eastAsia="en-GB"/>
        </w:rPr>
        <w:t>realised</w:t>
      </w:r>
      <w:r>
        <w:rPr>
          <w:lang w:val="en-NZ" w:eastAsia="en-GB"/>
        </w:rPr>
        <w:t>’ were considered more appropriate.</w:t>
      </w:r>
    </w:p>
    <w:p w14:paraId="20E780A5" w14:textId="0D9597B5" w:rsidR="008E5906" w:rsidRPr="001E35B3" w:rsidRDefault="008E5906" w:rsidP="007E043C">
      <w:pPr>
        <w:spacing w:after="120" w:line="269" w:lineRule="auto"/>
        <w:rPr>
          <w:lang w:val="en-NZ" w:eastAsia="en-GB"/>
        </w:rPr>
      </w:pPr>
      <w:r>
        <w:rPr>
          <w:lang w:val="en-NZ" w:eastAsia="en-GB"/>
        </w:rPr>
        <w:t>This descriptor should r</w:t>
      </w:r>
      <w:r w:rsidRPr="001E35B3">
        <w:rPr>
          <w:lang w:val="en-NZ" w:eastAsia="en-GB"/>
        </w:rPr>
        <w:t xml:space="preserve">eflect that </w:t>
      </w:r>
      <w:r w:rsidR="007F75F3">
        <w:rPr>
          <w:lang w:val="en-NZ" w:eastAsia="en-GB"/>
        </w:rPr>
        <w:t>‘</w:t>
      </w:r>
      <w:r w:rsidRPr="001E35B3">
        <w:rPr>
          <w:lang w:val="en-NZ" w:eastAsia="en-GB"/>
        </w:rPr>
        <w:t>wellbeing</w:t>
      </w:r>
      <w:r w:rsidR="007F75F3">
        <w:rPr>
          <w:lang w:val="en-NZ" w:eastAsia="en-GB"/>
        </w:rPr>
        <w:t>’</w:t>
      </w:r>
      <w:r w:rsidRPr="001E35B3">
        <w:rPr>
          <w:lang w:val="en-NZ" w:eastAsia="en-GB"/>
        </w:rPr>
        <w:t xml:space="preserve"> means</w:t>
      </w:r>
      <w:r>
        <w:rPr>
          <w:lang w:val="en-NZ" w:eastAsia="en-GB"/>
        </w:rPr>
        <w:t xml:space="preserve"> [Māori] </w:t>
      </w:r>
      <w:r w:rsidRPr="001E35B3">
        <w:rPr>
          <w:lang w:val="en-NZ" w:eastAsia="en-GB"/>
        </w:rPr>
        <w:t>have access to timely and appropriate mental health care</w:t>
      </w:r>
      <w:r>
        <w:rPr>
          <w:lang w:val="en-NZ" w:eastAsia="en-GB"/>
        </w:rPr>
        <w:t>.</w:t>
      </w:r>
    </w:p>
    <w:p w14:paraId="48CC95E2" w14:textId="77777777" w:rsidR="00FE3520" w:rsidRDefault="00A776EF" w:rsidP="007E043C">
      <w:pPr>
        <w:pStyle w:val="Quote"/>
        <w:spacing w:before="120" w:after="120" w:line="269" w:lineRule="auto"/>
        <w:rPr>
          <w:lang w:val="en-NZ" w:eastAsia="en-GB"/>
        </w:rPr>
      </w:pPr>
      <w:r>
        <w:rPr>
          <w:lang w:val="en-NZ" w:eastAsia="en-GB"/>
        </w:rPr>
        <w:t>T</w:t>
      </w:r>
      <w:r w:rsidR="008E5906" w:rsidRPr="0076199E">
        <w:rPr>
          <w:lang w:val="en-NZ" w:eastAsia="en-GB"/>
        </w:rPr>
        <w:t>he rangatiratanga domain should also encompass</w:t>
      </w:r>
      <w:r w:rsidR="008E5906">
        <w:rPr>
          <w:lang w:val="en-NZ" w:eastAsia="en-GB"/>
        </w:rPr>
        <w:t xml:space="preserve"> </w:t>
      </w:r>
      <w:r w:rsidR="008E5906" w:rsidRPr="0076199E">
        <w:rPr>
          <w:lang w:val="en-NZ" w:eastAsia="en-GB"/>
        </w:rPr>
        <w:t xml:space="preserve">whānau being self-managing. I don’t feel we are ever truly 'autonomous'. We are all part of a whānau/community </w:t>
      </w:r>
      <w:r w:rsidR="008E5906" w:rsidRPr="0076199E">
        <w:rPr>
          <w:lang w:val="en-NZ" w:eastAsia="en-GB"/>
        </w:rPr>
        <w:lastRenderedPageBreak/>
        <w:t xml:space="preserve">ecosystem and if we want long term, sustainable change for individuals, we need to make sure that they are in supportive </w:t>
      </w:r>
      <w:r w:rsidR="008E5906" w:rsidRPr="009F0376">
        <w:rPr>
          <w:lang w:val="en-NZ" w:eastAsia="en-GB"/>
        </w:rPr>
        <w:t>environments</w:t>
      </w:r>
      <w:r w:rsidR="009F0376" w:rsidRPr="009F0376">
        <w:rPr>
          <w:lang w:val="en-NZ" w:eastAsia="en-GB"/>
        </w:rPr>
        <w:t>.</w:t>
      </w:r>
      <w:r w:rsidR="008E5906" w:rsidRPr="009F0376">
        <w:rPr>
          <w:lang w:val="en-NZ" w:eastAsia="en-GB"/>
        </w:rPr>
        <w:t xml:space="preserve"> [</w:t>
      </w:r>
      <w:r w:rsidR="007A1D0A" w:rsidRPr="009F0376">
        <w:rPr>
          <w:lang w:val="en-NZ" w:eastAsia="en-GB"/>
        </w:rPr>
        <w:t xml:space="preserve">Organisation – </w:t>
      </w:r>
      <w:r w:rsidR="009E2778">
        <w:rPr>
          <w:lang w:val="en-NZ" w:eastAsia="en-GB"/>
        </w:rPr>
        <w:t>did not consent to quotes being attributed</w:t>
      </w:r>
      <w:r w:rsidR="009F0376">
        <w:rPr>
          <w:lang w:val="en-NZ" w:eastAsia="en-GB"/>
        </w:rPr>
        <w:t>]</w:t>
      </w:r>
    </w:p>
    <w:p w14:paraId="17B859C2" w14:textId="042404C2" w:rsidR="00E4334B" w:rsidRDefault="00E4334B" w:rsidP="00E4334B">
      <w:pPr>
        <w:pStyle w:val="Heading4"/>
      </w:pPr>
      <w:r>
        <w:t>Domain 3 for Pacific peoples – have their rights and dignity upheld</w:t>
      </w:r>
    </w:p>
    <w:p w14:paraId="2DBBC66F" w14:textId="66652CC1" w:rsidR="00E4334B" w:rsidRDefault="00E4334B" w:rsidP="00E4334B">
      <w:pPr>
        <w:spacing w:after="120" w:line="269" w:lineRule="auto"/>
      </w:pPr>
      <w:r>
        <w:t xml:space="preserve">Respondents strongly supported the importance of referring to dignity in the framework. </w:t>
      </w:r>
      <w:r w:rsidRPr="003C4927">
        <w:t xml:space="preserve">Cultural norms and values </w:t>
      </w:r>
      <w:r>
        <w:t>being</w:t>
      </w:r>
      <w:r w:rsidRPr="003C4927">
        <w:t xml:space="preserve"> accepted </w:t>
      </w:r>
      <w:r>
        <w:t xml:space="preserve">and respected </w:t>
      </w:r>
      <w:r w:rsidRPr="003C4927">
        <w:t xml:space="preserve">by other cultures </w:t>
      </w:r>
      <w:r>
        <w:t>was also important.</w:t>
      </w:r>
      <w:r w:rsidRPr="003C4927">
        <w:t xml:space="preserve"> </w:t>
      </w:r>
      <w:r>
        <w:t>Participants wanted the framework to recognise the multiple identities of people and the diversity in Pacific communities while maintaining unity. References to racism and discrimination (‘</w:t>
      </w:r>
      <w:r w:rsidRPr="003C4927">
        <w:t>Pacific peoples and families live free from discrimination and racism</w:t>
      </w:r>
      <w:r>
        <w:t>’</w:t>
      </w:r>
      <w:r w:rsidRPr="003C4927">
        <w:t xml:space="preserve">) </w:t>
      </w:r>
      <w:r>
        <w:t xml:space="preserve">should be kept in this domain. </w:t>
      </w:r>
    </w:p>
    <w:p w14:paraId="4B1F782C" w14:textId="013A1EC9" w:rsidR="00127156" w:rsidRDefault="00127156" w:rsidP="00CB5AC5">
      <w:pPr>
        <w:pStyle w:val="Heading4"/>
      </w:pPr>
      <w:r>
        <w:t>Domain 3 for everyone in Aotearoa – have their rights and dignity upheld</w:t>
      </w:r>
    </w:p>
    <w:p w14:paraId="3EB8A95E" w14:textId="1759C7B9" w:rsidR="00D24F79" w:rsidRDefault="00D24F79" w:rsidP="007E043C">
      <w:pPr>
        <w:pStyle w:val="Heading5"/>
        <w:spacing w:before="120" w:after="120" w:line="269" w:lineRule="auto"/>
        <w:rPr>
          <w:lang w:val="en-NZ" w:eastAsia="en-GB"/>
        </w:rPr>
      </w:pPr>
      <w:r>
        <w:rPr>
          <w:lang w:val="en-NZ" w:eastAsia="en-GB"/>
        </w:rPr>
        <w:t>Realisation of rights</w:t>
      </w:r>
    </w:p>
    <w:p w14:paraId="279355D1" w14:textId="68CEE243" w:rsidR="004D35CD" w:rsidRDefault="004D35CD" w:rsidP="007E043C">
      <w:pPr>
        <w:spacing w:after="120" w:line="269" w:lineRule="auto"/>
        <w:rPr>
          <w:lang w:val="en-NZ" w:eastAsia="en-GB"/>
        </w:rPr>
      </w:pPr>
      <w:r>
        <w:rPr>
          <w:lang w:val="en-NZ" w:eastAsia="en-GB"/>
        </w:rPr>
        <w:t>Having one’s rights and dignity upheld was seen as different to having one’s right and dignity fully realised. Being aspirational, full realisation of rights and dignity was seen as a more appropriate outcome.</w:t>
      </w:r>
      <w:r w:rsidRPr="004D35CD">
        <w:rPr>
          <w:lang w:val="en-NZ" w:eastAsia="en-GB"/>
        </w:rPr>
        <w:t xml:space="preserve"> </w:t>
      </w:r>
      <w:r>
        <w:rPr>
          <w:lang w:val="en-NZ" w:eastAsia="en-GB"/>
        </w:rPr>
        <w:t>It was also</w:t>
      </w:r>
      <w:r w:rsidRPr="003A274C">
        <w:rPr>
          <w:lang w:val="en-NZ" w:eastAsia="en-GB"/>
        </w:rPr>
        <w:t xml:space="preserve"> </w:t>
      </w:r>
      <w:r>
        <w:rPr>
          <w:lang w:val="en-NZ" w:eastAsia="en-GB"/>
        </w:rPr>
        <w:t xml:space="preserve">noted that </w:t>
      </w:r>
      <w:r w:rsidRPr="003A274C">
        <w:rPr>
          <w:lang w:val="en-NZ" w:eastAsia="en-GB"/>
        </w:rPr>
        <w:t>human rights are primarily based on an individualistic ideology, which is inherently a</w:t>
      </w:r>
      <w:r>
        <w:rPr>
          <w:lang w:val="en-NZ" w:eastAsia="en-GB"/>
        </w:rPr>
        <w:t xml:space="preserve"> </w:t>
      </w:r>
      <w:r w:rsidRPr="003A274C">
        <w:rPr>
          <w:lang w:val="en-NZ" w:eastAsia="en-GB"/>
        </w:rPr>
        <w:t xml:space="preserve">Western concept. </w:t>
      </w:r>
      <w:r>
        <w:rPr>
          <w:lang w:val="en-NZ" w:eastAsia="en-GB"/>
        </w:rPr>
        <w:t>‘</w:t>
      </w:r>
      <w:r w:rsidRPr="003A274C">
        <w:rPr>
          <w:lang w:val="en-NZ" w:eastAsia="en-GB"/>
        </w:rPr>
        <w:t>Thus, it does not fully capture how groups from collectivist culture and thinking, such as Asian and Pasifika, envision this concept</w:t>
      </w:r>
      <w:r w:rsidR="00223C9F">
        <w:rPr>
          <w:lang w:val="en-NZ" w:eastAsia="en-GB"/>
        </w:rPr>
        <w:t>.</w:t>
      </w:r>
      <w:r>
        <w:rPr>
          <w:lang w:val="en-NZ" w:eastAsia="en-GB"/>
        </w:rPr>
        <w:t>’</w:t>
      </w:r>
      <w:r w:rsidR="009F0376">
        <w:rPr>
          <w:rStyle w:val="FootnoteReference"/>
          <w:lang w:val="en-NZ" w:eastAsia="en-GB"/>
        </w:rPr>
        <w:footnoteReference w:id="50"/>
      </w:r>
      <w:r>
        <w:rPr>
          <w:lang w:val="en-NZ" w:eastAsia="en-GB"/>
        </w:rPr>
        <w:t xml:space="preserve"> </w:t>
      </w:r>
    </w:p>
    <w:p w14:paraId="1597F722" w14:textId="4200E277" w:rsidR="007739DE" w:rsidRDefault="008E5906" w:rsidP="002621C2">
      <w:pPr>
        <w:spacing w:after="120" w:line="269" w:lineRule="auto"/>
        <w:rPr>
          <w:lang w:val="en-NZ" w:eastAsia="en-GB"/>
        </w:rPr>
      </w:pPr>
      <w:r>
        <w:rPr>
          <w:lang w:val="en-NZ" w:eastAsia="en-GB"/>
        </w:rPr>
        <w:t xml:space="preserve">It was suggested </w:t>
      </w:r>
      <w:r w:rsidR="007739DE">
        <w:rPr>
          <w:lang w:val="en-NZ" w:eastAsia="en-GB"/>
        </w:rPr>
        <w:t>that this domain could r</w:t>
      </w:r>
      <w:r w:rsidR="007739DE" w:rsidRPr="001E35B3">
        <w:rPr>
          <w:lang w:val="en-NZ" w:eastAsia="en-GB"/>
        </w:rPr>
        <w:t>eflect</w:t>
      </w:r>
      <w:r w:rsidR="007739DE">
        <w:rPr>
          <w:lang w:val="en-NZ" w:eastAsia="en-GB"/>
        </w:rPr>
        <w:t xml:space="preserve"> (as could others)</w:t>
      </w:r>
      <w:r w:rsidR="007739DE" w:rsidRPr="001E35B3">
        <w:rPr>
          <w:lang w:val="en-NZ" w:eastAsia="en-GB"/>
        </w:rPr>
        <w:t xml:space="preserve"> that wellbeing means</w:t>
      </w:r>
      <w:r w:rsidR="007739DE">
        <w:rPr>
          <w:lang w:val="en-NZ" w:eastAsia="en-GB"/>
        </w:rPr>
        <w:t xml:space="preserve"> ‘</w:t>
      </w:r>
      <w:r w:rsidR="007739DE" w:rsidRPr="001E35B3">
        <w:rPr>
          <w:lang w:val="en-NZ" w:eastAsia="en-GB"/>
        </w:rPr>
        <w:t>people, families and communities have access to timely and appropriate mental health care</w:t>
      </w:r>
      <w:r w:rsidR="007739DE">
        <w:rPr>
          <w:lang w:val="en-NZ" w:eastAsia="en-GB"/>
        </w:rPr>
        <w:t>’ as a right.’</w:t>
      </w:r>
      <w:r w:rsidR="007739DE">
        <w:rPr>
          <w:rStyle w:val="FootnoteReference"/>
          <w:lang w:val="en-NZ" w:eastAsia="en-GB"/>
        </w:rPr>
        <w:footnoteReference w:id="51"/>
      </w:r>
      <w:r w:rsidR="007739DE">
        <w:rPr>
          <w:lang w:val="en-NZ" w:eastAsia="en-GB"/>
        </w:rPr>
        <w:t xml:space="preserve"> </w:t>
      </w:r>
      <w:r w:rsidR="00D3544A">
        <w:rPr>
          <w:lang w:val="en-NZ" w:eastAsia="en-GB"/>
        </w:rPr>
        <w:t xml:space="preserve">One respondent </w:t>
      </w:r>
      <w:r w:rsidR="002621C2">
        <w:rPr>
          <w:lang w:val="en-NZ" w:eastAsia="en-GB"/>
        </w:rPr>
        <w:t>thought that</w:t>
      </w:r>
      <w:r w:rsidR="00796BDB">
        <w:rPr>
          <w:lang w:val="en-NZ" w:eastAsia="en-GB"/>
        </w:rPr>
        <w:t xml:space="preserve"> </w:t>
      </w:r>
      <w:r w:rsidR="007739DE">
        <w:rPr>
          <w:lang w:val="en-NZ" w:eastAsia="en-GB"/>
        </w:rPr>
        <w:t>‘</w:t>
      </w:r>
      <w:r w:rsidR="007739DE" w:rsidRPr="007739DE">
        <w:rPr>
          <w:lang w:val="en-NZ" w:eastAsia="en-GB"/>
        </w:rPr>
        <w:t>Communities, institutions and services support people</w:t>
      </w:r>
      <w:r w:rsidR="007739DE">
        <w:rPr>
          <w:lang w:val="en-NZ" w:eastAsia="en-GB"/>
        </w:rPr>
        <w:t>’</w:t>
      </w:r>
      <w:r w:rsidR="007739DE" w:rsidRPr="007739DE">
        <w:rPr>
          <w:lang w:val="en-NZ" w:eastAsia="en-GB"/>
        </w:rPr>
        <w:t xml:space="preserve"> should be included </w:t>
      </w:r>
      <w:r w:rsidR="002621C2">
        <w:rPr>
          <w:lang w:val="en-NZ" w:eastAsia="en-GB"/>
        </w:rPr>
        <w:t>in the descriptor for Domain 3</w:t>
      </w:r>
      <w:r w:rsidR="007739DE" w:rsidRPr="007739DE">
        <w:rPr>
          <w:lang w:val="en-NZ" w:eastAsia="en-GB"/>
        </w:rPr>
        <w:t xml:space="preserve"> </w:t>
      </w:r>
      <w:r w:rsidR="002621C2">
        <w:rPr>
          <w:lang w:val="en-NZ" w:eastAsia="en-GB"/>
        </w:rPr>
        <w:t>‘</w:t>
      </w:r>
      <w:r w:rsidR="007739DE" w:rsidRPr="007739DE">
        <w:rPr>
          <w:lang w:val="en-NZ" w:eastAsia="en-GB"/>
        </w:rPr>
        <w:t xml:space="preserve">perhaps by saying something like </w:t>
      </w:r>
      <w:r w:rsidR="00D202C6">
        <w:rPr>
          <w:lang w:val="en-NZ" w:eastAsia="en-GB"/>
        </w:rPr>
        <w:t>“</w:t>
      </w:r>
      <w:r w:rsidR="007739DE" w:rsidRPr="007739DE">
        <w:rPr>
          <w:lang w:val="en-NZ" w:eastAsia="en-GB"/>
        </w:rPr>
        <w:t>communities, institutions and services are available to support people while maintaining their dignity and human rights</w:t>
      </w:r>
      <w:r w:rsidR="00D202C6">
        <w:rPr>
          <w:lang w:val="en-NZ" w:eastAsia="en-GB"/>
        </w:rPr>
        <w:t>”</w:t>
      </w:r>
      <w:r w:rsidR="007739DE" w:rsidRPr="007739DE">
        <w:rPr>
          <w:lang w:val="en-NZ" w:eastAsia="en-GB"/>
        </w:rPr>
        <w:t>.</w:t>
      </w:r>
      <w:r w:rsidR="00796BDB">
        <w:rPr>
          <w:lang w:val="en-NZ" w:eastAsia="en-GB"/>
        </w:rPr>
        <w:t xml:space="preserve"> </w:t>
      </w:r>
      <w:r w:rsidR="002621C2">
        <w:rPr>
          <w:lang w:val="en-NZ" w:eastAsia="en-GB"/>
        </w:rPr>
        <w:t>This</w:t>
      </w:r>
      <w:r w:rsidR="007739DE" w:rsidRPr="007739DE">
        <w:rPr>
          <w:lang w:val="en-NZ" w:eastAsia="en-GB"/>
        </w:rPr>
        <w:t xml:space="preserve"> would make it clearer that people would not lose their ability to get help in hospitals </w:t>
      </w:r>
      <w:r w:rsidR="002621C2">
        <w:rPr>
          <w:lang w:val="en-NZ" w:eastAsia="en-GB"/>
        </w:rPr>
        <w:t>‘</w:t>
      </w:r>
      <w:r w:rsidR="007739DE" w:rsidRPr="007739DE">
        <w:rPr>
          <w:lang w:val="en-NZ" w:eastAsia="en-GB"/>
        </w:rPr>
        <w:t>and end up instead in the prison system</w:t>
      </w:r>
      <w:r w:rsidR="00223C9F">
        <w:rPr>
          <w:lang w:val="en-NZ" w:eastAsia="en-GB"/>
        </w:rPr>
        <w:t>.</w:t>
      </w:r>
      <w:r w:rsidR="002621C2">
        <w:rPr>
          <w:lang w:val="en-NZ" w:eastAsia="en-GB"/>
        </w:rPr>
        <w:t>’</w:t>
      </w:r>
      <w:r w:rsidR="002621C2">
        <w:rPr>
          <w:rStyle w:val="FootnoteReference"/>
          <w:lang w:val="en-NZ" w:eastAsia="en-GB"/>
        </w:rPr>
        <w:footnoteReference w:id="52"/>
      </w:r>
    </w:p>
    <w:p w14:paraId="4D5ECC20" w14:textId="6B7A77E4" w:rsidR="007739DE" w:rsidRDefault="007739DE" w:rsidP="007E043C">
      <w:pPr>
        <w:spacing w:after="120" w:line="269" w:lineRule="auto"/>
        <w:rPr>
          <w:lang w:val="en-NZ" w:eastAsia="en-GB"/>
        </w:rPr>
      </w:pPr>
      <w:r>
        <w:rPr>
          <w:lang w:val="en-NZ" w:eastAsia="en-GB"/>
        </w:rPr>
        <w:t>Additionally, t</w:t>
      </w:r>
      <w:r w:rsidR="009D26F1">
        <w:rPr>
          <w:lang w:val="en-NZ" w:eastAsia="en-GB"/>
        </w:rPr>
        <w:t>he Mental Health Foundation suggested that the</w:t>
      </w:r>
      <w:r>
        <w:rPr>
          <w:lang w:val="en-NZ" w:eastAsia="en-GB"/>
        </w:rPr>
        <w:t xml:space="preserve"> </w:t>
      </w:r>
      <w:r w:rsidR="008E5906">
        <w:rPr>
          <w:lang w:val="en-NZ" w:eastAsia="en-GB"/>
        </w:rPr>
        <w:t xml:space="preserve">domain </w:t>
      </w:r>
      <w:r>
        <w:rPr>
          <w:lang w:val="en-NZ" w:eastAsia="en-GB"/>
        </w:rPr>
        <w:t xml:space="preserve">descriptor </w:t>
      </w:r>
      <w:r w:rsidR="008E5906" w:rsidRPr="00B53179">
        <w:rPr>
          <w:lang w:val="en-NZ" w:eastAsia="en-GB"/>
        </w:rPr>
        <w:t>could include the examples of minimising coercive treatment and eliminating seclusion practices (</w:t>
      </w:r>
      <w:r w:rsidR="00511915">
        <w:rPr>
          <w:lang w:val="en-NZ" w:eastAsia="en-GB"/>
        </w:rPr>
        <w:t>related</w:t>
      </w:r>
      <w:r w:rsidR="008E5906" w:rsidRPr="00B53179">
        <w:rPr>
          <w:lang w:val="en-NZ" w:eastAsia="en-GB"/>
        </w:rPr>
        <w:t xml:space="preserve"> to use of the Mental</w:t>
      </w:r>
      <w:r w:rsidR="008E5906">
        <w:rPr>
          <w:lang w:val="en-NZ" w:eastAsia="en-GB"/>
        </w:rPr>
        <w:t xml:space="preserve"> </w:t>
      </w:r>
      <w:r w:rsidR="008E5906" w:rsidRPr="00B53179">
        <w:rPr>
          <w:lang w:val="en-NZ" w:eastAsia="en-GB"/>
        </w:rPr>
        <w:t>Health (Compulsory Assessment and Treatment) Act).</w:t>
      </w:r>
      <w:r w:rsidR="008E5906">
        <w:rPr>
          <w:lang w:val="en-NZ" w:eastAsia="en-GB"/>
        </w:rPr>
        <w:t xml:space="preserve"> </w:t>
      </w:r>
    </w:p>
    <w:p w14:paraId="10B882DB" w14:textId="6A6EDEA3" w:rsidR="008E5906" w:rsidRDefault="003D34AD" w:rsidP="007E043C">
      <w:pPr>
        <w:pStyle w:val="Heading5"/>
        <w:spacing w:before="120" w:after="120" w:line="269" w:lineRule="auto"/>
        <w:rPr>
          <w:lang w:val="en-NZ" w:eastAsia="en-GB"/>
        </w:rPr>
      </w:pPr>
      <w:r>
        <w:rPr>
          <w:lang w:val="en-NZ" w:eastAsia="en-GB"/>
        </w:rPr>
        <w:t>Stigma and</w:t>
      </w:r>
      <w:r w:rsidR="008E5906">
        <w:rPr>
          <w:lang w:val="en-NZ" w:eastAsia="en-GB"/>
        </w:rPr>
        <w:t xml:space="preserve"> discrimination</w:t>
      </w:r>
    </w:p>
    <w:p w14:paraId="0B1FC024" w14:textId="263D482D" w:rsidR="003D34AD" w:rsidRDefault="003D34AD" w:rsidP="007E043C">
      <w:pPr>
        <w:spacing w:after="120" w:line="269" w:lineRule="auto"/>
        <w:rPr>
          <w:lang w:val="en-NZ" w:eastAsia="en-GB"/>
        </w:rPr>
      </w:pPr>
      <w:r>
        <w:rPr>
          <w:lang w:val="en-NZ" w:eastAsia="en-GB"/>
        </w:rPr>
        <w:t>T</w:t>
      </w:r>
      <w:r w:rsidRPr="003D34AD">
        <w:rPr>
          <w:lang w:val="en-NZ" w:eastAsia="en-GB"/>
        </w:rPr>
        <w:t xml:space="preserve">he </w:t>
      </w:r>
      <w:r w:rsidR="00577D08" w:rsidRPr="003D34AD">
        <w:rPr>
          <w:lang w:val="en-NZ" w:eastAsia="en-GB"/>
        </w:rPr>
        <w:t>C</w:t>
      </w:r>
      <w:r w:rsidR="00577D08">
        <w:rPr>
          <w:lang w:val="en-NZ" w:eastAsia="en-GB"/>
        </w:rPr>
        <w:t xml:space="preserve">anterbury </w:t>
      </w:r>
      <w:r w:rsidRPr="003D34AD">
        <w:rPr>
          <w:lang w:val="en-NZ" w:eastAsia="en-GB"/>
        </w:rPr>
        <w:t>DHB recommend</w:t>
      </w:r>
      <w:r>
        <w:rPr>
          <w:lang w:val="en-NZ" w:eastAsia="en-GB"/>
        </w:rPr>
        <w:t>ed</w:t>
      </w:r>
      <w:r w:rsidRPr="003D34AD">
        <w:rPr>
          <w:lang w:val="en-NZ" w:eastAsia="en-GB"/>
        </w:rPr>
        <w:t xml:space="preserve"> that the framework include an explicit mention of stigma</w:t>
      </w:r>
      <w:r w:rsidR="00CA4C12">
        <w:rPr>
          <w:lang w:val="en-NZ" w:eastAsia="en-GB"/>
        </w:rPr>
        <w:t xml:space="preserve"> </w:t>
      </w:r>
      <w:r w:rsidRPr="003D34AD">
        <w:rPr>
          <w:lang w:val="en-NZ" w:eastAsia="en-GB"/>
        </w:rPr>
        <w:t>associated with mental illness and distress.</w:t>
      </w:r>
      <w:r w:rsidR="009313AB">
        <w:rPr>
          <w:lang w:val="en-NZ" w:eastAsia="en-GB"/>
        </w:rPr>
        <w:t xml:space="preserve"> Further to this, another respondent considered</w:t>
      </w:r>
      <w:r w:rsidR="00CA4C12">
        <w:rPr>
          <w:lang w:val="en-NZ" w:eastAsia="en-GB"/>
        </w:rPr>
        <w:t xml:space="preserve"> </w:t>
      </w:r>
      <w:r w:rsidR="009313AB" w:rsidRPr="009313AB">
        <w:rPr>
          <w:lang w:val="en-NZ" w:eastAsia="en-GB"/>
        </w:rPr>
        <w:t>stigma</w:t>
      </w:r>
      <w:r w:rsidR="009313AB">
        <w:rPr>
          <w:lang w:val="en-NZ" w:eastAsia="en-GB"/>
        </w:rPr>
        <w:t xml:space="preserve"> </w:t>
      </w:r>
      <w:r w:rsidR="00064444">
        <w:rPr>
          <w:lang w:val="en-NZ" w:eastAsia="en-GB"/>
        </w:rPr>
        <w:t>‘</w:t>
      </w:r>
      <w:r w:rsidR="009313AB" w:rsidRPr="009313AB">
        <w:rPr>
          <w:lang w:val="en-NZ" w:eastAsia="en-GB"/>
        </w:rPr>
        <w:t>isn't the issue, prejudice and discrimination is. Stigma implies shame, and we should be proud of our lived experiences.</w:t>
      </w:r>
      <w:r w:rsidR="009313AB">
        <w:rPr>
          <w:lang w:val="en-NZ" w:eastAsia="en-GB"/>
        </w:rPr>
        <w:t>’</w:t>
      </w:r>
      <w:r w:rsidR="00064444">
        <w:rPr>
          <w:rStyle w:val="FootnoteReference"/>
          <w:lang w:val="en-NZ" w:eastAsia="en-GB"/>
        </w:rPr>
        <w:footnoteReference w:id="53"/>
      </w:r>
    </w:p>
    <w:p w14:paraId="0DB4ACAE" w14:textId="6D431476" w:rsidR="00B74D67" w:rsidRDefault="008E5906" w:rsidP="007E043C">
      <w:pPr>
        <w:spacing w:after="120" w:line="269" w:lineRule="auto"/>
        <w:rPr>
          <w:lang w:val="en-NZ" w:eastAsia="en-GB"/>
        </w:rPr>
      </w:pPr>
      <w:r>
        <w:rPr>
          <w:lang w:val="en-NZ" w:eastAsia="en-GB"/>
        </w:rPr>
        <w:t xml:space="preserve">There were conflicting views on naming forms of discrimination in the descriptor. Some respondents </w:t>
      </w:r>
      <w:r w:rsidR="00B74D67">
        <w:rPr>
          <w:lang w:val="en-NZ" w:eastAsia="en-GB"/>
        </w:rPr>
        <w:t>valued the explicit inclusion</w:t>
      </w:r>
      <w:r w:rsidR="000E75DA">
        <w:rPr>
          <w:lang w:val="en-NZ" w:eastAsia="en-GB"/>
        </w:rPr>
        <w:t>. For example:</w:t>
      </w:r>
    </w:p>
    <w:p w14:paraId="67514395" w14:textId="290AA8D1" w:rsidR="00B74D67" w:rsidRDefault="00B74D67" w:rsidP="007E043C">
      <w:pPr>
        <w:pStyle w:val="Quote"/>
        <w:spacing w:before="120" w:after="120" w:line="269" w:lineRule="auto"/>
      </w:pPr>
      <w:r w:rsidRPr="00094A5D">
        <w:t>We really appreciate the explicit rainbow inclusion as asked for in our previous submission, it will make a material difference to how this framework supports rainbow communities.</w:t>
      </w:r>
      <w:r>
        <w:t xml:space="preserve"> [</w:t>
      </w:r>
      <w:proofErr w:type="spellStart"/>
      <w:r>
        <w:t>InsideOUT</w:t>
      </w:r>
      <w:proofErr w:type="spellEnd"/>
      <w:r>
        <w:t>]</w:t>
      </w:r>
    </w:p>
    <w:p w14:paraId="12DD1191" w14:textId="3EC62214" w:rsidR="008E5906" w:rsidRPr="0030315C" w:rsidRDefault="008E5906" w:rsidP="007E043C">
      <w:pPr>
        <w:spacing w:after="120" w:line="269" w:lineRule="auto"/>
        <w:rPr>
          <w:lang w:val="en-NZ" w:eastAsia="en-GB"/>
        </w:rPr>
      </w:pPr>
      <w:r>
        <w:rPr>
          <w:lang w:val="en-NZ" w:eastAsia="en-GB"/>
        </w:rPr>
        <w:lastRenderedPageBreak/>
        <w:t>Others felt that naming specific groups could inadvertently exclude some groups</w:t>
      </w:r>
      <w:r w:rsidR="00064444">
        <w:rPr>
          <w:lang w:val="en-NZ" w:eastAsia="en-GB"/>
        </w:rPr>
        <w:t xml:space="preserve">. Also, the descriptor </w:t>
      </w:r>
      <w:r>
        <w:rPr>
          <w:lang w:val="en-NZ" w:eastAsia="en-GB"/>
        </w:rPr>
        <w:t xml:space="preserve">used terms which may not be widely understood. It was suggested instead that the descriptor refer more broadly to valuing diversity and practicing inclusion. </w:t>
      </w:r>
    </w:p>
    <w:p w14:paraId="45F79B00" w14:textId="5788FBEC" w:rsidR="008E5906" w:rsidRDefault="008E5906" w:rsidP="007E043C">
      <w:pPr>
        <w:pStyle w:val="Quote"/>
        <w:spacing w:before="120" w:after="120" w:line="269" w:lineRule="auto"/>
        <w:rPr>
          <w:lang w:val="en-NZ" w:eastAsia="en-GB"/>
        </w:rPr>
      </w:pPr>
      <w:r>
        <w:rPr>
          <w:lang w:val="en-NZ" w:eastAsia="en-GB"/>
        </w:rPr>
        <w:t>W</w:t>
      </w:r>
      <w:r w:rsidRPr="00E769D8">
        <w:rPr>
          <w:lang w:val="en-NZ" w:eastAsia="en-GB"/>
        </w:rPr>
        <w:t>e disagree with naming the phobias and ‘isms’ under have their rights and dignity upheld as this inadvertently excludes/includes; also suggest using plain English rather than terms like ‘</w:t>
      </w:r>
      <w:proofErr w:type="spellStart"/>
      <w:r w:rsidRPr="00E769D8">
        <w:rPr>
          <w:lang w:val="en-NZ" w:eastAsia="en-GB"/>
        </w:rPr>
        <w:t>sanism</w:t>
      </w:r>
      <w:proofErr w:type="spellEnd"/>
      <w:r w:rsidRPr="00E769D8">
        <w:rPr>
          <w:lang w:val="en-NZ" w:eastAsia="en-GB"/>
        </w:rPr>
        <w:t>’ which is not a readily understood term or concept. Basically, a society that values diversity and practices inclusion can eliminate stigma and discrimination for everyone in Aotearoa.</w:t>
      </w:r>
      <w:r>
        <w:rPr>
          <w:lang w:val="en-NZ" w:eastAsia="en-GB"/>
        </w:rPr>
        <w:t xml:space="preserve"> </w:t>
      </w:r>
      <w:r w:rsidR="00FA1A48">
        <w:rPr>
          <w:lang w:val="en-NZ" w:eastAsia="en-GB"/>
        </w:rPr>
        <w:t>[</w:t>
      </w:r>
      <w:r w:rsidR="00FA1A48" w:rsidRPr="00FA1A48">
        <w:rPr>
          <w:lang w:val="en-NZ" w:eastAsia="en-GB"/>
        </w:rPr>
        <w:t>Addiction Consumer Leadership Group (Te Pou)</w:t>
      </w:r>
      <w:r w:rsidR="00FA1A48">
        <w:rPr>
          <w:lang w:val="en-NZ" w:eastAsia="en-GB"/>
        </w:rPr>
        <w:t>]</w:t>
      </w:r>
    </w:p>
    <w:p w14:paraId="47023919" w14:textId="6DB4A01F" w:rsidR="008E5906" w:rsidRDefault="00FB01A0" w:rsidP="007E043C">
      <w:pPr>
        <w:spacing w:after="120" w:line="269" w:lineRule="auto"/>
        <w:rPr>
          <w:lang w:val="en-NZ" w:eastAsia="en-GB"/>
        </w:rPr>
      </w:pPr>
      <w:r>
        <w:rPr>
          <w:lang w:val="en-NZ" w:eastAsia="en-GB"/>
        </w:rPr>
        <w:t>One respondent considered that</w:t>
      </w:r>
      <w:r w:rsidR="00FA1A48">
        <w:rPr>
          <w:lang w:val="en-NZ" w:eastAsia="en-GB"/>
        </w:rPr>
        <w:t xml:space="preserve"> that this</w:t>
      </w:r>
      <w:r w:rsidR="008E5906">
        <w:rPr>
          <w:lang w:val="en-NZ" w:eastAsia="en-GB"/>
        </w:rPr>
        <w:t xml:space="preserve"> domain should </w:t>
      </w:r>
      <w:r w:rsidR="00FA1A48">
        <w:rPr>
          <w:lang w:val="en-NZ" w:eastAsia="en-GB"/>
        </w:rPr>
        <w:t>reference</w:t>
      </w:r>
      <w:r w:rsidR="008E5906">
        <w:rPr>
          <w:lang w:val="en-NZ" w:eastAsia="en-GB"/>
        </w:rPr>
        <w:t xml:space="preserve"> </w:t>
      </w:r>
      <w:r w:rsidR="008E5906" w:rsidRPr="00917D8B">
        <w:rPr>
          <w:lang w:val="en-NZ" w:eastAsia="en-GB"/>
        </w:rPr>
        <w:t>systems and services both within and outside the health</w:t>
      </w:r>
      <w:r w:rsidR="008E5906">
        <w:rPr>
          <w:lang w:val="en-NZ" w:eastAsia="en-GB"/>
        </w:rPr>
        <w:t xml:space="preserve"> </w:t>
      </w:r>
      <w:r w:rsidR="008E5906" w:rsidRPr="00917D8B">
        <w:rPr>
          <w:lang w:val="en-NZ" w:eastAsia="en-GB"/>
        </w:rPr>
        <w:t>sector (</w:t>
      </w:r>
      <w:r w:rsidR="005C5A8F">
        <w:rPr>
          <w:lang w:val="en-NZ" w:eastAsia="en-GB"/>
        </w:rPr>
        <w:t xml:space="preserve">eg, </w:t>
      </w:r>
      <w:r w:rsidR="008E5906" w:rsidRPr="00917D8B">
        <w:rPr>
          <w:lang w:val="en-NZ" w:eastAsia="en-GB"/>
        </w:rPr>
        <w:t xml:space="preserve">education, police, criminal justice) </w:t>
      </w:r>
      <w:r w:rsidR="00FA1A48">
        <w:rPr>
          <w:lang w:val="en-NZ" w:eastAsia="en-GB"/>
        </w:rPr>
        <w:t>being</w:t>
      </w:r>
      <w:r w:rsidR="008E5906" w:rsidRPr="00917D8B">
        <w:rPr>
          <w:lang w:val="en-NZ" w:eastAsia="en-GB"/>
        </w:rPr>
        <w:t xml:space="preserve"> culturally safe and free from racism</w:t>
      </w:r>
      <w:r w:rsidR="008E5906">
        <w:rPr>
          <w:lang w:val="en-NZ" w:eastAsia="en-GB"/>
        </w:rPr>
        <w:t xml:space="preserve"> </w:t>
      </w:r>
      <w:r w:rsidR="008E5906" w:rsidRPr="00917D8B">
        <w:rPr>
          <w:lang w:val="en-NZ" w:eastAsia="en-GB"/>
        </w:rPr>
        <w:t>and discrimination</w:t>
      </w:r>
      <w:r w:rsidR="008E5906">
        <w:rPr>
          <w:lang w:val="en-NZ" w:eastAsia="en-GB"/>
        </w:rPr>
        <w:t>; ‘</w:t>
      </w:r>
      <w:r w:rsidR="008E5906" w:rsidRPr="00917D8B">
        <w:rPr>
          <w:lang w:val="en-NZ" w:eastAsia="en-GB"/>
        </w:rPr>
        <w:t>otherwise it suggests racism exists in communities or some other</w:t>
      </w:r>
      <w:r w:rsidR="008E5906">
        <w:rPr>
          <w:lang w:val="en-NZ" w:eastAsia="en-GB"/>
        </w:rPr>
        <w:t xml:space="preserve"> </w:t>
      </w:r>
      <w:r w:rsidR="008E5906" w:rsidRPr="00917D8B">
        <w:rPr>
          <w:lang w:val="en-NZ" w:eastAsia="en-GB"/>
        </w:rPr>
        <w:t>place in society and is not also institutionalised</w:t>
      </w:r>
      <w:r w:rsidR="00223C9F">
        <w:rPr>
          <w:lang w:val="en-NZ" w:eastAsia="en-GB"/>
        </w:rPr>
        <w:t>.</w:t>
      </w:r>
      <w:r w:rsidR="008E5906">
        <w:rPr>
          <w:lang w:val="en-NZ" w:eastAsia="en-GB"/>
        </w:rPr>
        <w:t>’</w:t>
      </w:r>
      <w:r>
        <w:rPr>
          <w:rStyle w:val="FootnoteReference"/>
          <w:lang w:val="en-NZ" w:eastAsia="en-GB"/>
        </w:rPr>
        <w:footnoteReference w:id="54"/>
      </w:r>
    </w:p>
    <w:p w14:paraId="58714718" w14:textId="456FABEF" w:rsidR="00C457FB" w:rsidRDefault="00C457FB" w:rsidP="007E043C">
      <w:pPr>
        <w:spacing w:after="120" w:line="269" w:lineRule="auto"/>
        <w:rPr>
          <w:lang w:val="en-NZ" w:eastAsia="en-GB"/>
        </w:rPr>
      </w:pPr>
      <w:r>
        <w:rPr>
          <w:lang w:val="en-NZ" w:eastAsia="en-GB"/>
        </w:rPr>
        <w:t xml:space="preserve">It was further suggested that </w:t>
      </w:r>
      <w:r w:rsidRPr="00C457FB">
        <w:rPr>
          <w:lang w:val="en-NZ" w:eastAsia="en-GB"/>
        </w:rPr>
        <w:t xml:space="preserve">the International Guidelines on Human Rights and Drug Policy (2019) inform the work of the Commission as relates to people who use drugs </w:t>
      </w:r>
      <w:r>
        <w:rPr>
          <w:lang w:val="en-NZ" w:eastAsia="en-GB"/>
        </w:rPr>
        <w:t xml:space="preserve">and </w:t>
      </w:r>
      <w:r w:rsidRPr="00C457FB">
        <w:rPr>
          <w:lang w:val="en-NZ" w:eastAsia="en-GB"/>
        </w:rPr>
        <w:t xml:space="preserve">alcohol and </w:t>
      </w:r>
      <w:r>
        <w:rPr>
          <w:lang w:val="en-NZ" w:eastAsia="en-GB"/>
        </w:rPr>
        <w:t xml:space="preserve">have </w:t>
      </w:r>
      <w:r w:rsidRPr="00C457FB">
        <w:rPr>
          <w:lang w:val="en-NZ" w:eastAsia="en-GB"/>
        </w:rPr>
        <w:t>addiction</w:t>
      </w:r>
      <w:r>
        <w:rPr>
          <w:lang w:val="en-NZ" w:eastAsia="en-GB"/>
        </w:rPr>
        <w:t xml:space="preserve"> issues</w:t>
      </w:r>
      <w:r w:rsidR="00FA1A48">
        <w:rPr>
          <w:lang w:val="en-NZ" w:eastAsia="en-GB"/>
        </w:rPr>
        <w:t xml:space="preserve">: </w:t>
      </w:r>
      <w:r w:rsidR="007F75F3">
        <w:rPr>
          <w:lang w:val="en-NZ" w:eastAsia="en-GB"/>
        </w:rPr>
        <w:t>‘</w:t>
      </w:r>
      <w:r>
        <w:rPr>
          <w:lang w:val="en-NZ" w:eastAsia="en-GB"/>
        </w:rPr>
        <w:t>‘Rights and dignity upheld’</w:t>
      </w:r>
      <w:r w:rsidR="00D97845">
        <w:rPr>
          <w:lang w:val="en-NZ" w:eastAsia="en-GB"/>
        </w:rPr>
        <w:t xml:space="preserve"> – </w:t>
      </w:r>
      <w:r w:rsidRPr="00C457FB">
        <w:rPr>
          <w:lang w:val="en-NZ" w:eastAsia="en-GB"/>
        </w:rPr>
        <w:t>this is the elephant in the room for many people with addiction issues, particularly people who use drugs.</w:t>
      </w:r>
      <w:r w:rsidR="007F75F3">
        <w:rPr>
          <w:lang w:val="en-NZ" w:eastAsia="en-GB"/>
        </w:rPr>
        <w:t>’</w:t>
      </w:r>
      <w:r w:rsidR="00FB01A0">
        <w:rPr>
          <w:rStyle w:val="FootnoteReference"/>
          <w:lang w:val="en-NZ" w:eastAsia="en-GB"/>
        </w:rPr>
        <w:footnoteReference w:id="55"/>
      </w:r>
    </w:p>
    <w:p w14:paraId="19933E74" w14:textId="0C7AEE1B" w:rsidR="001151E2" w:rsidRDefault="001151E2" w:rsidP="007E043C">
      <w:pPr>
        <w:pStyle w:val="Heading5"/>
        <w:spacing w:before="120" w:after="120" w:line="269" w:lineRule="auto"/>
      </w:pPr>
      <w:r w:rsidRPr="001151E2">
        <w:t>Values</w:t>
      </w:r>
    </w:p>
    <w:p w14:paraId="51C3CB6D" w14:textId="6F4E11C5" w:rsidR="00367FE3" w:rsidRPr="00367FE3" w:rsidRDefault="00087D3F" w:rsidP="007E043C">
      <w:pPr>
        <w:spacing w:after="120" w:line="269" w:lineRule="auto"/>
      </w:pPr>
      <w:r>
        <w:t>It was suggested there</w:t>
      </w:r>
      <w:r w:rsidR="00367FE3">
        <w:t xml:space="preserve"> </w:t>
      </w:r>
      <w:r w:rsidR="00FA1A48">
        <w:t xml:space="preserve">should </w:t>
      </w:r>
      <w:r w:rsidR="00367FE3">
        <w:t xml:space="preserve">be a </w:t>
      </w:r>
      <w:r w:rsidR="001151E2" w:rsidRPr="00E539D6">
        <w:rPr>
          <w:lang w:val="en-NZ"/>
        </w:rPr>
        <w:t>clea</w:t>
      </w:r>
      <w:r w:rsidR="00367FE3">
        <w:rPr>
          <w:lang w:val="en-NZ"/>
        </w:rPr>
        <w:t>r</w:t>
      </w:r>
      <w:r w:rsidR="001151E2" w:rsidRPr="00E539D6">
        <w:rPr>
          <w:lang w:val="en-NZ"/>
        </w:rPr>
        <w:t xml:space="preserve"> and explicit recognition of the importance of </w:t>
      </w:r>
      <w:r w:rsidR="00912A94">
        <w:rPr>
          <w:lang w:val="en-NZ"/>
        </w:rPr>
        <w:t>‘</w:t>
      </w:r>
      <w:r w:rsidR="001151E2" w:rsidRPr="00E539D6">
        <w:rPr>
          <w:lang w:val="en-NZ"/>
        </w:rPr>
        <w:t>values</w:t>
      </w:r>
      <w:r w:rsidR="00912A94">
        <w:rPr>
          <w:lang w:val="en-NZ"/>
        </w:rPr>
        <w:t>’</w:t>
      </w:r>
      <w:r w:rsidR="001151E2" w:rsidRPr="00E539D6">
        <w:rPr>
          <w:lang w:val="en-NZ"/>
        </w:rPr>
        <w:t xml:space="preserve">, particularly cultural values included in the </w:t>
      </w:r>
      <w:r w:rsidR="00912A94">
        <w:rPr>
          <w:lang w:val="en-NZ"/>
        </w:rPr>
        <w:t>‘</w:t>
      </w:r>
      <w:r w:rsidR="001151E2" w:rsidRPr="00E539D6">
        <w:rPr>
          <w:lang w:val="en-NZ"/>
        </w:rPr>
        <w:t>rights and dignity</w:t>
      </w:r>
      <w:r w:rsidR="00912A94">
        <w:rPr>
          <w:lang w:val="en-NZ"/>
        </w:rPr>
        <w:t>’</w:t>
      </w:r>
      <w:r w:rsidR="001151E2" w:rsidRPr="00E539D6">
        <w:rPr>
          <w:lang w:val="en-NZ"/>
        </w:rPr>
        <w:t xml:space="preserve"> outcome area. </w:t>
      </w:r>
    </w:p>
    <w:p w14:paraId="4A9608F6" w14:textId="77777777" w:rsidR="00FE3520" w:rsidRDefault="001151E2" w:rsidP="007E043C">
      <w:pPr>
        <w:pStyle w:val="Quote"/>
        <w:spacing w:before="120" w:after="120" w:line="269" w:lineRule="auto"/>
        <w:rPr>
          <w:b/>
          <w:lang w:val="en-NZ"/>
        </w:rPr>
      </w:pPr>
      <w:r w:rsidRPr="00E539D6">
        <w:rPr>
          <w:lang w:val="en-NZ"/>
        </w:rPr>
        <w:t>Presently, this is to be inferred by the current framing. An acknowledgment of the importance of being empowered and enabled to express and preserve important cultural values and norms could be included in the framework. We note, this approach is also reflective of an important protective factor for Pacific peoples’ wellbeing</w:t>
      </w:r>
      <w:r w:rsidRPr="00E62040">
        <w:rPr>
          <w:lang w:val="en-NZ"/>
        </w:rPr>
        <w:t>.</w:t>
      </w:r>
      <w:r w:rsidR="00CA4C12" w:rsidRPr="00E62040">
        <w:rPr>
          <w:lang w:val="en-NZ"/>
        </w:rPr>
        <w:t xml:space="preserve"> </w:t>
      </w:r>
      <w:r w:rsidRPr="00E62040">
        <w:rPr>
          <w:lang w:val="en-NZ"/>
        </w:rPr>
        <w:t>[Organisation</w:t>
      </w:r>
      <w:r w:rsidR="00E62040" w:rsidRPr="00E62040">
        <w:rPr>
          <w:lang w:val="en-NZ"/>
        </w:rPr>
        <w:t xml:space="preserve"> – did not</w:t>
      </w:r>
      <w:r w:rsidR="00E62040">
        <w:rPr>
          <w:lang w:val="en-NZ"/>
        </w:rPr>
        <w:t xml:space="preserve"> wish to have quotes attributed</w:t>
      </w:r>
      <w:r>
        <w:rPr>
          <w:lang w:val="en-NZ"/>
        </w:rPr>
        <w:t>]</w:t>
      </w:r>
    </w:p>
    <w:p w14:paraId="33D094A7" w14:textId="3F48FF6A" w:rsidR="0035263D" w:rsidRPr="0035263D" w:rsidRDefault="0035263D" w:rsidP="00CB5AC5">
      <w:pPr>
        <w:pStyle w:val="Heading4"/>
      </w:pPr>
      <w:r w:rsidRPr="0035263D">
        <w:t>Domain 4 for Māori as tangata whenua</w:t>
      </w:r>
      <w:r w:rsidR="00D97845">
        <w:t xml:space="preserve"> – </w:t>
      </w:r>
      <w:r w:rsidRPr="0035263D">
        <w:t>whanaungatanga (connection and belonging</w:t>
      </w:r>
    </w:p>
    <w:p w14:paraId="0B985139" w14:textId="3DF127F8" w:rsidR="004C055A" w:rsidRDefault="004C055A" w:rsidP="007E043C">
      <w:pPr>
        <w:spacing w:after="120" w:line="269" w:lineRule="auto"/>
        <w:rPr>
          <w:lang w:val="en-NZ" w:eastAsia="en-GB"/>
        </w:rPr>
      </w:pPr>
      <w:r>
        <w:rPr>
          <w:lang w:val="en-NZ" w:eastAsia="en-GB"/>
        </w:rPr>
        <w:t>The importance of whanaungatanga was emphasised ‘</w:t>
      </w:r>
      <w:r w:rsidR="008E2BA4" w:rsidRPr="008E2BA4">
        <w:rPr>
          <w:lang w:val="en-NZ" w:eastAsia="en-GB"/>
        </w:rPr>
        <w:t>because it is about identity as well as connection and belonging and identity is at the heart of wellbeing and therefore mental health</w:t>
      </w:r>
      <w:r w:rsidR="00223C9F">
        <w:rPr>
          <w:lang w:val="en-NZ" w:eastAsia="en-GB"/>
        </w:rPr>
        <w:t>.</w:t>
      </w:r>
      <w:r w:rsidR="008E2BA4">
        <w:rPr>
          <w:lang w:val="en-NZ" w:eastAsia="en-GB"/>
        </w:rPr>
        <w:t>’</w:t>
      </w:r>
      <w:r w:rsidR="008E2BA4">
        <w:rPr>
          <w:rStyle w:val="FootnoteReference"/>
          <w:lang w:val="en-NZ" w:eastAsia="en-GB"/>
        </w:rPr>
        <w:footnoteReference w:id="56"/>
      </w:r>
      <w:r>
        <w:rPr>
          <w:lang w:val="en-NZ" w:eastAsia="en-GB"/>
        </w:rPr>
        <w:t xml:space="preserve"> </w:t>
      </w:r>
    </w:p>
    <w:p w14:paraId="08B18C40" w14:textId="331A1B5B" w:rsidR="00DC47D0" w:rsidRDefault="006862D8" w:rsidP="007E043C">
      <w:pPr>
        <w:spacing w:after="120" w:line="269" w:lineRule="auto"/>
        <w:rPr>
          <w:lang w:val="en-NZ" w:eastAsia="en-GB"/>
        </w:rPr>
      </w:pPr>
      <w:r w:rsidRPr="006862D8">
        <w:rPr>
          <w:lang w:val="en-NZ" w:eastAsia="en-GB"/>
        </w:rPr>
        <w:t xml:space="preserve">Whanaungatanga </w:t>
      </w:r>
      <w:r w:rsidR="00DC47D0">
        <w:rPr>
          <w:lang w:val="en-NZ" w:eastAsia="en-GB"/>
        </w:rPr>
        <w:t xml:space="preserve">in the descriptor was seen by one respondent to </w:t>
      </w:r>
      <w:r w:rsidRPr="006862D8">
        <w:rPr>
          <w:lang w:val="en-NZ" w:eastAsia="en-GB"/>
        </w:rPr>
        <w:t>equat</w:t>
      </w:r>
      <w:r w:rsidR="00DC47D0">
        <w:rPr>
          <w:lang w:val="en-NZ" w:eastAsia="en-GB"/>
        </w:rPr>
        <w:t>e appropriately with the ‘for everyone’ descriptor:</w:t>
      </w:r>
    </w:p>
    <w:p w14:paraId="784FC7FD" w14:textId="2CAE5DA0" w:rsidR="006862D8" w:rsidRDefault="00DC47D0" w:rsidP="007E043C">
      <w:pPr>
        <w:pStyle w:val="Quote"/>
        <w:spacing w:before="120" w:after="120" w:line="269" w:lineRule="auto"/>
        <w:rPr>
          <w:lang w:val="en-NZ" w:eastAsia="en-GB"/>
        </w:rPr>
      </w:pPr>
      <w:r>
        <w:rPr>
          <w:lang w:val="en-NZ" w:eastAsia="en-GB"/>
        </w:rPr>
        <w:t>C</w:t>
      </w:r>
      <w:r w:rsidR="006862D8" w:rsidRPr="006862D8">
        <w:rPr>
          <w:lang w:val="en-NZ" w:eastAsia="en-GB"/>
        </w:rPr>
        <w:t>onnection and belonging is defined and where wh</w:t>
      </w:r>
      <w:r w:rsidR="00C003F9">
        <w:rPr>
          <w:lang w:val="en-NZ" w:eastAsia="en-GB"/>
        </w:rPr>
        <w:t>ā</w:t>
      </w:r>
      <w:r w:rsidR="006862D8" w:rsidRPr="006862D8">
        <w:rPr>
          <w:lang w:val="en-NZ" w:eastAsia="en-GB"/>
        </w:rPr>
        <w:t xml:space="preserve">nau thrive in an environment of arohatanga (the practice of love.) and where collective flourishing can occur. </w:t>
      </w:r>
      <w:r w:rsidR="001338A2" w:rsidRPr="006862D8">
        <w:rPr>
          <w:lang w:val="en-NZ" w:eastAsia="en-GB"/>
        </w:rPr>
        <w:t>Overarching</w:t>
      </w:r>
      <w:r w:rsidR="006862D8" w:rsidRPr="006862D8">
        <w:rPr>
          <w:lang w:val="en-NZ" w:eastAsia="en-GB"/>
        </w:rPr>
        <w:t xml:space="preserve"> this is the idea that all people are valued and able to function in their chosen roles as in education, volunteering, and employment and contributing to thriving communities. These communities can celebrate strengths and practice empathy and compassion</w:t>
      </w:r>
      <w:r>
        <w:rPr>
          <w:lang w:val="en-NZ" w:eastAsia="en-GB"/>
        </w:rPr>
        <w:t xml:space="preserve"> [</w:t>
      </w:r>
      <w:r w:rsidR="00CB5AC5">
        <w:rPr>
          <w:lang w:val="en-NZ" w:eastAsia="en-GB"/>
        </w:rPr>
        <w:t>Organisation – did not provide consent to be named</w:t>
      </w:r>
      <w:r>
        <w:rPr>
          <w:lang w:val="en-NZ" w:eastAsia="en-GB"/>
        </w:rPr>
        <w:t>]</w:t>
      </w:r>
    </w:p>
    <w:p w14:paraId="10936D46" w14:textId="4A16EDF2" w:rsidR="008E5906" w:rsidRDefault="00DC47D0" w:rsidP="007E043C">
      <w:pPr>
        <w:spacing w:after="120" w:line="269" w:lineRule="auto"/>
        <w:rPr>
          <w:lang w:val="en-NZ" w:eastAsia="en-GB"/>
        </w:rPr>
      </w:pPr>
      <w:r>
        <w:rPr>
          <w:lang w:val="en-NZ" w:eastAsia="en-GB"/>
        </w:rPr>
        <w:t>Another respondent thought t</w:t>
      </w:r>
      <w:r w:rsidR="008E5906">
        <w:rPr>
          <w:lang w:val="en-NZ" w:eastAsia="en-GB"/>
        </w:rPr>
        <w:t>he descriptor suggest</w:t>
      </w:r>
      <w:r>
        <w:rPr>
          <w:lang w:val="en-NZ" w:eastAsia="en-GB"/>
        </w:rPr>
        <w:t>ed</w:t>
      </w:r>
      <w:r w:rsidR="008E5906">
        <w:rPr>
          <w:lang w:val="en-NZ" w:eastAsia="en-GB"/>
        </w:rPr>
        <w:t xml:space="preserve"> that </w:t>
      </w:r>
      <w:r w:rsidR="008E5906" w:rsidRPr="00BA6F22">
        <w:rPr>
          <w:lang w:val="en-NZ" w:eastAsia="en-GB"/>
        </w:rPr>
        <w:t>whanaungatanga as a source of wellbeing is available only to whānau</w:t>
      </w:r>
      <w:r w:rsidR="005A1BF4">
        <w:rPr>
          <w:lang w:val="en-NZ" w:eastAsia="en-GB"/>
        </w:rPr>
        <w:t>:</w:t>
      </w:r>
      <w:r w:rsidR="008E5906" w:rsidRPr="00BA6F22">
        <w:rPr>
          <w:lang w:val="en-NZ" w:eastAsia="en-GB"/>
        </w:rPr>
        <w:t xml:space="preserve"> </w:t>
      </w:r>
    </w:p>
    <w:p w14:paraId="02D3E376" w14:textId="0CF6CDFB" w:rsidR="008E5906" w:rsidRDefault="008E2BA4" w:rsidP="007E043C">
      <w:pPr>
        <w:pStyle w:val="Quote"/>
        <w:spacing w:before="120" w:after="120" w:line="269" w:lineRule="auto"/>
        <w:rPr>
          <w:lang w:val="en-NZ" w:eastAsia="en-GB"/>
        </w:rPr>
      </w:pPr>
      <w:r w:rsidRPr="008E2BA4">
        <w:rPr>
          <w:lang w:val="en-NZ" w:eastAsia="en-GB"/>
        </w:rPr>
        <w:lastRenderedPageBreak/>
        <w:t>The ‘whanaungatanga’ area of wellbeing tends to emphasise it as a source of wellbeing which is available only to whānau; however, as our experience bears out whanaungatanga is a source of wellbeing to many people connected even beyond whakapapa. That is not to understate the role of whānau in keeping people well and supporting recovery, but to equally state the value of whakapapa-like relationships where whanaungatanga can support wellbeing</w:t>
      </w:r>
      <w:r w:rsidR="008E5906" w:rsidRPr="001338A2">
        <w:rPr>
          <w:lang w:val="en-NZ" w:eastAsia="en-GB"/>
        </w:rPr>
        <w:t>. [Te Pūtahitanga o Te Waipounamu]</w:t>
      </w:r>
    </w:p>
    <w:p w14:paraId="7A1168BF" w14:textId="27F36D49" w:rsidR="008E5906" w:rsidRPr="00DC47D0" w:rsidRDefault="00DC47D0" w:rsidP="007E043C">
      <w:pPr>
        <w:spacing w:after="120" w:line="269" w:lineRule="auto"/>
        <w:rPr>
          <w:lang w:val="en-NZ" w:eastAsia="en-GB"/>
        </w:rPr>
      </w:pPr>
      <w:r>
        <w:rPr>
          <w:lang w:val="en-NZ" w:eastAsia="en-GB"/>
        </w:rPr>
        <w:t>It was</w:t>
      </w:r>
      <w:r w:rsidR="008E5906">
        <w:rPr>
          <w:lang w:val="en-NZ" w:eastAsia="en-GB"/>
        </w:rPr>
        <w:t xml:space="preserve"> suggested that </w:t>
      </w:r>
      <w:r>
        <w:rPr>
          <w:lang w:val="en-NZ" w:eastAsia="en-GB"/>
        </w:rPr>
        <w:t xml:space="preserve">this descriptor might </w:t>
      </w:r>
      <w:r w:rsidR="008E5906" w:rsidRPr="00B55E13">
        <w:t xml:space="preserve">be strengthened by expressing </w:t>
      </w:r>
      <w:r w:rsidR="008C71FB">
        <w:t>‘</w:t>
      </w:r>
      <w:r w:rsidR="008E5906" w:rsidRPr="00B55E13">
        <w:t xml:space="preserve">Te mana </w:t>
      </w:r>
      <w:proofErr w:type="spellStart"/>
      <w:r w:rsidR="008E5906" w:rsidRPr="00B55E13">
        <w:t>kaha</w:t>
      </w:r>
      <w:proofErr w:type="spellEnd"/>
      <w:r w:rsidR="008E5906" w:rsidRPr="00B55E13">
        <w:t xml:space="preserve"> o te wh</w:t>
      </w:r>
      <w:r w:rsidR="00C003F9">
        <w:t>ā</w:t>
      </w:r>
      <w:r w:rsidR="008E5906" w:rsidRPr="00B55E13">
        <w:t>nau – the influence and strength of the wh</w:t>
      </w:r>
      <w:r w:rsidR="00307777">
        <w:t>ā</w:t>
      </w:r>
      <w:r w:rsidR="008E5906" w:rsidRPr="00B55E13">
        <w:t>nau.</w:t>
      </w:r>
      <w:r w:rsidR="008E5906">
        <w:t xml:space="preserve"> </w:t>
      </w:r>
      <w:r w:rsidR="008E5906" w:rsidRPr="00B55E13">
        <w:t>This reflects that the wh</w:t>
      </w:r>
      <w:r w:rsidR="00C003F9">
        <w:t>ā</w:t>
      </w:r>
      <w:r w:rsidR="008E5906" w:rsidRPr="00B55E13">
        <w:t xml:space="preserve">nau itself needs to exercise its rangatiratanga as well as rely on </w:t>
      </w:r>
      <w:r w:rsidR="00087D3F">
        <w:t>“</w:t>
      </w:r>
      <w:r w:rsidR="008E5906" w:rsidRPr="00B55E13">
        <w:t>hope</w:t>
      </w:r>
      <w:r>
        <w:t>’</w:t>
      </w:r>
      <w:r w:rsidR="007F75F3">
        <w:t>’</w:t>
      </w:r>
      <w:r w:rsidR="00087D3F">
        <w:t>’</w:t>
      </w:r>
      <w:r w:rsidR="008E5906" w:rsidRPr="00B55E13">
        <w:t>.</w:t>
      </w:r>
      <w:r w:rsidR="0088767B">
        <w:rPr>
          <w:rStyle w:val="FootnoteReference"/>
        </w:rPr>
        <w:footnoteReference w:id="57"/>
      </w:r>
    </w:p>
    <w:p w14:paraId="361F28B9" w14:textId="0C22C0BC" w:rsidR="00E4334B" w:rsidRDefault="00E4334B" w:rsidP="00E4334B">
      <w:pPr>
        <w:pStyle w:val="Heading4"/>
      </w:pPr>
      <w:r>
        <w:t>Domain 4 for Pacific peoples</w:t>
      </w:r>
      <w:r w:rsidR="00D97845">
        <w:t xml:space="preserve"> – </w:t>
      </w:r>
      <w:r>
        <w:t xml:space="preserve">are connected and contributing </w:t>
      </w:r>
    </w:p>
    <w:p w14:paraId="24AE3AEE" w14:textId="5DF06F0A" w:rsidR="00E4334B" w:rsidRDefault="00E4334B" w:rsidP="00E4334B">
      <w:pPr>
        <w:spacing w:after="120" w:line="269" w:lineRule="auto"/>
      </w:pPr>
      <w:r>
        <w:t>Respondents supported ‘connection’ as a concept (‘</w:t>
      </w:r>
      <w:r w:rsidRPr="00D60001">
        <w:t xml:space="preserve">to yourself, your spirit, your </w:t>
      </w:r>
      <w:proofErr w:type="spellStart"/>
      <w:r w:rsidRPr="00D60001">
        <w:t>aiga</w:t>
      </w:r>
      <w:proofErr w:type="spellEnd"/>
      <w:r w:rsidRPr="00D60001">
        <w:t>, community</w:t>
      </w:r>
      <w:r>
        <w:t xml:space="preserve">’). ‘Va’ should therefore be included in the descriptor. This domain had general support, with respondents emphasising it needed to situate Pacific cultures with the collective rather than with the self (individual). </w:t>
      </w:r>
    </w:p>
    <w:p w14:paraId="4B178345" w14:textId="77777777" w:rsidR="00E4334B" w:rsidRPr="001C3C45" w:rsidRDefault="00E4334B" w:rsidP="00E4334B">
      <w:pPr>
        <w:spacing w:after="120" w:line="269" w:lineRule="auto"/>
      </w:pPr>
      <w:r>
        <w:t>Respondents suggested including a physical element to living well. They further suggested using emotional rather than mental wellbeing (‘</w:t>
      </w:r>
      <w:r w:rsidRPr="00527F0E">
        <w:t xml:space="preserve">Holistic wellbeing: culture, physical, emotional, spiritual, </w:t>
      </w:r>
      <w:proofErr w:type="gramStart"/>
      <w:r w:rsidRPr="00527F0E">
        <w:t>identity</w:t>
      </w:r>
      <w:r w:rsidRPr="00A94EA3">
        <w:t>‘</w:t>
      </w:r>
      <w:proofErr w:type="gramEnd"/>
      <w:r w:rsidRPr="00A94EA3">
        <w:t>)</w:t>
      </w:r>
      <w:r>
        <w:t>.</w:t>
      </w:r>
      <w:r w:rsidRPr="00A94EA3">
        <w:t xml:space="preserve"> </w:t>
      </w:r>
      <w:r>
        <w:t xml:space="preserve">Identity is defined </w:t>
      </w:r>
      <w:r w:rsidRPr="001C3C45">
        <w:t xml:space="preserve">by </w:t>
      </w:r>
      <w:proofErr w:type="gramStart"/>
      <w:r w:rsidRPr="001C3C45">
        <w:t>a number of</w:t>
      </w:r>
      <w:proofErr w:type="gramEnd"/>
      <w:r w:rsidRPr="001C3C45">
        <w:t xml:space="preserve"> different layers </w:t>
      </w:r>
      <w:r>
        <w:t>including</w:t>
      </w:r>
      <w:r w:rsidRPr="001C3C45">
        <w:t xml:space="preserve"> age</w:t>
      </w:r>
      <w:r>
        <w:t xml:space="preserve"> and </w:t>
      </w:r>
      <w:r w:rsidRPr="001C3C45">
        <w:t>social group</w:t>
      </w:r>
      <w:r>
        <w:t>.</w:t>
      </w:r>
      <w:r w:rsidRPr="001C3C45">
        <w:t xml:space="preserve"> </w:t>
      </w:r>
    </w:p>
    <w:p w14:paraId="56F2A7E0" w14:textId="6BE0CC17" w:rsidR="00E4334B" w:rsidRDefault="00E4334B" w:rsidP="00E4334B">
      <w:pPr>
        <w:spacing w:after="120" w:line="269" w:lineRule="auto"/>
      </w:pPr>
      <w:r>
        <w:t xml:space="preserve"> With reference to the expression of Pacific cultures, respondents noted that expression of knowledge could be oral (through languages) and visual and that sports could be included as an expression of Pacific cultures. </w:t>
      </w:r>
    </w:p>
    <w:p w14:paraId="6343D31D" w14:textId="795FBE03" w:rsidR="008E5906" w:rsidRDefault="008E5906" w:rsidP="002033E8">
      <w:pPr>
        <w:pStyle w:val="Heading4"/>
      </w:pPr>
      <w:r>
        <w:t>Domain 4 for everyone</w:t>
      </w:r>
      <w:r w:rsidR="00D97845">
        <w:t xml:space="preserve"> – </w:t>
      </w:r>
      <w:r>
        <w:t xml:space="preserve">are connected and contributing </w:t>
      </w:r>
    </w:p>
    <w:p w14:paraId="0A1696A8" w14:textId="7E5642D3" w:rsidR="006858D1" w:rsidRPr="003A082D" w:rsidRDefault="006858D1" w:rsidP="007E043C">
      <w:pPr>
        <w:spacing w:after="120" w:line="269" w:lineRule="auto"/>
        <w:rPr>
          <w:lang w:val="en-NZ" w:eastAsia="en-GB"/>
        </w:rPr>
      </w:pPr>
      <w:r>
        <w:rPr>
          <w:lang w:val="en-NZ" w:eastAsia="en-GB"/>
        </w:rPr>
        <w:t>Respondents questioned w</w:t>
      </w:r>
      <w:r w:rsidRPr="003A082D">
        <w:rPr>
          <w:lang w:val="en-NZ" w:eastAsia="en-GB"/>
        </w:rPr>
        <w:t xml:space="preserve">ho </w:t>
      </w:r>
      <w:r w:rsidR="005A1BF4">
        <w:rPr>
          <w:lang w:val="en-NZ" w:eastAsia="en-GB"/>
        </w:rPr>
        <w:t xml:space="preserve">would </w:t>
      </w:r>
      <w:r w:rsidRPr="003A082D">
        <w:rPr>
          <w:lang w:val="en-NZ" w:eastAsia="en-GB"/>
        </w:rPr>
        <w:t xml:space="preserve">define </w:t>
      </w:r>
      <w:r w:rsidR="002128A9">
        <w:rPr>
          <w:lang w:val="en-NZ" w:eastAsia="en-GB"/>
        </w:rPr>
        <w:t>‘</w:t>
      </w:r>
      <w:r w:rsidRPr="003A082D">
        <w:rPr>
          <w:lang w:val="en-NZ" w:eastAsia="en-GB"/>
        </w:rPr>
        <w:t>contributing</w:t>
      </w:r>
      <w:r w:rsidR="002128A9">
        <w:rPr>
          <w:lang w:val="en-NZ" w:eastAsia="en-GB"/>
        </w:rPr>
        <w:t>’</w:t>
      </w:r>
      <w:r w:rsidR="00F132A7">
        <w:rPr>
          <w:lang w:val="en-NZ" w:eastAsia="en-GB"/>
        </w:rPr>
        <w:t xml:space="preserve"> </w:t>
      </w:r>
      <w:r w:rsidR="002128A9">
        <w:rPr>
          <w:lang w:val="en-NZ" w:eastAsia="en-GB"/>
        </w:rPr>
        <w:t>and judge</w:t>
      </w:r>
      <w:r w:rsidR="00F132A7">
        <w:rPr>
          <w:lang w:val="en-NZ" w:eastAsia="en-GB"/>
        </w:rPr>
        <w:t xml:space="preserve"> what is or </w:t>
      </w:r>
      <w:r w:rsidR="002128A9">
        <w:rPr>
          <w:lang w:val="en-NZ" w:eastAsia="en-GB"/>
        </w:rPr>
        <w:t xml:space="preserve">is </w:t>
      </w:r>
      <w:r w:rsidR="00F132A7">
        <w:rPr>
          <w:lang w:val="en-NZ" w:eastAsia="en-GB"/>
        </w:rPr>
        <w:t xml:space="preserve">not considered </w:t>
      </w:r>
      <w:r w:rsidR="002128A9">
        <w:rPr>
          <w:lang w:val="en-NZ" w:eastAsia="en-GB"/>
        </w:rPr>
        <w:t xml:space="preserve">to be </w:t>
      </w:r>
      <w:r w:rsidR="00F132A7">
        <w:rPr>
          <w:lang w:val="en-NZ" w:eastAsia="en-GB"/>
        </w:rPr>
        <w:t>contributing</w:t>
      </w:r>
      <w:r>
        <w:rPr>
          <w:lang w:val="en-NZ" w:eastAsia="en-GB"/>
        </w:rPr>
        <w:t xml:space="preserve">. It was suggested that </w:t>
      </w:r>
      <w:r w:rsidR="007F75F3">
        <w:rPr>
          <w:lang w:val="en-NZ" w:eastAsia="en-GB"/>
        </w:rPr>
        <w:t>‘</w:t>
      </w:r>
      <w:r w:rsidRPr="003A082D">
        <w:rPr>
          <w:lang w:val="en-NZ" w:eastAsia="en-GB"/>
        </w:rPr>
        <w:t>[Is] connected and valued</w:t>
      </w:r>
      <w:r w:rsidR="007F75F3">
        <w:rPr>
          <w:lang w:val="en-NZ" w:eastAsia="en-GB"/>
        </w:rPr>
        <w:t>’</w:t>
      </w:r>
      <w:r w:rsidRPr="003A082D">
        <w:rPr>
          <w:lang w:val="en-NZ" w:eastAsia="en-GB"/>
        </w:rPr>
        <w:t xml:space="preserve"> might be better aligned with the full description</w:t>
      </w:r>
      <w:r>
        <w:rPr>
          <w:lang w:val="en-NZ" w:eastAsia="en-GB"/>
        </w:rPr>
        <w:t xml:space="preserve"> of the domain.</w:t>
      </w:r>
      <w:r w:rsidR="000E75DA" w:rsidRPr="000E75DA">
        <w:rPr>
          <w:rStyle w:val="FootnoteReference"/>
          <w:lang w:val="en-NZ" w:eastAsia="en-GB"/>
        </w:rPr>
        <w:t xml:space="preserve"> </w:t>
      </w:r>
      <w:r w:rsidR="000E75DA">
        <w:rPr>
          <w:rStyle w:val="FootnoteReference"/>
          <w:lang w:val="en-NZ" w:eastAsia="en-GB"/>
        </w:rPr>
        <w:footnoteReference w:id="58"/>
      </w:r>
      <w:r w:rsidR="00E508C6">
        <w:rPr>
          <w:lang w:val="en-NZ" w:eastAsia="en-GB"/>
        </w:rPr>
        <w:t xml:space="preserve"> Similarly </w:t>
      </w:r>
      <w:r w:rsidR="00962AAE">
        <w:rPr>
          <w:lang w:val="en-NZ" w:eastAsia="en-GB"/>
        </w:rPr>
        <w:t xml:space="preserve">participants in </w:t>
      </w:r>
      <w:r w:rsidR="00E508C6">
        <w:rPr>
          <w:color w:val="000000" w:themeColor="text1"/>
        </w:rPr>
        <w:t xml:space="preserve">the </w:t>
      </w:r>
      <w:r w:rsidR="00D97845">
        <w:rPr>
          <w:color w:val="000000" w:themeColor="text1"/>
        </w:rPr>
        <w:t>Pacific</w:t>
      </w:r>
      <w:r w:rsidR="00E508C6">
        <w:rPr>
          <w:color w:val="000000" w:themeColor="text1"/>
        </w:rPr>
        <w:t xml:space="preserve"> </w:t>
      </w:r>
      <w:r w:rsidR="003B61E0">
        <w:rPr>
          <w:color w:val="000000" w:themeColor="text1"/>
        </w:rPr>
        <w:t>engagement</w:t>
      </w:r>
      <w:r w:rsidR="00E508C6">
        <w:rPr>
          <w:color w:val="000000" w:themeColor="text1"/>
        </w:rPr>
        <w:t xml:space="preserve"> considered </w:t>
      </w:r>
      <w:r w:rsidR="003B61E0">
        <w:rPr>
          <w:color w:val="000000" w:themeColor="text1"/>
        </w:rPr>
        <w:t>‘</w:t>
      </w:r>
      <w:r w:rsidR="00E508C6">
        <w:rPr>
          <w:color w:val="000000" w:themeColor="text1"/>
        </w:rPr>
        <w:t>valued</w:t>
      </w:r>
      <w:r w:rsidR="003B61E0">
        <w:rPr>
          <w:color w:val="000000" w:themeColor="text1"/>
        </w:rPr>
        <w:t>’</w:t>
      </w:r>
      <w:r w:rsidR="00E508C6" w:rsidRPr="00831074">
        <w:rPr>
          <w:color w:val="000000" w:themeColor="text1"/>
        </w:rPr>
        <w:t xml:space="preserve"> instead of </w:t>
      </w:r>
      <w:r w:rsidR="003B61E0">
        <w:rPr>
          <w:color w:val="000000" w:themeColor="text1"/>
        </w:rPr>
        <w:t>‘</w:t>
      </w:r>
      <w:r w:rsidR="00E508C6" w:rsidRPr="00831074">
        <w:rPr>
          <w:color w:val="000000" w:themeColor="text1"/>
        </w:rPr>
        <w:t>recogni</w:t>
      </w:r>
      <w:r w:rsidR="003B61E0">
        <w:rPr>
          <w:color w:val="000000" w:themeColor="text1"/>
        </w:rPr>
        <w:t>s</w:t>
      </w:r>
      <w:r w:rsidR="00E508C6" w:rsidRPr="00831074">
        <w:rPr>
          <w:color w:val="000000" w:themeColor="text1"/>
        </w:rPr>
        <w:t>ed</w:t>
      </w:r>
      <w:r w:rsidR="003B61E0">
        <w:rPr>
          <w:color w:val="000000" w:themeColor="text1"/>
        </w:rPr>
        <w:t>’</w:t>
      </w:r>
      <w:r w:rsidR="00E508C6" w:rsidRPr="00831074">
        <w:rPr>
          <w:color w:val="000000" w:themeColor="text1"/>
        </w:rPr>
        <w:t xml:space="preserve"> ma</w:t>
      </w:r>
      <w:r w:rsidR="00E508C6">
        <w:rPr>
          <w:color w:val="000000" w:themeColor="text1"/>
        </w:rPr>
        <w:t>d</w:t>
      </w:r>
      <w:r w:rsidR="00E508C6" w:rsidRPr="00831074">
        <w:rPr>
          <w:color w:val="000000" w:themeColor="text1"/>
        </w:rPr>
        <w:t>e more sense (</w:t>
      </w:r>
      <w:r w:rsidR="005C5A8F">
        <w:rPr>
          <w:color w:val="000000" w:themeColor="text1"/>
        </w:rPr>
        <w:t xml:space="preserve">eg, </w:t>
      </w:r>
      <w:r w:rsidR="007F75F3">
        <w:rPr>
          <w:color w:val="000000" w:themeColor="text1"/>
        </w:rPr>
        <w:t>‘</w:t>
      </w:r>
      <w:r w:rsidR="00E508C6">
        <w:rPr>
          <w:color w:val="000000" w:themeColor="text1"/>
        </w:rPr>
        <w:t xml:space="preserve">you </w:t>
      </w:r>
      <w:r w:rsidR="00E508C6" w:rsidRPr="00831074">
        <w:rPr>
          <w:color w:val="000000" w:themeColor="text1"/>
        </w:rPr>
        <w:t xml:space="preserve">don’t need to be acknowledged, but </w:t>
      </w:r>
      <w:r w:rsidR="00E508C6">
        <w:rPr>
          <w:color w:val="000000" w:themeColor="text1"/>
        </w:rPr>
        <w:t xml:space="preserve">the </w:t>
      </w:r>
      <w:r w:rsidR="00E508C6" w:rsidRPr="00831074">
        <w:rPr>
          <w:color w:val="000000" w:themeColor="text1"/>
        </w:rPr>
        <w:t>contribution of others should be valued</w:t>
      </w:r>
      <w:r w:rsidR="007F75F3">
        <w:rPr>
          <w:color w:val="000000" w:themeColor="text1"/>
        </w:rPr>
        <w:t>’</w:t>
      </w:r>
      <w:r w:rsidR="00E508C6" w:rsidRPr="00831074">
        <w:rPr>
          <w:color w:val="000000" w:themeColor="text1"/>
        </w:rPr>
        <w:t>).</w:t>
      </w:r>
    </w:p>
    <w:p w14:paraId="1C73B22E" w14:textId="73CFDC2A" w:rsidR="006858D1" w:rsidRDefault="000E75DA" w:rsidP="007E043C">
      <w:pPr>
        <w:spacing w:after="120" w:line="269" w:lineRule="auto"/>
        <w:rPr>
          <w:lang w:val="en-NZ" w:eastAsia="en-GB"/>
        </w:rPr>
      </w:pPr>
      <w:r>
        <w:rPr>
          <w:lang w:val="en-NZ" w:eastAsia="en-GB"/>
        </w:rPr>
        <w:t>It was suggested that i</w:t>
      </w:r>
      <w:r w:rsidR="006858D1">
        <w:rPr>
          <w:lang w:val="en-NZ" w:eastAsia="en-GB"/>
        </w:rPr>
        <w:t>dentity should be included</w:t>
      </w:r>
      <w:r>
        <w:rPr>
          <w:lang w:val="en-NZ" w:eastAsia="en-GB"/>
        </w:rPr>
        <w:t xml:space="preserve"> in this domain.</w:t>
      </w:r>
      <w:r w:rsidR="006858D1">
        <w:rPr>
          <w:lang w:val="en-NZ" w:eastAsia="en-GB"/>
        </w:rPr>
        <w:t xml:space="preserve"> </w:t>
      </w:r>
      <w:r>
        <w:rPr>
          <w:lang w:val="en-NZ" w:eastAsia="en-GB"/>
        </w:rPr>
        <w:t>T</w:t>
      </w:r>
      <w:r w:rsidR="006858D1">
        <w:rPr>
          <w:lang w:val="en-NZ" w:eastAsia="en-GB"/>
        </w:rPr>
        <w:t>hat is, p</w:t>
      </w:r>
      <w:r w:rsidR="006858D1" w:rsidRPr="00E769D8">
        <w:rPr>
          <w:lang w:val="en-NZ" w:eastAsia="en-GB"/>
        </w:rPr>
        <w:t>eople and families are celebrated for their diversity and are connected to their culture, language</w:t>
      </w:r>
      <w:r w:rsidR="006858D1">
        <w:rPr>
          <w:lang w:val="en-NZ" w:eastAsia="en-GB"/>
        </w:rPr>
        <w:t>, b</w:t>
      </w:r>
      <w:r w:rsidR="006858D1" w:rsidRPr="00E769D8">
        <w:rPr>
          <w:lang w:val="en-NZ" w:eastAsia="en-GB"/>
        </w:rPr>
        <w:t xml:space="preserve">eliefs, religion, and/or spirituality which supports self-determined </w:t>
      </w:r>
      <w:r w:rsidR="006858D1" w:rsidRPr="0049784A">
        <w:rPr>
          <w:i/>
          <w:lang w:val="en-NZ" w:eastAsia="en-GB"/>
        </w:rPr>
        <w:t>identity</w:t>
      </w:r>
      <w:r w:rsidR="006858D1" w:rsidRPr="00E769D8">
        <w:rPr>
          <w:lang w:val="en-NZ" w:eastAsia="en-GB"/>
        </w:rPr>
        <w:t xml:space="preserve"> and wellbeing.</w:t>
      </w:r>
      <w:r w:rsidR="006858D1">
        <w:rPr>
          <w:lang w:val="en-NZ" w:eastAsia="en-GB"/>
        </w:rPr>
        <w:t xml:space="preserve"> </w:t>
      </w:r>
    </w:p>
    <w:p w14:paraId="15F9C31A" w14:textId="5DC8F846" w:rsidR="008E5906" w:rsidRDefault="00FA1A48" w:rsidP="00A46919">
      <w:pPr>
        <w:spacing w:after="120" w:line="269" w:lineRule="auto"/>
        <w:rPr>
          <w:lang w:val="en-NZ" w:eastAsia="en-GB"/>
        </w:rPr>
      </w:pPr>
      <w:r>
        <w:rPr>
          <w:rFonts w:eastAsia="Arial" w:cs="Arial"/>
          <w:lang w:val="en-NZ"/>
        </w:rPr>
        <w:t>In relation to</w:t>
      </w:r>
      <w:r w:rsidR="008E5906" w:rsidRPr="00553998">
        <w:rPr>
          <w:rFonts w:eastAsia="Arial" w:cs="Arial"/>
          <w:lang w:val="en-NZ"/>
        </w:rPr>
        <w:t xml:space="preserve"> celebrat</w:t>
      </w:r>
      <w:r>
        <w:rPr>
          <w:rFonts w:eastAsia="Arial" w:cs="Arial"/>
          <w:lang w:val="en-NZ"/>
        </w:rPr>
        <w:t>ing</w:t>
      </w:r>
      <w:r w:rsidR="008E5906" w:rsidRPr="00553998">
        <w:rPr>
          <w:rFonts w:eastAsia="Arial" w:cs="Arial"/>
          <w:lang w:val="en-NZ"/>
        </w:rPr>
        <w:t xml:space="preserve"> and acknowledg</w:t>
      </w:r>
      <w:r>
        <w:rPr>
          <w:rFonts w:eastAsia="Arial" w:cs="Arial"/>
          <w:lang w:val="en-NZ"/>
        </w:rPr>
        <w:t>ing</w:t>
      </w:r>
      <w:r w:rsidR="008E5906" w:rsidRPr="00553998">
        <w:rPr>
          <w:rFonts w:eastAsia="Arial" w:cs="Arial"/>
          <w:lang w:val="en-NZ"/>
        </w:rPr>
        <w:t xml:space="preserve"> diversity</w:t>
      </w:r>
      <w:r>
        <w:rPr>
          <w:rFonts w:eastAsia="Arial" w:cs="Arial"/>
          <w:lang w:val="en-NZ"/>
        </w:rPr>
        <w:t>,</w:t>
      </w:r>
      <w:r w:rsidR="008E5906" w:rsidRPr="00553998">
        <w:rPr>
          <w:rFonts w:eastAsia="Arial" w:cs="Arial"/>
          <w:lang w:val="en-NZ"/>
        </w:rPr>
        <w:t xml:space="preserve"> </w:t>
      </w:r>
      <w:r w:rsidR="000E75DA">
        <w:rPr>
          <w:rFonts w:eastAsia="Arial" w:cs="Arial"/>
          <w:lang w:val="en-NZ"/>
        </w:rPr>
        <w:t xml:space="preserve">it was noted that </w:t>
      </w:r>
      <w:r>
        <w:rPr>
          <w:rFonts w:eastAsia="Arial" w:cs="Arial"/>
          <w:lang w:val="en-NZ"/>
        </w:rPr>
        <w:t>t</w:t>
      </w:r>
      <w:r w:rsidR="003A082D">
        <w:rPr>
          <w:rFonts w:eastAsia="Arial" w:cs="Arial"/>
          <w:lang w:val="en-NZ"/>
        </w:rPr>
        <w:t>he descriptor n</w:t>
      </w:r>
      <w:r w:rsidR="008E5906">
        <w:rPr>
          <w:rFonts w:eastAsia="Arial" w:cs="Arial"/>
          <w:lang w:val="en-NZ"/>
        </w:rPr>
        <w:t>eed</w:t>
      </w:r>
      <w:r w:rsidR="003A082D">
        <w:rPr>
          <w:rFonts w:eastAsia="Arial" w:cs="Arial"/>
          <w:lang w:val="en-NZ"/>
        </w:rPr>
        <w:t>s</w:t>
      </w:r>
      <w:r w:rsidR="008E5906">
        <w:rPr>
          <w:rFonts w:eastAsia="Arial" w:cs="Arial"/>
          <w:lang w:val="en-NZ"/>
        </w:rPr>
        <w:t xml:space="preserve"> to</w:t>
      </w:r>
      <w:r w:rsidR="008E5906" w:rsidRPr="00553998">
        <w:rPr>
          <w:rFonts w:eastAsia="Arial" w:cs="Arial"/>
          <w:lang w:val="en-NZ"/>
        </w:rPr>
        <w:t xml:space="preserve"> ensure the inclusion of different groups to have power and</w:t>
      </w:r>
      <w:r w:rsidR="008E5906">
        <w:rPr>
          <w:rFonts w:eastAsia="Arial" w:cs="Arial"/>
          <w:lang w:val="en-NZ"/>
        </w:rPr>
        <w:t xml:space="preserve"> </w:t>
      </w:r>
      <w:r w:rsidR="008E5906" w:rsidRPr="00553998">
        <w:rPr>
          <w:rFonts w:eastAsia="Arial" w:cs="Arial"/>
          <w:lang w:val="en-NZ"/>
        </w:rPr>
        <w:t xml:space="preserve">influence in decision-making. </w:t>
      </w:r>
      <w:r w:rsidR="007F75F3">
        <w:rPr>
          <w:rFonts w:eastAsia="Arial" w:cs="Arial"/>
          <w:lang w:val="en-NZ"/>
        </w:rPr>
        <w:t>‘</w:t>
      </w:r>
      <w:r w:rsidR="008E5906">
        <w:rPr>
          <w:lang w:val="en-NZ" w:eastAsia="en-GB"/>
        </w:rPr>
        <w:t>R</w:t>
      </w:r>
      <w:r w:rsidR="008E5906" w:rsidRPr="00CF4F42">
        <w:rPr>
          <w:lang w:val="en-NZ" w:eastAsia="en-GB"/>
        </w:rPr>
        <w:t xml:space="preserve">ecognising </w:t>
      </w:r>
      <w:r w:rsidR="008E5906">
        <w:rPr>
          <w:lang w:val="en-NZ" w:eastAsia="en-GB"/>
        </w:rPr>
        <w:t xml:space="preserve">and </w:t>
      </w:r>
      <w:r w:rsidR="003A082D">
        <w:rPr>
          <w:lang w:val="en-NZ" w:eastAsia="en-GB"/>
        </w:rPr>
        <w:t>c</w:t>
      </w:r>
      <w:r w:rsidR="008E5906" w:rsidRPr="00CF4F42">
        <w:rPr>
          <w:lang w:val="en-NZ" w:eastAsia="en-GB"/>
        </w:rPr>
        <w:t xml:space="preserve">elebrating diversity, </w:t>
      </w:r>
      <w:r w:rsidR="008E5906">
        <w:rPr>
          <w:lang w:val="en-NZ" w:eastAsia="en-GB"/>
        </w:rPr>
        <w:t>is</w:t>
      </w:r>
      <w:r w:rsidR="008E5906" w:rsidRPr="00CF4F42">
        <w:rPr>
          <w:lang w:val="en-NZ" w:eastAsia="en-GB"/>
        </w:rPr>
        <w:t xml:space="preserve"> not </w:t>
      </w:r>
      <w:r w:rsidR="008E5906">
        <w:rPr>
          <w:lang w:val="en-NZ" w:eastAsia="en-GB"/>
        </w:rPr>
        <w:t>the same as</w:t>
      </w:r>
      <w:r w:rsidR="008E5906" w:rsidRPr="00CF4F42">
        <w:rPr>
          <w:lang w:val="en-NZ" w:eastAsia="en-GB"/>
        </w:rPr>
        <w:t xml:space="preserve"> inclusion and different groups having power and influence</w:t>
      </w:r>
      <w:r w:rsidR="008E5906">
        <w:rPr>
          <w:lang w:val="en-NZ" w:eastAsia="en-GB"/>
        </w:rPr>
        <w:t xml:space="preserve"> </w:t>
      </w:r>
      <w:r w:rsidR="008E5906" w:rsidRPr="00CF4F42">
        <w:rPr>
          <w:lang w:val="en-NZ" w:eastAsia="en-GB"/>
        </w:rPr>
        <w:t>in decision-making.</w:t>
      </w:r>
      <w:r w:rsidR="007F75F3">
        <w:rPr>
          <w:lang w:val="en-NZ" w:eastAsia="en-GB"/>
        </w:rPr>
        <w:t>’</w:t>
      </w:r>
      <w:r w:rsidR="001338A2">
        <w:rPr>
          <w:rStyle w:val="FootnoteReference"/>
          <w:lang w:val="en-NZ" w:eastAsia="en-GB"/>
        </w:rPr>
        <w:footnoteReference w:id="59"/>
      </w:r>
      <w:r w:rsidR="008E5906" w:rsidRPr="00CF4F42">
        <w:rPr>
          <w:lang w:val="en-NZ" w:eastAsia="en-GB"/>
        </w:rPr>
        <w:t xml:space="preserve"> </w:t>
      </w:r>
      <w:r>
        <w:rPr>
          <w:rFonts w:eastAsia="Arial" w:cs="Arial"/>
          <w:lang w:val="en-NZ"/>
        </w:rPr>
        <w:t>It was s</w:t>
      </w:r>
      <w:r w:rsidR="008E5906">
        <w:rPr>
          <w:rFonts w:eastAsia="Arial" w:cs="Arial"/>
          <w:lang w:val="en-NZ"/>
        </w:rPr>
        <w:t xml:space="preserve">uggested </w:t>
      </w:r>
      <w:r w:rsidR="008E5906" w:rsidRPr="00553998">
        <w:rPr>
          <w:rFonts w:eastAsia="Arial" w:cs="Arial"/>
          <w:lang w:val="en-NZ"/>
        </w:rPr>
        <w:t xml:space="preserve">that this concept be </w:t>
      </w:r>
      <w:r>
        <w:rPr>
          <w:rFonts w:eastAsia="Arial" w:cs="Arial"/>
          <w:lang w:val="en-NZ"/>
        </w:rPr>
        <w:t>amended to explicitly</w:t>
      </w:r>
      <w:r w:rsidR="008E5906" w:rsidRPr="00553998">
        <w:rPr>
          <w:rFonts w:eastAsia="Arial" w:cs="Arial"/>
          <w:lang w:val="en-NZ"/>
        </w:rPr>
        <w:t xml:space="preserve"> support Māori and other groups </w:t>
      </w:r>
      <w:r>
        <w:rPr>
          <w:rFonts w:eastAsia="Arial" w:cs="Arial"/>
          <w:lang w:val="en-NZ"/>
        </w:rPr>
        <w:t>having</w:t>
      </w:r>
      <w:r w:rsidR="008E5906" w:rsidRPr="00553998">
        <w:rPr>
          <w:rFonts w:eastAsia="Arial" w:cs="Arial"/>
          <w:lang w:val="en-NZ"/>
        </w:rPr>
        <w:t xml:space="preserve"> greater participation and influence</w:t>
      </w:r>
      <w:r w:rsidR="008E5906">
        <w:rPr>
          <w:rFonts w:eastAsia="Arial" w:cs="Arial"/>
          <w:lang w:val="en-NZ"/>
        </w:rPr>
        <w:t xml:space="preserve"> </w:t>
      </w:r>
      <w:r w:rsidR="008E5906" w:rsidRPr="00553998">
        <w:rPr>
          <w:rFonts w:eastAsia="Arial" w:cs="Arial"/>
          <w:lang w:val="en-NZ"/>
        </w:rPr>
        <w:t>in decision-making for their communities and wider systems</w:t>
      </w:r>
      <w:r w:rsidR="00A46919">
        <w:rPr>
          <w:lang w:val="en-NZ" w:eastAsia="en-GB"/>
        </w:rPr>
        <w:t>: ‘</w:t>
      </w:r>
      <w:r w:rsidR="00A46919" w:rsidRPr="002A01C7">
        <w:t>We would like to see a wellbeing outcome for Māori to influence</w:t>
      </w:r>
      <w:r w:rsidR="00A46919">
        <w:t xml:space="preserve"> </w:t>
      </w:r>
      <w:r w:rsidR="00A46919" w:rsidRPr="002A01C7">
        <w:t>decision-making at all levels (not just in their own communities) and be supported by tau</w:t>
      </w:r>
      <w:r w:rsidR="00A46919">
        <w:t xml:space="preserve"> </w:t>
      </w:r>
      <w:r w:rsidR="00A46919" w:rsidRPr="002A01C7">
        <w:t>iwi and non-Maori institutions to do this</w:t>
      </w:r>
      <w:r w:rsidR="008E5906" w:rsidRPr="00CF4F42">
        <w:rPr>
          <w:lang w:val="en-NZ" w:eastAsia="en-GB"/>
        </w:rPr>
        <w:t>.</w:t>
      </w:r>
      <w:r w:rsidR="00A46919">
        <w:rPr>
          <w:lang w:val="en-NZ" w:eastAsia="en-GB"/>
        </w:rPr>
        <w:t>’</w:t>
      </w:r>
      <w:r w:rsidR="00A46919">
        <w:rPr>
          <w:rStyle w:val="FootnoteReference"/>
          <w:lang w:val="en-NZ" w:eastAsia="en-GB"/>
        </w:rPr>
        <w:footnoteReference w:id="60"/>
      </w:r>
    </w:p>
    <w:p w14:paraId="28280FC2" w14:textId="77777777" w:rsidR="00FE3520" w:rsidRDefault="008A0923" w:rsidP="007E043C">
      <w:pPr>
        <w:spacing w:after="120" w:line="269" w:lineRule="auto"/>
        <w:rPr>
          <w:lang w:val="en-NZ" w:eastAsia="en-GB"/>
        </w:rPr>
      </w:pPr>
      <w:r>
        <w:rPr>
          <w:lang w:val="en-NZ" w:eastAsia="en-GB"/>
        </w:rPr>
        <w:lastRenderedPageBreak/>
        <w:t>One respondent questioned the place of environment in this domain (‘out of place’</w:t>
      </w:r>
      <w:r>
        <w:rPr>
          <w:rStyle w:val="FootnoteReference"/>
          <w:lang w:val="en-NZ" w:eastAsia="en-GB"/>
        </w:rPr>
        <w:footnoteReference w:id="61"/>
      </w:r>
      <w:r>
        <w:rPr>
          <w:lang w:val="en-NZ" w:eastAsia="en-GB"/>
        </w:rPr>
        <w:t>), suggesting it may fit better under Domain 2 – are healthy.</w:t>
      </w:r>
    </w:p>
    <w:p w14:paraId="143D9D5D" w14:textId="78E29982" w:rsidR="0002323C" w:rsidRPr="0002323C" w:rsidRDefault="0002323C" w:rsidP="002033E8">
      <w:pPr>
        <w:pStyle w:val="Heading4"/>
      </w:pPr>
      <w:r>
        <w:t xml:space="preserve">Domain 5 for Māori as tangata whenua – </w:t>
      </w:r>
      <w:r w:rsidRPr="0002323C">
        <w:t>wairuatanga (spirituality) and manawaroa (resilience)</w:t>
      </w:r>
      <w:r w:rsidR="002236EF">
        <w:t xml:space="preserve"> </w:t>
      </w:r>
    </w:p>
    <w:p w14:paraId="124D31F6" w14:textId="574AAD95" w:rsidR="0002323C" w:rsidRDefault="0002323C" w:rsidP="007E043C">
      <w:pPr>
        <w:spacing w:after="120" w:line="269" w:lineRule="auto"/>
        <w:rPr>
          <w:lang w:eastAsia="en-NZ"/>
        </w:rPr>
      </w:pPr>
      <w:r>
        <w:rPr>
          <w:lang w:eastAsia="en-NZ"/>
        </w:rPr>
        <w:t xml:space="preserve">The Māori focus group </w:t>
      </w:r>
      <w:r w:rsidR="00F56E6F">
        <w:rPr>
          <w:lang w:eastAsia="en-NZ"/>
        </w:rPr>
        <w:t xml:space="preserve">(and others) </w:t>
      </w:r>
      <w:r>
        <w:rPr>
          <w:lang w:eastAsia="en-NZ"/>
        </w:rPr>
        <w:t>welcomed the inclusion of this domain and noted it was</w:t>
      </w:r>
      <w:r w:rsidRPr="00FD6E5D">
        <w:rPr>
          <w:lang w:eastAsia="en-NZ"/>
        </w:rPr>
        <w:t xml:space="preserve"> </w:t>
      </w:r>
      <w:r>
        <w:rPr>
          <w:lang w:eastAsia="en-NZ"/>
        </w:rPr>
        <w:t>‘</w:t>
      </w:r>
      <w:r w:rsidRPr="00FD6E5D">
        <w:rPr>
          <w:lang w:eastAsia="en-NZ"/>
        </w:rPr>
        <w:t xml:space="preserve">an expression of article </w:t>
      </w:r>
      <w:r>
        <w:rPr>
          <w:lang w:eastAsia="en-NZ"/>
        </w:rPr>
        <w:t xml:space="preserve">4, </w:t>
      </w:r>
      <w:r w:rsidRPr="00FD6E5D">
        <w:rPr>
          <w:lang w:eastAsia="en-NZ"/>
        </w:rPr>
        <w:t xml:space="preserve">a right to express </w:t>
      </w:r>
      <w:r>
        <w:rPr>
          <w:lang w:eastAsia="en-NZ"/>
        </w:rPr>
        <w:t>beliefs</w:t>
      </w:r>
      <w:r w:rsidRPr="00FD6E5D">
        <w:rPr>
          <w:lang w:eastAsia="en-NZ"/>
        </w:rPr>
        <w:t xml:space="preserve"> and </w:t>
      </w:r>
      <w:r>
        <w:rPr>
          <w:lang w:eastAsia="en-NZ"/>
        </w:rPr>
        <w:t xml:space="preserve">a </w:t>
      </w:r>
      <w:r w:rsidRPr="00FD6E5D">
        <w:rPr>
          <w:lang w:eastAsia="en-NZ"/>
        </w:rPr>
        <w:t>way of living</w:t>
      </w:r>
      <w:r>
        <w:rPr>
          <w:lang w:eastAsia="en-NZ"/>
        </w:rPr>
        <w:t xml:space="preserve">’. They also noted </w:t>
      </w:r>
      <w:r w:rsidR="003530C8">
        <w:rPr>
          <w:lang w:eastAsia="en-NZ"/>
        </w:rPr>
        <w:t>that in</w:t>
      </w:r>
      <w:r>
        <w:rPr>
          <w:lang w:eastAsia="en-NZ"/>
        </w:rPr>
        <w:t xml:space="preserve"> a </w:t>
      </w:r>
      <w:r w:rsidRPr="00FD6E5D">
        <w:rPr>
          <w:lang w:eastAsia="en-NZ"/>
        </w:rPr>
        <w:t>mainstream environment</w:t>
      </w:r>
      <w:r>
        <w:rPr>
          <w:lang w:eastAsia="en-NZ"/>
        </w:rPr>
        <w:t xml:space="preserve">, for example in DHBs, ‘this is something that is </w:t>
      </w:r>
      <w:r w:rsidRPr="00FD6E5D">
        <w:rPr>
          <w:lang w:eastAsia="en-NZ"/>
        </w:rPr>
        <w:t>misinterpreted</w:t>
      </w:r>
      <w:r>
        <w:rPr>
          <w:lang w:eastAsia="en-NZ"/>
        </w:rPr>
        <w:t>,</w:t>
      </w:r>
      <w:r w:rsidRPr="00FD6E5D">
        <w:rPr>
          <w:lang w:eastAsia="en-NZ"/>
        </w:rPr>
        <w:t xml:space="preserve"> misunderstood because it's intangible. It's hard to do </w:t>
      </w:r>
      <w:r>
        <w:rPr>
          <w:lang w:eastAsia="en-NZ"/>
        </w:rPr>
        <w:t>this</w:t>
      </w:r>
      <w:r w:rsidRPr="00FD6E5D">
        <w:rPr>
          <w:lang w:eastAsia="en-NZ"/>
        </w:rPr>
        <w:t>.</w:t>
      </w:r>
      <w:r>
        <w:rPr>
          <w:lang w:eastAsia="en-NZ"/>
        </w:rPr>
        <w:t>’</w:t>
      </w:r>
      <w:r w:rsidRPr="00FD6E5D">
        <w:rPr>
          <w:lang w:eastAsia="en-NZ"/>
        </w:rPr>
        <w:t xml:space="preserve"> </w:t>
      </w:r>
      <w:r>
        <w:rPr>
          <w:lang w:eastAsia="en-NZ"/>
        </w:rPr>
        <w:t>However,</w:t>
      </w:r>
      <w:r w:rsidR="008B1267">
        <w:rPr>
          <w:lang w:eastAsia="en-NZ"/>
        </w:rPr>
        <w:t xml:space="preserve"> it was considered that there</w:t>
      </w:r>
      <w:r w:rsidRPr="00FD6E5D">
        <w:rPr>
          <w:lang w:eastAsia="en-NZ"/>
        </w:rPr>
        <w:t xml:space="preserve"> are practical ways of supporting </w:t>
      </w:r>
      <w:r w:rsidR="00852B64">
        <w:rPr>
          <w:lang w:eastAsia="en-NZ"/>
        </w:rPr>
        <w:t>the expression of wairuatanga and identifying</w:t>
      </w:r>
      <w:r>
        <w:rPr>
          <w:lang w:eastAsia="en-NZ"/>
        </w:rPr>
        <w:t xml:space="preserve"> activities that are done to maintain that balance. </w:t>
      </w:r>
      <w:r w:rsidR="003530C8">
        <w:rPr>
          <w:lang w:eastAsia="en-NZ"/>
        </w:rPr>
        <w:t xml:space="preserve">Related to this last point, other respondents commented on the difficulty of measuring this concept in the outcomes framework. </w:t>
      </w:r>
    </w:p>
    <w:p w14:paraId="544D9152" w14:textId="69565C92" w:rsidR="00F56E6F" w:rsidRDefault="00F56E6F" w:rsidP="00DA3FDF">
      <w:pPr>
        <w:spacing w:after="120" w:line="269" w:lineRule="auto"/>
        <w:rPr>
          <w:lang w:eastAsia="en-NZ"/>
        </w:rPr>
      </w:pPr>
      <w:r>
        <w:rPr>
          <w:lang w:eastAsia="en-NZ"/>
        </w:rPr>
        <w:t>Although one respondent suggested separating wairuatanga and manawaroa, others saw value in these</w:t>
      </w:r>
      <w:r w:rsidR="002236EF">
        <w:rPr>
          <w:lang w:eastAsia="en-NZ"/>
        </w:rPr>
        <w:t xml:space="preserve"> </w:t>
      </w:r>
      <w:r>
        <w:rPr>
          <w:lang w:eastAsia="en-NZ"/>
        </w:rPr>
        <w:t>terms being together.</w:t>
      </w:r>
    </w:p>
    <w:p w14:paraId="7908AFF7" w14:textId="5B5C194E" w:rsidR="00FE3520" w:rsidRDefault="00F56E6F" w:rsidP="007E043C">
      <w:pPr>
        <w:spacing w:after="120" w:line="269" w:lineRule="auto"/>
      </w:pPr>
      <w:r>
        <w:rPr>
          <w:lang w:eastAsia="en-NZ"/>
        </w:rPr>
        <w:t xml:space="preserve">In keeping with the aspirational language used in the </w:t>
      </w:r>
      <w:r w:rsidR="00D209F3">
        <w:rPr>
          <w:lang w:eastAsia="en-NZ"/>
        </w:rPr>
        <w:t>framework</w:t>
      </w:r>
      <w:r>
        <w:rPr>
          <w:lang w:eastAsia="en-NZ"/>
        </w:rPr>
        <w:t xml:space="preserve">, it was suggested that in the descriptor, the word </w:t>
      </w:r>
      <w:r w:rsidR="00D209F3">
        <w:rPr>
          <w:lang w:eastAsia="en-NZ"/>
        </w:rPr>
        <w:t xml:space="preserve">‘restored’ be </w:t>
      </w:r>
      <w:r w:rsidR="00A46919">
        <w:rPr>
          <w:lang w:eastAsia="en-NZ"/>
        </w:rPr>
        <w:t>changed</w:t>
      </w:r>
      <w:r w:rsidR="00D209F3">
        <w:rPr>
          <w:lang w:eastAsia="en-NZ"/>
        </w:rPr>
        <w:t xml:space="preserve"> to something more positive.</w:t>
      </w:r>
      <w:r w:rsidR="000E75DA">
        <w:rPr>
          <w:rStyle w:val="FootnoteReference"/>
          <w:lang w:eastAsia="en-NZ"/>
        </w:rPr>
        <w:footnoteReference w:id="62"/>
      </w:r>
    </w:p>
    <w:p w14:paraId="28E8D233" w14:textId="1AF0B4AF" w:rsidR="00E4334B" w:rsidRDefault="00E4334B" w:rsidP="00E4334B">
      <w:pPr>
        <w:pStyle w:val="Heading4"/>
      </w:pPr>
      <w:r>
        <w:t>Domain 5 for Pacific peoples – are resilient and can heal and grow</w:t>
      </w:r>
    </w:p>
    <w:p w14:paraId="3BD65788" w14:textId="047C925B" w:rsidR="00E4334B" w:rsidRPr="00E4334B" w:rsidRDefault="003C3E08" w:rsidP="00E4334B">
      <w:pPr>
        <w:spacing w:after="120" w:line="269" w:lineRule="auto"/>
        <w:rPr>
          <w:color w:val="000000" w:themeColor="text1"/>
        </w:rPr>
      </w:pPr>
      <w:r>
        <w:rPr>
          <w:color w:val="000000" w:themeColor="text1"/>
        </w:rPr>
        <w:t>Respondents emphasised f</w:t>
      </w:r>
      <w:r w:rsidR="00E4334B" w:rsidRPr="006F093C">
        <w:rPr>
          <w:color w:val="000000" w:themeColor="text1"/>
        </w:rPr>
        <w:t xml:space="preserve">amily and faith being the strongest links </w:t>
      </w:r>
      <w:r w:rsidR="00E4334B">
        <w:rPr>
          <w:color w:val="000000" w:themeColor="text1"/>
        </w:rPr>
        <w:t>to resilience and growth</w:t>
      </w:r>
      <w:r w:rsidR="00E4334B" w:rsidRPr="006F093C">
        <w:rPr>
          <w:color w:val="000000" w:themeColor="text1"/>
        </w:rPr>
        <w:t xml:space="preserve">. They supported </w:t>
      </w:r>
      <w:r w:rsidR="00E4334B" w:rsidRPr="00831074">
        <w:rPr>
          <w:color w:val="000000" w:themeColor="text1"/>
        </w:rPr>
        <w:t xml:space="preserve">the </w:t>
      </w:r>
      <w:r w:rsidR="00E4334B">
        <w:rPr>
          <w:color w:val="000000" w:themeColor="text1"/>
        </w:rPr>
        <w:t xml:space="preserve">acknowledgement of </w:t>
      </w:r>
      <w:r>
        <w:rPr>
          <w:color w:val="000000" w:themeColor="text1"/>
        </w:rPr>
        <w:t xml:space="preserve">a Pacific </w:t>
      </w:r>
      <w:r w:rsidR="00E4334B" w:rsidRPr="00831074">
        <w:rPr>
          <w:color w:val="000000" w:themeColor="text1"/>
        </w:rPr>
        <w:t>world view and of diversity within communities</w:t>
      </w:r>
      <w:r w:rsidR="00E4334B">
        <w:rPr>
          <w:color w:val="000000" w:themeColor="text1"/>
        </w:rPr>
        <w:t>. Participants commented on Pacific peoples seeing stressors as the norm, and not thinking they need</w:t>
      </w:r>
      <w:r w:rsidR="00C84E58">
        <w:rPr>
          <w:color w:val="000000" w:themeColor="text1"/>
        </w:rPr>
        <w:t>ed</w:t>
      </w:r>
      <w:r w:rsidR="00E4334B">
        <w:rPr>
          <w:color w:val="000000" w:themeColor="text1"/>
        </w:rPr>
        <w:t xml:space="preserve"> help. </w:t>
      </w:r>
      <w:r w:rsidR="006A06E6">
        <w:rPr>
          <w:color w:val="000000" w:themeColor="text1"/>
        </w:rPr>
        <w:t>It</w:t>
      </w:r>
      <w:r w:rsidR="00E4334B">
        <w:rPr>
          <w:color w:val="000000" w:themeColor="text1"/>
        </w:rPr>
        <w:t xml:space="preserve"> was noted that people may be afraid to speak out for fear of being considered weak, or because of concerns about confidentiality</w:t>
      </w:r>
      <w:r w:rsidR="0049784A">
        <w:rPr>
          <w:color w:val="000000" w:themeColor="text1"/>
        </w:rPr>
        <w:t xml:space="preserve"> </w:t>
      </w:r>
      <w:r w:rsidR="0049784A">
        <w:rPr>
          <w:color w:val="000000" w:themeColor="text1"/>
        </w:rPr>
        <w:sym w:font="Symbol" w:char="F02D"/>
      </w:r>
      <w:r w:rsidR="00E4334B">
        <w:rPr>
          <w:color w:val="000000" w:themeColor="text1"/>
        </w:rPr>
        <w:t xml:space="preserve"> ‘</w:t>
      </w:r>
      <w:r w:rsidR="00E4334B" w:rsidRPr="006F093C">
        <w:rPr>
          <w:color w:val="000000" w:themeColor="text1"/>
        </w:rPr>
        <w:t>everyone know</w:t>
      </w:r>
      <w:r w:rsidR="00C84E58">
        <w:rPr>
          <w:color w:val="000000" w:themeColor="text1"/>
        </w:rPr>
        <w:t>s</w:t>
      </w:r>
      <w:r w:rsidR="00E4334B" w:rsidRPr="006F093C">
        <w:rPr>
          <w:color w:val="000000" w:themeColor="text1"/>
        </w:rPr>
        <w:t xml:space="preserve"> one another so you don’t want to seek support anyway</w:t>
      </w:r>
      <w:r w:rsidR="00E4334B">
        <w:rPr>
          <w:color w:val="000000" w:themeColor="text1"/>
        </w:rPr>
        <w:t>.’</w:t>
      </w:r>
      <w:r w:rsidR="00E4334B" w:rsidRPr="006F093C">
        <w:rPr>
          <w:color w:val="000000" w:themeColor="text1"/>
        </w:rPr>
        <w:t xml:space="preserve"> </w:t>
      </w:r>
      <w:r w:rsidR="00E4334B">
        <w:rPr>
          <w:color w:val="000000" w:themeColor="text1"/>
        </w:rPr>
        <w:t xml:space="preserve">The framework should support talking </w:t>
      </w:r>
      <w:r w:rsidR="00C84E58">
        <w:rPr>
          <w:color w:val="000000" w:themeColor="text1"/>
        </w:rPr>
        <w:t xml:space="preserve">about </w:t>
      </w:r>
      <w:r w:rsidR="00E4334B">
        <w:rPr>
          <w:color w:val="000000" w:themeColor="text1"/>
        </w:rPr>
        <w:t xml:space="preserve">and relating one’s situation, for example, Pacific communities modelling drawing on their strengths in response to stressors. The </w:t>
      </w:r>
      <w:r w:rsidR="00E4334B">
        <w:t>maintenance of cultural ties and practice was integral to this.</w:t>
      </w:r>
    </w:p>
    <w:p w14:paraId="436C7401" w14:textId="3BEADABD" w:rsidR="007A583A" w:rsidRDefault="007A583A" w:rsidP="00DA3FDF">
      <w:pPr>
        <w:pStyle w:val="Heading4"/>
      </w:pPr>
      <w:r>
        <w:t>Domain 5 for everyone – are resilient and can heal and grow</w:t>
      </w:r>
    </w:p>
    <w:p w14:paraId="5B962228" w14:textId="79EF1375" w:rsidR="00706E24" w:rsidRDefault="00892647" w:rsidP="007E043C">
      <w:pPr>
        <w:spacing w:after="120" w:line="269" w:lineRule="auto"/>
        <w:rPr>
          <w:lang w:val="en-NZ" w:eastAsia="en-GB"/>
        </w:rPr>
      </w:pPr>
      <w:r>
        <w:rPr>
          <w:lang w:val="en-NZ" w:eastAsia="en-GB"/>
        </w:rPr>
        <w:t>There was some</w:t>
      </w:r>
      <w:r w:rsidR="00706E24">
        <w:rPr>
          <w:lang w:val="en-NZ" w:eastAsia="en-GB"/>
        </w:rPr>
        <w:t xml:space="preserve"> reservation </w:t>
      </w:r>
      <w:r w:rsidR="00646839">
        <w:rPr>
          <w:lang w:val="en-NZ" w:eastAsia="en-GB"/>
        </w:rPr>
        <w:t xml:space="preserve">expressed by respondents </w:t>
      </w:r>
      <w:r w:rsidR="00706E24">
        <w:rPr>
          <w:lang w:val="en-NZ" w:eastAsia="en-GB"/>
        </w:rPr>
        <w:t>about the use of resilience as a wellbeing domain</w:t>
      </w:r>
      <w:r w:rsidR="00560E60">
        <w:rPr>
          <w:lang w:val="en-NZ" w:eastAsia="en-GB"/>
        </w:rPr>
        <w:t>, particularly from respondents with lived experience perspectives</w:t>
      </w:r>
      <w:r w:rsidR="00706E24">
        <w:rPr>
          <w:lang w:val="en-NZ" w:eastAsia="en-GB"/>
        </w:rPr>
        <w:t xml:space="preserve">. This reservation was centred on the view that </w:t>
      </w:r>
      <w:r w:rsidR="005A1BF4">
        <w:rPr>
          <w:lang w:val="en-NZ" w:eastAsia="en-GB"/>
        </w:rPr>
        <w:t>i</w:t>
      </w:r>
      <w:r w:rsidR="00706E24" w:rsidRPr="00E1627E">
        <w:rPr>
          <w:lang w:val="en-NZ" w:eastAsia="en-GB"/>
        </w:rPr>
        <w:t xml:space="preserve">ndividuals should not have to be </w:t>
      </w:r>
      <w:r w:rsidR="005A1BF4">
        <w:rPr>
          <w:lang w:val="en-NZ" w:eastAsia="en-GB"/>
        </w:rPr>
        <w:t xml:space="preserve">continually </w:t>
      </w:r>
      <w:r w:rsidR="00706E24" w:rsidRPr="00E1627E">
        <w:rPr>
          <w:lang w:val="en-NZ" w:eastAsia="en-GB"/>
        </w:rPr>
        <w:t>resilient</w:t>
      </w:r>
      <w:r w:rsidR="00DC3A37">
        <w:rPr>
          <w:lang w:val="en-NZ" w:eastAsia="en-GB"/>
        </w:rPr>
        <w:t xml:space="preserve">. The descriptor should acknowledge the </w:t>
      </w:r>
      <w:r w:rsidR="00DC3A37" w:rsidRPr="00E1627E">
        <w:rPr>
          <w:lang w:val="en-NZ" w:eastAsia="en-GB"/>
        </w:rPr>
        <w:t>validity of unpleasant states of being</w:t>
      </w:r>
      <w:r w:rsidR="00706E24" w:rsidRPr="00E1627E">
        <w:rPr>
          <w:lang w:val="en-NZ" w:eastAsia="en-GB"/>
        </w:rPr>
        <w:t>.</w:t>
      </w:r>
      <w:r w:rsidR="00706E24">
        <w:rPr>
          <w:lang w:val="en-NZ" w:eastAsia="en-GB"/>
        </w:rPr>
        <w:t xml:space="preserve"> One respondent suggested amending the domain to ‘</w:t>
      </w:r>
      <w:r w:rsidR="00706E24" w:rsidRPr="00517079">
        <w:rPr>
          <w:lang w:val="en-NZ" w:eastAsia="en-GB"/>
        </w:rPr>
        <w:t>hope, purpose and autonomy to live their best lives</w:t>
      </w:r>
      <w:r w:rsidR="00706E24">
        <w:rPr>
          <w:lang w:val="en-NZ" w:eastAsia="en-GB"/>
        </w:rPr>
        <w:t>’.</w:t>
      </w:r>
    </w:p>
    <w:p w14:paraId="29A93C90" w14:textId="77777777" w:rsidR="00706E24" w:rsidRPr="00B53179" w:rsidRDefault="00706E24" w:rsidP="007E043C">
      <w:pPr>
        <w:pStyle w:val="Quote"/>
        <w:spacing w:before="120" w:after="120" w:line="269" w:lineRule="auto"/>
        <w:rPr>
          <w:lang w:val="en-NZ" w:eastAsia="en-GB"/>
        </w:rPr>
      </w:pPr>
      <w:r>
        <w:rPr>
          <w:lang w:val="en-NZ" w:eastAsia="en-GB"/>
        </w:rPr>
        <w:t>T</w:t>
      </w:r>
      <w:r w:rsidRPr="00B53179">
        <w:rPr>
          <w:lang w:val="en-NZ" w:eastAsia="en-GB"/>
        </w:rPr>
        <w:t>he framework identifies resilience and bouncing back from adversity, but we suggest</w:t>
      </w:r>
      <w:r>
        <w:rPr>
          <w:lang w:val="en-NZ" w:eastAsia="en-GB"/>
        </w:rPr>
        <w:t xml:space="preserve"> </w:t>
      </w:r>
      <w:r w:rsidRPr="00B53179">
        <w:rPr>
          <w:lang w:val="en-NZ" w:eastAsia="en-GB"/>
        </w:rPr>
        <w:t>these terms should reflect a more up-to-date and nuanced description of resilience.</w:t>
      </w:r>
      <w:r>
        <w:rPr>
          <w:lang w:val="en-NZ" w:eastAsia="en-GB"/>
        </w:rPr>
        <w:t xml:space="preserve"> …</w:t>
      </w:r>
      <w:r w:rsidRPr="00B53179">
        <w:rPr>
          <w:lang w:val="en-NZ" w:eastAsia="en-GB"/>
        </w:rPr>
        <w:t xml:space="preserve"> the concept of resilience is moving away from locating and identifying adversity as a necessary condition in order to contrast the skills of resilience towards the</w:t>
      </w:r>
      <w:r>
        <w:rPr>
          <w:lang w:val="en-NZ" w:eastAsia="en-GB"/>
        </w:rPr>
        <w:t xml:space="preserve"> </w:t>
      </w:r>
      <w:r w:rsidRPr="00B53179">
        <w:rPr>
          <w:lang w:val="en-NZ" w:eastAsia="en-GB"/>
        </w:rPr>
        <w:t>capacity to draw upon resources to sustain wellbeing. This sees wellbeing as a collective</w:t>
      </w:r>
      <w:r>
        <w:rPr>
          <w:lang w:val="en-NZ" w:eastAsia="en-GB"/>
        </w:rPr>
        <w:t xml:space="preserve"> </w:t>
      </w:r>
      <w:r w:rsidRPr="00B53179">
        <w:rPr>
          <w:lang w:val="en-NZ" w:eastAsia="en-GB"/>
        </w:rPr>
        <w:t>experience and resource with many determinants beyond the individual, and that does</w:t>
      </w:r>
      <w:r>
        <w:rPr>
          <w:lang w:val="en-NZ" w:eastAsia="en-GB"/>
        </w:rPr>
        <w:t xml:space="preserve"> </w:t>
      </w:r>
      <w:r w:rsidRPr="00B53179">
        <w:rPr>
          <w:lang w:val="en-NZ" w:eastAsia="en-GB"/>
        </w:rPr>
        <w:t>not require adversity to measure whether a person (or community) is resilient. It also</w:t>
      </w:r>
      <w:r>
        <w:rPr>
          <w:lang w:val="en-NZ" w:eastAsia="en-GB"/>
        </w:rPr>
        <w:t xml:space="preserve"> </w:t>
      </w:r>
      <w:r w:rsidRPr="00B53179">
        <w:rPr>
          <w:lang w:val="en-NZ" w:eastAsia="en-GB"/>
        </w:rPr>
        <w:t>doesn't implicitly suggest that a return to 'normal' or an earlier state is the requisite for</w:t>
      </w:r>
      <w:r>
        <w:rPr>
          <w:lang w:val="en-NZ" w:eastAsia="en-GB"/>
        </w:rPr>
        <w:t xml:space="preserve"> </w:t>
      </w:r>
      <w:r w:rsidRPr="00B53179">
        <w:rPr>
          <w:lang w:val="en-NZ" w:eastAsia="en-GB"/>
        </w:rPr>
        <w:t>success and flourishing. For many individuals this may not be possible after trauma or</w:t>
      </w:r>
      <w:r>
        <w:rPr>
          <w:lang w:val="en-NZ" w:eastAsia="en-GB"/>
        </w:rPr>
        <w:t xml:space="preserve"> </w:t>
      </w:r>
      <w:r w:rsidRPr="00B53179">
        <w:rPr>
          <w:lang w:val="en-NZ" w:eastAsia="en-GB"/>
        </w:rPr>
        <w:t>adversity (or desirable perhaps). This was a key learning for communities and</w:t>
      </w:r>
      <w:r>
        <w:rPr>
          <w:lang w:val="en-NZ" w:eastAsia="en-GB"/>
        </w:rPr>
        <w:t xml:space="preserve"> </w:t>
      </w:r>
      <w:r w:rsidRPr="00B53179">
        <w:rPr>
          <w:lang w:val="en-NZ" w:eastAsia="en-GB"/>
        </w:rPr>
        <w:t>populations following the earthquakes in Canterbury where All Right? now use the term</w:t>
      </w:r>
      <w:r>
        <w:rPr>
          <w:lang w:val="en-NZ" w:eastAsia="en-GB"/>
        </w:rPr>
        <w:t xml:space="preserve"> </w:t>
      </w:r>
      <w:r w:rsidRPr="00B53179">
        <w:rPr>
          <w:lang w:val="en-NZ" w:eastAsia="en-GB"/>
        </w:rPr>
        <w:t>'adaptability' and 'adaptation' as a more realistic objective/outcome</w:t>
      </w:r>
      <w:r>
        <w:rPr>
          <w:lang w:val="en-NZ" w:eastAsia="en-GB"/>
        </w:rPr>
        <w:t>. [Mental Health Foundation]</w:t>
      </w:r>
    </w:p>
    <w:p w14:paraId="687ED462" w14:textId="2B49F705" w:rsidR="004F2758" w:rsidRPr="004F2758" w:rsidRDefault="005A1BF4" w:rsidP="007E043C">
      <w:pPr>
        <w:spacing w:after="120" w:line="269" w:lineRule="auto"/>
      </w:pPr>
      <w:r>
        <w:rPr>
          <w:lang w:val="en-NZ" w:eastAsia="en-GB"/>
        </w:rPr>
        <w:t xml:space="preserve">The lived experience focus group suggested that </w:t>
      </w:r>
      <w:r>
        <w:t>if resilience was used, then the term ‘bounce back’ should not be: a better term may be ‘moving through.’</w:t>
      </w:r>
      <w:r w:rsidR="00883BED">
        <w:t xml:space="preserve"> </w:t>
      </w:r>
      <w:r w:rsidR="004F2758" w:rsidRPr="004F2758">
        <w:t>Another respondent wanted the sentence to read ‘... bounce back from adversity and distress</w:t>
      </w:r>
      <w:r w:rsidR="00223C9F">
        <w:t>.</w:t>
      </w:r>
      <w:r w:rsidR="004F2758" w:rsidRPr="004F2758">
        <w:t>’</w:t>
      </w:r>
      <w:r w:rsidR="00A7734D">
        <w:rPr>
          <w:rStyle w:val="FootnoteReference"/>
        </w:rPr>
        <w:footnoteReference w:id="63"/>
      </w:r>
      <w:r w:rsidR="004F2758" w:rsidRPr="004F2758">
        <w:t xml:space="preserve"> </w:t>
      </w:r>
      <w:r w:rsidR="004F2758">
        <w:t>This</w:t>
      </w:r>
      <w:r w:rsidR="004F2758" w:rsidRPr="004F2758">
        <w:t xml:space="preserve"> phrasing </w:t>
      </w:r>
      <w:r w:rsidR="004F2758">
        <w:t xml:space="preserve">was seen to </w:t>
      </w:r>
      <w:r w:rsidR="004F2758" w:rsidRPr="004F2758">
        <w:t>better reflect the need for the ongoing management of mental wellbeing.</w:t>
      </w:r>
    </w:p>
    <w:p w14:paraId="4F7DA68B" w14:textId="4BE715E5" w:rsidR="00883BED" w:rsidRDefault="003F7D70" w:rsidP="007E043C">
      <w:pPr>
        <w:spacing w:after="120" w:line="269" w:lineRule="auto"/>
      </w:pPr>
      <w:r>
        <w:t>The lived experience</w:t>
      </w:r>
      <w:r w:rsidR="00883BED">
        <w:t xml:space="preserve"> </w:t>
      </w:r>
      <w:r>
        <w:t xml:space="preserve">group also </w:t>
      </w:r>
      <w:r w:rsidR="00883BED">
        <w:t>discussed resilience and autonomy going hand in hand (having power over choices)</w:t>
      </w:r>
      <w:r w:rsidR="00CA3C4C">
        <w:t>:</w:t>
      </w:r>
      <w:r w:rsidR="00883BED">
        <w:t xml:space="preserve"> </w:t>
      </w:r>
    </w:p>
    <w:p w14:paraId="736A5ECE" w14:textId="7B3FE2CE" w:rsidR="00883BED" w:rsidRDefault="00883BED" w:rsidP="007E043C">
      <w:pPr>
        <w:pStyle w:val="Quote"/>
        <w:spacing w:before="120" w:after="120" w:line="269" w:lineRule="auto"/>
      </w:pPr>
      <w:r>
        <w:t xml:space="preserve">In clinical services you get told or forced and then expected to be resilient, but for me resilience comes from being responsibility for choices, having options in first place – so having [autonomy and resilience] separate doesn’t really fit. </w:t>
      </w:r>
    </w:p>
    <w:p w14:paraId="159DC0BB" w14:textId="11E3A9B8" w:rsidR="00E1627E" w:rsidRPr="00E1627E" w:rsidRDefault="005A1BF4" w:rsidP="007E043C">
      <w:pPr>
        <w:spacing w:after="120" w:line="269" w:lineRule="auto"/>
      </w:pPr>
      <w:r>
        <w:t xml:space="preserve">It was suggested </w:t>
      </w:r>
      <w:r w:rsidR="00CA3C4C">
        <w:t xml:space="preserve">by another respondent </w:t>
      </w:r>
      <w:r>
        <w:t xml:space="preserve">that </w:t>
      </w:r>
      <w:r w:rsidR="00DC3A37">
        <w:t>the</w:t>
      </w:r>
      <w:r>
        <w:t xml:space="preserve"> descriptor be explicitly widened to include the whole of life.</w:t>
      </w:r>
    </w:p>
    <w:p w14:paraId="3B52B63F" w14:textId="5CBCE45F" w:rsidR="007A583A" w:rsidRPr="007A583A" w:rsidRDefault="007A583A" w:rsidP="007E043C">
      <w:pPr>
        <w:pStyle w:val="Quote"/>
        <w:spacing w:before="120" w:after="120" w:line="269" w:lineRule="auto"/>
        <w:rPr>
          <w:lang w:val="en-NZ" w:eastAsia="en-GB"/>
        </w:rPr>
      </w:pPr>
      <w:r w:rsidRPr="007A583A">
        <w:rPr>
          <w:lang w:val="en-NZ" w:eastAsia="en-GB"/>
        </w:rPr>
        <w:t>Growth may relate to intergenerational groups but it does have connotations of youth and childhood. A simple addition to the wellbeing area from; ‘resilient and can heal and grow’ to ‘resilient and can heal and grow with change’ adjusts the context from youth and childhood to any time in life when change occurs.</w:t>
      </w:r>
      <w:r w:rsidR="00FA1A48">
        <w:rPr>
          <w:lang w:val="en-NZ" w:eastAsia="en-GB"/>
        </w:rPr>
        <w:t xml:space="preserve"> </w:t>
      </w:r>
      <w:r>
        <w:rPr>
          <w:lang w:val="en-NZ" w:eastAsia="en-GB"/>
        </w:rPr>
        <w:t>[Age Concern]</w:t>
      </w:r>
    </w:p>
    <w:p w14:paraId="78AA946E" w14:textId="77777777" w:rsidR="00DC3A37" w:rsidRDefault="00DC3A37" w:rsidP="007E043C">
      <w:pPr>
        <w:spacing w:after="120" w:line="269" w:lineRule="auto"/>
        <w:rPr>
          <w:lang w:val="en-NZ" w:eastAsia="en-GB"/>
        </w:rPr>
      </w:pPr>
      <w:r>
        <w:rPr>
          <w:lang w:val="en-NZ" w:eastAsia="en-GB"/>
        </w:rPr>
        <w:t>Respondents also suggested that the descriptor</w:t>
      </w:r>
      <w:r w:rsidRPr="00E1627E">
        <w:rPr>
          <w:lang w:val="en-NZ" w:eastAsia="en-GB"/>
        </w:rPr>
        <w:t xml:space="preserve"> acknowledge the significant impact of childhood deprivation</w:t>
      </w:r>
      <w:r>
        <w:rPr>
          <w:lang w:val="en-NZ" w:eastAsia="en-GB"/>
        </w:rPr>
        <w:t xml:space="preserve">. </w:t>
      </w:r>
    </w:p>
    <w:p w14:paraId="5E9B8D1D" w14:textId="516EEE6A" w:rsidR="00DC3A37" w:rsidRPr="00DC3A37" w:rsidRDefault="00DC3A37" w:rsidP="007E043C">
      <w:pPr>
        <w:spacing w:after="120" w:line="269" w:lineRule="auto"/>
      </w:pPr>
      <w:r>
        <w:rPr>
          <w:lang w:val="en-NZ" w:eastAsia="en-GB"/>
        </w:rPr>
        <w:t xml:space="preserve">Boundaries </w:t>
      </w:r>
      <w:r w:rsidRPr="00DC3A37">
        <w:rPr>
          <w:lang w:val="en-NZ" w:eastAsia="en-GB"/>
        </w:rPr>
        <w:t xml:space="preserve">were discussed under this domain. It was considered </w:t>
      </w:r>
      <w:r w:rsidR="00E1627E" w:rsidRPr="00DC3A37">
        <w:rPr>
          <w:lang w:val="en-NZ" w:eastAsia="en-GB"/>
        </w:rPr>
        <w:t xml:space="preserve">very important that people’s boundaries </w:t>
      </w:r>
      <w:r w:rsidRPr="00DC3A37">
        <w:rPr>
          <w:lang w:val="en-NZ" w:eastAsia="en-GB"/>
        </w:rPr>
        <w:t xml:space="preserve">were </w:t>
      </w:r>
      <w:r w:rsidR="00E1627E" w:rsidRPr="00DC3A37">
        <w:rPr>
          <w:lang w:val="en-NZ" w:eastAsia="en-GB"/>
        </w:rPr>
        <w:t xml:space="preserve">respected </w:t>
      </w:r>
      <w:r w:rsidRPr="00DC3A37">
        <w:rPr>
          <w:lang w:val="en-NZ" w:eastAsia="en-GB"/>
        </w:rPr>
        <w:t>as b</w:t>
      </w:r>
      <w:r w:rsidR="00E1627E" w:rsidRPr="00DC3A37">
        <w:rPr>
          <w:lang w:val="en-NZ" w:eastAsia="en-GB"/>
        </w:rPr>
        <w:t xml:space="preserve">oundaries tie into safety, </w:t>
      </w:r>
      <w:r w:rsidRPr="00DC3A37">
        <w:rPr>
          <w:lang w:val="en-NZ" w:eastAsia="en-GB"/>
        </w:rPr>
        <w:t>‘</w:t>
      </w:r>
      <w:r w:rsidR="00E1627E" w:rsidRPr="00DC3A37">
        <w:rPr>
          <w:lang w:val="en-NZ" w:eastAsia="en-GB"/>
        </w:rPr>
        <w:t xml:space="preserve">people need to be able to relax, to be safe, let </w:t>
      </w:r>
      <w:r>
        <w:rPr>
          <w:lang w:val="en-NZ" w:eastAsia="en-GB"/>
        </w:rPr>
        <w:t xml:space="preserve">their </w:t>
      </w:r>
      <w:r w:rsidR="00E1627E" w:rsidRPr="00DC3A37">
        <w:rPr>
          <w:lang w:val="en-NZ" w:eastAsia="en-GB"/>
        </w:rPr>
        <w:t xml:space="preserve">guard </w:t>
      </w:r>
      <w:r w:rsidR="00E1627E" w:rsidRPr="00DC3A37">
        <w:t>down</w:t>
      </w:r>
      <w:r w:rsidR="00223C9F">
        <w:t>.</w:t>
      </w:r>
      <w:r w:rsidRPr="00DC3A37">
        <w:t>’</w:t>
      </w:r>
      <w:r w:rsidR="00646839">
        <w:rPr>
          <w:rStyle w:val="FootnoteReference"/>
        </w:rPr>
        <w:footnoteReference w:id="64"/>
      </w:r>
      <w:r>
        <w:t xml:space="preserve"> </w:t>
      </w:r>
      <w:r w:rsidRPr="00DC3A37">
        <w:t>This descriptor should therefore include text</w:t>
      </w:r>
      <w:r w:rsidR="002236EF">
        <w:t xml:space="preserve"> </w:t>
      </w:r>
      <w:r w:rsidRPr="00DC3A37">
        <w:t>about healthy or effective or mutually beneficial boundaries being held by the community</w:t>
      </w:r>
    </w:p>
    <w:p w14:paraId="5B1F550F" w14:textId="0D6F44C6" w:rsidR="00DC3A37" w:rsidRPr="00E1627E" w:rsidRDefault="00DC3A37" w:rsidP="007E043C">
      <w:pPr>
        <w:pStyle w:val="Quote"/>
        <w:spacing w:before="120" w:after="120" w:line="269" w:lineRule="auto"/>
        <w:rPr>
          <w:lang w:val="en-NZ" w:eastAsia="en-GB"/>
        </w:rPr>
      </w:pPr>
      <w:r w:rsidRPr="00DC3A37">
        <w:t>Abuse and control happen because boundaries are not such that people can have respect and autonomy for individuals.</w:t>
      </w:r>
      <w:r w:rsidR="002236EF">
        <w:t xml:space="preserve"> </w:t>
      </w:r>
      <w:r w:rsidRPr="00DC3A37">
        <w:t>Mutually beneficial might be an important word here given the really different cultural lens on how relationships work. [Lived experience focus group]</w:t>
      </w:r>
    </w:p>
    <w:p w14:paraId="6EF9C7CC" w14:textId="2A934E99" w:rsidR="008D72C7" w:rsidRPr="006365AF" w:rsidRDefault="008D72C7" w:rsidP="00DA3FDF">
      <w:pPr>
        <w:pStyle w:val="Heading4"/>
      </w:pPr>
      <w:r>
        <w:t>Domain 6 for Māori as tangata whenua</w:t>
      </w:r>
      <w:r w:rsidR="00D97845">
        <w:t xml:space="preserve"> – </w:t>
      </w:r>
      <w:r w:rsidRPr="006365AF">
        <w:t>rangatiratanga (autonomy), mana motuhake (authority) and whakanuitanga (celebration and honouring)</w:t>
      </w:r>
    </w:p>
    <w:p w14:paraId="5A921470" w14:textId="7ED29D6A" w:rsidR="00DC1228" w:rsidRDefault="0068504B" w:rsidP="007E043C">
      <w:pPr>
        <w:spacing w:after="120" w:line="269" w:lineRule="auto"/>
        <w:rPr>
          <w:lang w:eastAsia="en-NZ"/>
        </w:rPr>
      </w:pPr>
      <w:r>
        <w:rPr>
          <w:lang w:eastAsia="en-NZ"/>
        </w:rPr>
        <w:t xml:space="preserve">Given the duplication of domains 3 and 6 (discussed in this report on page </w:t>
      </w:r>
      <w:r>
        <w:rPr>
          <w:lang w:eastAsia="en-NZ"/>
        </w:rPr>
        <w:fldChar w:fldCharType="begin"/>
      </w:r>
      <w:r>
        <w:rPr>
          <w:lang w:eastAsia="en-NZ"/>
        </w:rPr>
        <w:instrText xml:space="preserve"> PAGEREF _Ref51683060 \h </w:instrText>
      </w:r>
      <w:r>
        <w:rPr>
          <w:lang w:eastAsia="en-NZ"/>
        </w:rPr>
      </w:r>
      <w:r>
        <w:rPr>
          <w:lang w:eastAsia="en-NZ"/>
        </w:rPr>
        <w:fldChar w:fldCharType="separate"/>
      </w:r>
      <w:r w:rsidR="002512BA">
        <w:rPr>
          <w:noProof/>
          <w:lang w:eastAsia="en-NZ"/>
        </w:rPr>
        <w:t>32</w:t>
      </w:r>
      <w:r>
        <w:rPr>
          <w:lang w:eastAsia="en-NZ"/>
        </w:rPr>
        <w:fldChar w:fldCharType="end"/>
      </w:r>
      <w:r>
        <w:rPr>
          <w:lang w:eastAsia="en-NZ"/>
        </w:rPr>
        <w:t>), t</w:t>
      </w:r>
      <w:r w:rsidR="00DC1228">
        <w:rPr>
          <w:lang w:eastAsia="en-NZ"/>
        </w:rPr>
        <w:t xml:space="preserve">he Māori focus group </w:t>
      </w:r>
      <w:r>
        <w:rPr>
          <w:lang w:eastAsia="en-NZ"/>
        </w:rPr>
        <w:t>suggested that this d</w:t>
      </w:r>
      <w:r w:rsidR="00DC1228">
        <w:rPr>
          <w:lang w:eastAsia="en-NZ"/>
        </w:rPr>
        <w:t>omain build on hope and purpose</w:t>
      </w:r>
      <w:r>
        <w:rPr>
          <w:lang w:eastAsia="en-NZ"/>
        </w:rPr>
        <w:t>.</w:t>
      </w:r>
      <w:r w:rsidR="00DC1228">
        <w:rPr>
          <w:lang w:eastAsia="en-NZ"/>
        </w:rPr>
        <w:t xml:space="preserve"> </w:t>
      </w:r>
      <w:r>
        <w:rPr>
          <w:lang w:eastAsia="en-NZ"/>
        </w:rPr>
        <w:t>‘</w:t>
      </w:r>
      <w:r w:rsidR="00DC1228">
        <w:rPr>
          <w:lang w:eastAsia="en-NZ"/>
        </w:rPr>
        <w:t>That things will get better for Māori. A strengths-base.</w:t>
      </w:r>
      <w:r>
        <w:rPr>
          <w:lang w:eastAsia="en-NZ"/>
        </w:rPr>
        <w:t>’</w:t>
      </w:r>
    </w:p>
    <w:p w14:paraId="2C80BF8F" w14:textId="0984789D" w:rsidR="008D72C7" w:rsidRPr="0076199E" w:rsidRDefault="008D72C7" w:rsidP="007E043C">
      <w:pPr>
        <w:spacing w:after="120" w:line="269" w:lineRule="auto"/>
        <w:rPr>
          <w:lang w:val="en-NZ" w:eastAsia="en-GB"/>
        </w:rPr>
      </w:pPr>
      <w:r>
        <w:rPr>
          <w:lang w:val="en-NZ" w:eastAsia="en-GB"/>
        </w:rPr>
        <w:t>One respondent questioned whether self-development was covered in this domain.</w:t>
      </w:r>
    </w:p>
    <w:p w14:paraId="675708A9" w14:textId="77777777" w:rsidR="00FE3520" w:rsidRDefault="008D72C7" w:rsidP="007E043C">
      <w:pPr>
        <w:pStyle w:val="Quote"/>
        <w:spacing w:before="120" w:after="120" w:line="269" w:lineRule="auto"/>
        <w:rPr>
          <w:lang w:val="en-NZ" w:eastAsia="en-GB"/>
        </w:rPr>
      </w:pPr>
      <w:r w:rsidRPr="0076199E">
        <w:rPr>
          <w:lang w:val="en-NZ" w:eastAsia="en-GB"/>
        </w:rPr>
        <w:t>Not sure if ‘autonomy and authority’</w:t>
      </w:r>
      <w:r>
        <w:rPr>
          <w:lang w:val="en-NZ" w:eastAsia="en-GB"/>
        </w:rPr>
        <w:t xml:space="preserve"> </w:t>
      </w:r>
      <w:r w:rsidRPr="0076199E">
        <w:rPr>
          <w:lang w:val="en-NZ" w:eastAsia="en-GB"/>
        </w:rPr>
        <w:t xml:space="preserve">cover the idea of </w:t>
      </w:r>
      <w:r w:rsidR="00DC3A37" w:rsidRPr="0076199E">
        <w:rPr>
          <w:lang w:val="en-NZ" w:eastAsia="en-GB"/>
        </w:rPr>
        <w:t>self-development</w:t>
      </w:r>
      <w:r w:rsidRPr="0076199E">
        <w:rPr>
          <w:lang w:val="en-NZ" w:eastAsia="en-GB"/>
        </w:rPr>
        <w:t xml:space="preserve">, extending </w:t>
      </w:r>
      <w:proofErr w:type="gramStart"/>
      <w:r w:rsidRPr="0076199E">
        <w:rPr>
          <w:lang w:val="en-NZ" w:eastAsia="en-GB"/>
        </w:rPr>
        <w:t>ourselves</w:t>
      </w:r>
      <w:proofErr w:type="gramEnd"/>
      <w:r w:rsidRPr="0076199E">
        <w:rPr>
          <w:lang w:val="en-NZ" w:eastAsia="en-GB"/>
        </w:rPr>
        <w:t>, learning and growing.</w:t>
      </w:r>
      <w:r>
        <w:rPr>
          <w:lang w:val="en-NZ" w:eastAsia="en-GB"/>
        </w:rPr>
        <w:t xml:space="preserve"> [</w:t>
      </w:r>
      <w:r w:rsidR="00DC3A37">
        <w:rPr>
          <w:lang w:val="en-NZ" w:eastAsia="en-GB"/>
        </w:rPr>
        <w:t>Individual respondent</w:t>
      </w:r>
      <w:r>
        <w:rPr>
          <w:lang w:val="en-NZ" w:eastAsia="en-GB"/>
        </w:rPr>
        <w:t>]</w:t>
      </w:r>
    </w:p>
    <w:p w14:paraId="71B5D5BC" w14:textId="26C4EB55" w:rsidR="00C84E58" w:rsidRPr="00CC4102" w:rsidRDefault="00C84E58" w:rsidP="00C84E58">
      <w:pPr>
        <w:pStyle w:val="Heading4"/>
      </w:pPr>
      <w:r>
        <w:t>Domain 6 for Pacific peoples</w:t>
      </w:r>
      <w:r w:rsidR="00D97845">
        <w:t xml:space="preserve"> – </w:t>
      </w:r>
      <w:r>
        <w:t>have hope, purpose and autonomy</w:t>
      </w:r>
    </w:p>
    <w:p w14:paraId="57E11A2B" w14:textId="0BC6CC18" w:rsidR="00C84E58" w:rsidRPr="00C84E58" w:rsidRDefault="00C84E58" w:rsidP="00C84E58">
      <w:pPr>
        <w:spacing w:after="120" w:line="269" w:lineRule="auto"/>
        <w:rPr>
          <w:color w:val="000000" w:themeColor="text1"/>
        </w:rPr>
      </w:pPr>
      <w:r>
        <w:rPr>
          <w:color w:val="000000" w:themeColor="text1"/>
        </w:rPr>
        <w:t>Respondents</w:t>
      </w:r>
      <w:r w:rsidRPr="00E77A3F">
        <w:rPr>
          <w:color w:val="000000" w:themeColor="text1"/>
        </w:rPr>
        <w:t xml:space="preserve"> </w:t>
      </w:r>
      <w:r>
        <w:rPr>
          <w:color w:val="000000" w:themeColor="text1"/>
        </w:rPr>
        <w:t>agreed</w:t>
      </w:r>
      <w:r w:rsidRPr="00E77A3F">
        <w:rPr>
          <w:color w:val="000000" w:themeColor="text1"/>
        </w:rPr>
        <w:t xml:space="preserve"> that interdependence</w:t>
      </w:r>
      <w:r>
        <w:rPr>
          <w:rStyle w:val="FootnoteReference"/>
          <w:color w:val="000000" w:themeColor="text1"/>
        </w:rPr>
        <w:footnoteReference w:id="65"/>
      </w:r>
      <w:r w:rsidRPr="00E77A3F">
        <w:rPr>
          <w:color w:val="000000" w:themeColor="text1"/>
        </w:rPr>
        <w:t xml:space="preserve"> reflects familial </w:t>
      </w:r>
      <w:r>
        <w:rPr>
          <w:color w:val="000000" w:themeColor="text1"/>
        </w:rPr>
        <w:t xml:space="preserve">and community </w:t>
      </w:r>
      <w:r w:rsidRPr="00E77A3F">
        <w:rPr>
          <w:color w:val="000000" w:themeColor="text1"/>
        </w:rPr>
        <w:t xml:space="preserve">relationships. </w:t>
      </w:r>
      <w:r w:rsidR="00BC65E5">
        <w:rPr>
          <w:color w:val="000000" w:themeColor="text1"/>
        </w:rPr>
        <w:t>Reflecting the emphasis on the diversity of Pacific communities, respondents suggested that t</w:t>
      </w:r>
      <w:r>
        <w:rPr>
          <w:color w:val="000000" w:themeColor="text1"/>
        </w:rPr>
        <w:t>he</w:t>
      </w:r>
      <w:r w:rsidRPr="00E77A3F">
        <w:rPr>
          <w:color w:val="000000" w:themeColor="text1"/>
        </w:rPr>
        <w:t xml:space="preserve"> framework </w:t>
      </w:r>
      <w:r w:rsidR="00BC65E5">
        <w:rPr>
          <w:color w:val="000000" w:themeColor="text1"/>
        </w:rPr>
        <w:t>be amended to ‘</w:t>
      </w:r>
      <w:r w:rsidR="00BC65E5" w:rsidRPr="00742598">
        <w:t xml:space="preserve">Pacific peoples and families have hope and faith to lead lives that serve their </w:t>
      </w:r>
      <w:r w:rsidR="00BC65E5" w:rsidRPr="00BC65E5">
        <w:t xml:space="preserve">families, </w:t>
      </w:r>
      <w:r w:rsidR="00BC65E5" w:rsidRPr="00932A16">
        <w:rPr>
          <w:i/>
        </w:rPr>
        <w:t>communities</w:t>
      </w:r>
      <w:r w:rsidR="00BC65E5" w:rsidRPr="00BC65E5">
        <w:t xml:space="preserve"> and</w:t>
      </w:r>
      <w:r w:rsidR="00BC65E5" w:rsidRPr="00742598">
        <w:t xml:space="preserve"> identities</w:t>
      </w:r>
      <w:r w:rsidR="00BC65E5">
        <w:rPr>
          <w:color w:val="000000" w:themeColor="text1"/>
        </w:rPr>
        <w:t>’.</w:t>
      </w:r>
      <w:r w:rsidRPr="00E77A3F">
        <w:rPr>
          <w:color w:val="000000" w:themeColor="text1"/>
        </w:rPr>
        <w:t xml:space="preserve"> </w:t>
      </w:r>
    </w:p>
    <w:p w14:paraId="4AD675E6" w14:textId="62109C59" w:rsidR="008E5906" w:rsidRPr="00CC4102" w:rsidRDefault="008E5906" w:rsidP="00DA3FDF">
      <w:pPr>
        <w:pStyle w:val="Heading4"/>
      </w:pPr>
      <w:r>
        <w:t>Domain 6 for everyone</w:t>
      </w:r>
      <w:r w:rsidR="00D97845">
        <w:t xml:space="preserve"> – </w:t>
      </w:r>
      <w:r>
        <w:t>have hope, purpose and autonomy</w:t>
      </w:r>
    </w:p>
    <w:p w14:paraId="104E7D8A" w14:textId="129A9C38" w:rsidR="00A71B88" w:rsidRDefault="00A71B88" w:rsidP="007E043C">
      <w:pPr>
        <w:pBdr>
          <w:top w:val="nil"/>
          <w:left w:val="nil"/>
          <w:bottom w:val="nil"/>
          <w:right w:val="nil"/>
          <w:between w:val="nil"/>
        </w:pBdr>
        <w:spacing w:after="120" w:line="269" w:lineRule="auto"/>
      </w:pPr>
      <w:r>
        <w:t>Several amendments were suggested for this descriptor.</w:t>
      </w:r>
    </w:p>
    <w:p w14:paraId="2075DCF6" w14:textId="0006B1F7" w:rsidR="008E5906" w:rsidRDefault="00A71B88" w:rsidP="007E043C">
      <w:pPr>
        <w:pBdr>
          <w:top w:val="nil"/>
          <w:left w:val="nil"/>
          <w:bottom w:val="nil"/>
          <w:right w:val="nil"/>
          <w:between w:val="nil"/>
        </w:pBdr>
        <w:spacing w:after="120" w:line="269" w:lineRule="auto"/>
        <w:rPr>
          <w:rFonts w:eastAsia="Arial" w:cs="Arial"/>
          <w:lang w:val="en-NZ"/>
        </w:rPr>
      </w:pPr>
      <w:r>
        <w:rPr>
          <w:rFonts w:eastAsia="Arial" w:cs="Arial"/>
          <w:lang w:val="en-NZ"/>
        </w:rPr>
        <w:t xml:space="preserve">Respondents suggested </w:t>
      </w:r>
      <w:r w:rsidRPr="0016385E">
        <w:rPr>
          <w:rFonts w:eastAsia="Arial" w:cs="Arial"/>
          <w:lang w:val="en-NZ"/>
        </w:rPr>
        <w:t xml:space="preserve">adding children and young people to the outcome area </w:t>
      </w:r>
      <w:r>
        <w:rPr>
          <w:rFonts w:eastAsia="Arial" w:cs="Arial"/>
          <w:lang w:val="en-NZ"/>
        </w:rPr>
        <w:t xml:space="preserve">and </w:t>
      </w:r>
      <w:r w:rsidRPr="0016385E">
        <w:rPr>
          <w:rFonts w:eastAsia="Arial" w:cs="Arial"/>
          <w:lang w:val="en-NZ"/>
        </w:rPr>
        <w:t>including the language of the Child and Youth Wellbeing Strategy</w:t>
      </w:r>
      <w:r w:rsidR="00D97845">
        <w:rPr>
          <w:rFonts w:eastAsia="Arial" w:cs="Arial"/>
          <w:lang w:val="en-NZ"/>
        </w:rPr>
        <w:t xml:space="preserve"> – </w:t>
      </w:r>
      <w:r w:rsidR="00066B6B">
        <w:rPr>
          <w:rFonts w:eastAsia="Arial" w:cs="Arial"/>
          <w:lang w:val="en-NZ"/>
        </w:rPr>
        <w:t>‘</w:t>
      </w:r>
      <w:r w:rsidRPr="0016385E">
        <w:rPr>
          <w:rFonts w:eastAsia="Arial" w:cs="Arial"/>
          <w:lang w:val="en-NZ"/>
        </w:rPr>
        <w:t>involved and empowered</w:t>
      </w:r>
      <w:r w:rsidR="00066B6B">
        <w:rPr>
          <w:rFonts w:eastAsia="Arial" w:cs="Arial"/>
          <w:lang w:val="en-NZ"/>
        </w:rPr>
        <w:t>’</w:t>
      </w:r>
      <w:r w:rsidRPr="0016385E">
        <w:rPr>
          <w:rFonts w:eastAsia="Arial" w:cs="Arial"/>
          <w:lang w:val="en-NZ"/>
        </w:rPr>
        <w:t>.</w:t>
      </w:r>
      <w:r w:rsidR="00DA3FDF">
        <w:rPr>
          <w:rStyle w:val="FootnoteReference"/>
          <w:rFonts w:eastAsia="Arial" w:cs="Arial"/>
          <w:lang w:val="en-NZ"/>
        </w:rPr>
        <w:footnoteReference w:id="66"/>
      </w:r>
    </w:p>
    <w:p w14:paraId="57ECBC7E" w14:textId="0029DC16" w:rsidR="00934AA1" w:rsidRDefault="00790589" w:rsidP="007E043C">
      <w:pPr>
        <w:pBdr>
          <w:top w:val="nil"/>
          <w:left w:val="nil"/>
          <w:bottom w:val="nil"/>
          <w:right w:val="nil"/>
          <w:between w:val="nil"/>
        </w:pBdr>
        <w:spacing w:after="120" w:line="269" w:lineRule="auto"/>
        <w:rPr>
          <w:rFonts w:eastAsia="Arial" w:cs="Arial"/>
          <w:lang w:val="en-NZ"/>
        </w:rPr>
      </w:pPr>
      <w:r>
        <w:rPr>
          <w:rFonts w:eastAsia="Arial" w:cs="Arial"/>
          <w:lang w:val="en-NZ"/>
        </w:rPr>
        <w:t>A</w:t>
      </w:r>
      <w:r w:rsidR="00934AA1" w:rsidRPr="00934AA1">
        <w:rPr>
          <w:rFonts w:eastAsia="Arial" w:cs="Arial"/>
          <w:lang w:val="en-NZ"/>
        </w:rPr>
        <w:t xml:space="preserve">ddiction </w:t>
      </w:r>
      <w:r>
        <w:rPr>
          <w:rFonts w:eastAsia="Arial" w:cs="Arial"/>
          <w:lang w:val="en-NZ"/>
        </w:rPr>
        <w:t xml:space="preserve">was </w:t>
      </w:r>
      <w:r w:rsidR="001276F6">
        <w:rPr>
          <w:rFonts w:eastAsia="Arial" w:cs="Arial"/>
          <w:lang w:val="en-NZ"/>
        </w:rPr>
        <w:t xml:space="preserve">also noted as </w:t>
      </w:r>
      <w:r w:rsidR="00934AA1" w:rsidRPr="00934AA1">
        <w:rPr>
          <w:rFonts w:eastAsia="Arial" w:cs="Arial"/>
          <w:lang w:val="en-NZ"/>
        </w:rPr>
        <w:t xml:space="preserve">missing from the </w:t>
      </w:r>
      <w:r w:rsidR="00934AA1">
        <w:rPr>
          <w:rFonts w:eastAsia="Arial" w:cs="Arial"/>
          <w:lang w:val="en-NZ"/>
        </w:rPr>
        <w:t>descriptor</w:t>
      </w:r>
      <w:r w:rsidR="00934AA1" w:rsidRPr="00934AA1">
        <w:rPr>
          <w:rFonts w:eastAsia="Arial" w:cs="Arial"/>
          <w:lang w:val="en-NZ"/>
        </w:rPr>
        <w:t xml:space="preserve">. </w:t>
      </w:r>
      <w:r>
        <w:rPr>
          <w:rFonts w:eastAsia="Arial" w:cs="Arial"/>
          <w:lang w:val="en-NZ"/>
        </w:rPr>
        <w:t>The sentence</w:t>
      </w:r>
      <w:r w:rsidR="00934AA1" w:rsidRPr="00934AA1">
        <w:rPr>
          <w:rFonts w:eastAsia="Arial" w:cs="Arial"/>
          <w:lang w:val="en-NZ"/>
        </w:rPr>
        <w:t xml:space="preserve"> </w:t>
      </w:r>
      <w:r>
        <w:rPr>
          <w:rFonts w:eastAsia="Arial" w:cs="Arial"/>
          <w:lang w:val="en-NZ"/>
        </w:rPr>
        <w:t xml:space="preserve">beginning </w:t>
      </w:r>
      <w:r w:rsidR="007F75F3">
        <w:rPr>
          <w:rFonts w:eastAsia="Arial" w:cs="Arial"/>
          <w:lang w:val="en-NZ"/>
        </w:rPr>
        <w:t>‘</w:t>
      </w:r>
      <w:r w:rsidR="00934AA1" w:rsidRPr="00934AA1">
        <w:rPr>
          <w:rFonts w:eastAsia="Arial" w:cs="Arial"/>
          <w:lang w:val="en-NZ"/>
        </w:rPr>
        <w:t>Communities of belonging</w:t>
      </w:r>
      <w:r>
        <w:rPr>
          <w:rFonts w:eastAsia="Arial" w:cs="Arial"/>
          <w:lang w:val="en-NZ"/>
        </w:rPr>
        <w:t xml:space="preserve">… </w:t>
      </w:r>
      <w:r w:rsidR="007F75F3">
        <w:rPr>
          <w:rFonts w:eastAsia="Arial" w:cs="Arial"/>
          <w:lang w:val="en-NZ"/>
        </w:rPr>
        <w:t>‘</w:t>
      </w:r>
      <w:r>
        <w:rPr>
          <w:rFonts w:eastAsia="Arial" w:cs="Arial"/>
          <w:lang w:val="en-NZ"/>
        </w:rPr>
        <w:t>could be amended</w:t>
      </w:r>
      <w:r w:rsidR="00934AA1" w:rsidRPr="00934AA1">
        <w:rPr>
          <w:rFonts w:eastAsia="Arial" w:cs="Arial"/>
          <w:lang w:val="en-NZ"/>
        </w:rPr>
        <w:t xml:space="preserve"> to </w:t>
      </w:r>
      <w:r w:rsidR="007F75F3">
        <w:rPr>
          <w:rFonts w:eastAsia="Arial" w:cs="Arial"/>
          <w:lang w:val="en-NZ"/>
        </w:rPr>
        <w:t>‘</w:t>
      </w:r>
      <w:r w:rsidR="00934AA1" w:rsidRPr="00934AA1">
        <w:rPr>
          <w:rFonts w:eastAsia="Arial" w:cs="Arial"/>
          <w:lang w:val="en-NZ"/>
        </w:rPr>
        <w:t xml:space="preserve">Communities of belonging, such as rainbow communities and consumer communities </w:t>
      </w:r>
      <w:r w:rsidR="00934AA1" w:rsidRPr="00932A16">
        <w:rPr>
          <w:rFonts w:eastAsia="Arial" w:cs="Arial"/>
          <w:i/>
          <w:lang w:val="en-NZ"/>
        </w:rPr>
        <w:t>such as addiction, mental health, and gambling harm</w:t>
      </w:r>
      <w:r w:rsidR="00934AA1" w:rsidRPr="00934AA1">
        <w:rPr>
          <w:rFonts w:eastAsia="Arial" w:cs="Arial"/>
          <w:lang w:val="en-NZ"/>
        </w:rPr>
        <w:t xml:space="preserve"> have agency </w:t>
      </w:r>
      <w:proofErr w:type="gramStart"/>
      <w:r w:rsidR="00934AA1" w:rsidRPr="00934AA1">
        <w:rPr>
          <w:rFonts w:eastAsia="Arial" w:cs="Arial"/>
          <w:lang w:val="en-NZ"/>
        </w:rPr>
        <w:t>…</w:t>
      </w:r>
      <w:r w:rsidR="00223C9F">
        <w:rPr>
          <w:rFonts w:eastAsia="Arial" w:cs="Arial"/>
          <w:lang w:val="en-NZ"/>
        </w:rPr>
        <w:t xml:space="preserve"> .</w:t>
      </w:r>
      <w:proofErr w:type="gramEnd"/>
      <w:r w:rsidR="007F75F3">
        <w:rPr>
          <w:rFonts w:eastAsia="Arial" w:cs="Arial"/>
          <w:lang w:val="en-NZ"/>
        </w:rPr>
        <w:t>’</w:t>
      </w:r>
      <w:r w:rsidR="007A7E5D">
        <w:rPr>
          <w:rStyle w:val="FootnoteReference"/>
          <w:rFonts w:eastAsia="Arial" w:cs="Arial"/>
          <w:lang w:val="en-NZ"/>
        </w:rPr>
        <w:footnoteReference w:id="67"/>
      </w:r>
    </w:p>
    <w:p w14:paraId="4250E0B3" w14:textId="1F1E46E6" w:rsidR="00934AA1" w:rsidRDefault="00934AA1" w:rsidP="007E043C">
      <w:pPr>
        <w:pStyle w:val="Quote"/>
        <w:spacing w:before="120" w:after="120" w:line="269" w:lineRule="auto"/>
        <w:rPr>
          <w:lang w:val="en-NZ"/>
        </w:rPr>
      </w:pPr>
      <w:r w:rsidRPr="00934AA1">
        <w:rPr>
          <w:lang w:val="en-NZ"/>
        </w:rPr>
        <w:t xml:space="preserve">A community of belonging is a collective identity and resonates strongly within addiction recovery communities and aligns with the CHIME framework. </w:t>
      </w:r>
      <w:r w:rsidR="000F542C">
        <w:rPr>
          <w:lang w:val="en-NZ"/>
        </w:rPr>
        <w:t>[</w:t>
      </w:r>
      <w:r w:rsidR="000F542C" w:rsidRPr="000F542C">
        <w:rPr>
          <w:lang w:val="en-NZ"/>
        </w:rPr>
        <w:t>Addiction Consumer Leadership Group (Te Pou)</w:t>
      </w:r>
      <w:r w:rsidR="000F542C">
        <w:rPr>
          <w:lang w:val="en-NZ"/>
        </w:rPr>
        <w:t>]</w:t>
      </w:r>
      <w:r w:rsidR="002236EF">
        <w:rPr>
          <w:lang w:val="en-NZ"/>
        </w:rPr>
        <w:t xml:space="preserve"> </w:t>
      </w:r>
    </w:p>
    <w:p w14:paraId="0194314E" w14:textId="77777777" w:rsidR="00FE3520" w:rsidRDefault="00D67BF9" w:rsidP="007E043C">
      <w:pPr>
        <w:spacing w:after="120" w:line="269" w:lineRule="auto"/>
      </w:pPr>
      <w:r>
        <w:t xml:space="preserve">Others preferred not to use the term ‘consumer’ in the descriptor. </w:t>
      </w:r>
      <w:r w:rsidR="00790589">
        <w:t xml:space="preserve">Clarification of </w:t>
      </w:r>
      <w:r w:rsidR="00790589" w:rsidRPr="00553998">
        <w:t>how communities will be supported and</w:t>
      </w:r>
      <w:r w:rsidR="00790589">
        <w:t xml:space="preserve"> </w:t>
      </w:r>
      <w:r w:rsidR="00790589" w:rsidRPr="00553998">
        <w:t>empowered to create positive change, to avoid victim blaming</w:t>
      </w:r>
      <w:r w:rsidR="00790589">
        <w:t>, was also asked for</w:t>
      </w:r>
      <w:r w:rsidR="00790589" w:rsidRPr="00553998">
        <w:t xml:space="preserve">. </w:t>
      </w:r>
    </w:p>
    <w:p w14:paraId="7C6AB0F1" w14:textId="10F4274B" w:rsidR="000C6F0B" w:rsidRPr="00136A49" w:rsidRDefault="00B2307C" w:rsidP="00D67BF9">
      <w:pPr>
        <w:pStyle w:val="Heading2"/>
      </w:pPr>
      <w:bookmarkStart w:id="46" w:name="_Toc56063538"/>
      <w:r>
        <w:t>Comments on the</w:t>
      </w:r>
      <w:r w:rsidR="00A04BCE">
        <w:t xml:space="preserve"> vision</w:t>
      </w:r>
      <w:bookmarkEnd w:id="46"/>
    </w:p>
    <w:tbl>
      <w:tblPr>
        <w:tblStyle w:val="TableGrid"/>
        <w:tblW w:w="0" w:type="auto"/>
        <w:tblInd w:w="0" w:type="dxa"/>
        <w:shd w:val="clear" w:color="auto" w:fill="E7E6E6" w:themeFill="background2"/>
        <w:tblLook w:val="04A0" w:firstRow="1" w:lastRow="0" w:firstColumn="1" w:lastColumn="0" w:noHBand="0" w:noVBand="1"/>
      </w:tblPr>
      <w:tblGrid>
        <w:gridCol w:w="9016"/>
      </w:tblGrid>
      <w:tr w:rsidR="00746334" w:rsidRPr="0095404F" w14:paraId="726992F6" w14:textId="77777777" w:rsidTr="00F118D2">
        <w:tc>
          <w:tcPr>
            <w:tcW w:w="9016" w:type="dxa"/>
            <w:tcBorders>
              <w:top w:val="nil"/>
              <w:left w:val="nil"/>
              <w:bottom w:val="nil"/>
              <w:right w:val="nil"/>
            </w:tcBorders>
            <w:shd w:val="clear" w:color="auto" w:fill="E7E6E6" w:themeFill="background2"/>
          </w:tcPr>
          <w:p w14:paraId="6A25ACBB" w14:textId="2B800D8F" w:rsidR="00A04BCE" w:rsidRDefault="00A04BCE" w:rsidP="007E043C">
            <w:pPr>
              <w:pStyle w:val="Questionstyle"/>
              <w:spacing w:line="269" w:lineRule="auto"/>
            </w:pPr>
            <w:r w:rsidRPr="00A04BCE">
              <w:t xml:space="preserve">Our </w:t>
            </w:r>
            <w:r w:rsidR="007F75F3">
              <w:t>‘</w:t>
            </w:r>
            <w:r w:rsidRPr="00A04BCE">
              <w:t>vision</w:t>
            </w:r>
            <w:r w:rsidR="007F75F3">
              <w:t>’</w:t>
            </w:r>
            <w:r w:rsidRPr="00A04BCE">
              <w:t xml:space="preserve"> is one sentence that describes what we hope the future state of mental health and wellbeing will be in Aotearoa. The proposed vision for the Initial Mental Health and Wellbeing Commission and the outcomes framework is:</w:t>
            </w:r>
            <w:r w:rsidR="00295698">
              <w:t xml:space="preserve"> </w:t>
            </w:r>
            <w:r w:rsidR="007F75F3">
              <w:t>‘</w:t>
            </w:r>
            <w:proofErr w:type="spellStart"/>
            <w:r w:rsidRPr="00A04BCE">
              <w:t>Tū</w:t>
            </w:r>
            <w:proofErr w:type="spellEnd"/>
            <w:r w:rsidRPr="00A04BCE">
              <w:t xml:space="preserve"> tangata mauri ora, flourishing together</w:t>
            </w:r>
            <w:r w:rsidR="007F75F3">
              <w:t>’</w:t>
            </w:r>
          </w:p>
          <w:p w14:paraId="721A34D4" w14:textId="423AF068" w:rsidR="00746334" w:rsidRPr="0095404F" w:rsidRDefault="00A04BCE" w:rsidP="007E043C">
            <w:pPr>
              <w:pStyle w:val="Questionstyle"/>
              <w:spacing w:line="269" w:lineRule="auto"/>
              <w:rPr>
                <w:b/>
              </w:rPr>
            </w:pPr>
            <w:r w:rsidRPr="00A04BCE">
              <w:rPr>
                <w:color w:val="000000"/>
              </w:rPr>
              <w:t>Do you think this is a suitable aspirational vision?</w:t>
            </w:r>
          </w:p>
        </w:tc>
      </w:tr>
    </w:tbl>
    <w:p w14:paraId="32BA6F99" w14:textId="5BBC161C" w:rsidR="009E53F1" w:rsidRDefault="009E53F1" w:rsidP="00D67BF9">
      <w:pPr>
        <w:keepLines/>
        <w:spacing w:after="120" w:line="269" w:lineRule="auto"/>
        <w:rPr>
          <w:lang w:val="en-NZ"/>
        </w:rPr>
      </w:pPr>
      <w:r>
        <w:rPr>
          <w:lang w:val="en-NZ"/>
        </w:rPr>
        <w:t xml:space="preserve">The vision of </w:t>
      </w:r>
      <w:r w:rsidR="007F75F3">
        <w:rPr>
          <w:lang w:val="en-NZ"/>
        </w:rPr>
        <w:t>‘</w:t>
      </w:r>
      <w:proofErr w:type="spellStart"/>
      <w:r>
        <w:rPr>
          <w:lang w:val="en-NZ"/>
        </w:rPr>
        <w:t>Tū</w:t>
      </w:r>
      <w:proofErr w:type="spellEnd"/>
      <w:r>
        <w:rPr>
          <w:lang w:val="en-NZ"/>
        </w:rPr>
        <w:t xml:space="preserve"> tangata mauri ora, flourishing together</w:t>
      </w:r>
      <w:r w:rsidR="007F75F3">
        <w:rPr>
          <w:lang w:val="en-NZ"/>
        </w:rPr>
        <w:t>’</w:t>
      </w:r>
      <w:r>
        <w:rPr>
          <w:lang w:val="en-NZ"/>
        </w:rPr>
        <w:t xml:space="preserve"> was generally supported. Most respondents (8</w:t>
      </w:r>
      <w:r w:rsidR="00FA14E8">
        <w:rPr>
          <w:lang w:val="en-NZ"/>
        </w:rPr>
        <w:t>6</w:t>
      </w:r>
      <w:r>
        <w:rPr>
          <w:lang w:val="en-NZ"/>
        </w:rPr>
        <w:t>%</w:t>
      </w:r>
      <w:r w:rsidR="00D97845">
        <w:rPr>
          <w:lang w:val="en-NZ"/>
        </w:rPr>
        <w:t xml:space="preserve"> – </w:t>
      </w:r>
      <w:r>
        <w:rPr>
          <w:lang w:val="en-NZ"/>
        </w:rPr>
        <w:t>73 of the 8</w:t>
      </w:r>
      <w:r w:rsidR="00FA14E8">
        <w:rPr>
          <w:lang w:val="en-NZ"/>
        </w:rPr>
        <w:t>5</w:t>
      </w:r>
      <w:r>
        <w:rPr>
          <w:lang w:val="en-NZ"/>
        </w:rPr>
        <w:t xml:space="preserve"> who answered this question) said it was a suitable aspirational vision.</w:t>
      </w:r>
      <w:r w:rsidR="00FE2903">
        <w:rPr>
          <w:lang w:val="en-NZ"/>
        </w:rPr>
        <w:t xml:space="preserve"> Eighty percent (39/49) of the respondents who identified with or represented </w:t>
      </w:r>
      <w:r w:rsidR="00FE2903" w:rsidRPr="00FE2903">
        <w:rPr>
          <w:lang w:val="en-NZ"/>
        </w:rPr>
        <w:t xml:space="preserve">people with lived experience of mental distress, illness and/or addiction </w:t>
      </w:r>
      <w:r w:rsidR="00FE2903">
        <w:rPr>
          <w:lang w:val="en-NZ"/>
        </w:rPr>
        <w:t>considered it was a suitable aspirational vision.</w:t>
      </w:r>
    </w:p>
    <w:p w14:paraId="7E7153CC" w14:textId="1DBF277A" w:rsidR="001E07EA" w:rsidRPr="001E07EA" w:rsidRDefault="001E07EA" w:rsidP="00932A16">
      <w:pPr>
        <w:pStyle w:val="Caption"/>
        <w:keepNext/>
        <w:keepLines/>
        <w:tabs>
          <w:tab w:val="left" w:pos="851"/>
        </w:tabs>
        <w:spacing w:before="120" w:after="120" w:line="269" w:lineRule="auto"/>
        <w:rPr>
          <w:lang w:val="en-NZ"/>
        </w:rPr>
      </w:pPr>
      <w:r>
        <w:t xml:space="preserve">Figure </w:t>
      </w:r>
      <w:r>
        <w:fldChar w:fldCharType="begin"/>
      </w:r>
      <w:r>
        <w:instrText xml:space="preserve"> SEQ Figure \* ARABIC </w:instrText>
      </w:r>
      <w:r>
        <w:fldChar w:fldCharType="separate"/>
      </w:r>
      <w:r w:rsidR="002512BA">
        <w:rPr>
          <w:noProof/>
        </w:rPr>
        <w:t>4</w:t>
      </w:r>
      <w:r>
        <w:fldChar w:fldCharType="end"/>
      </w:r>
      <w:r>
        <w:tab/>
      </w:r>
      <w:r>
        <w:rPr>
          <w:lang w:val="en-NZ"/>
        </w:rPr>
        <w:t>Is</w:t>
      </w:r>
      <w:r w:rsidRPr="001E07EA">
        <w:rPr>
          <w:lang w:val="en-NZ"/>
        </w:rPr>
        <w:t xml:space="preserve"> </w:t>
      </w:r>
      <w:r w:rsidR="007F75F3">
        <w:rPr>
          <w:lang w:val="en-NZ"/>
        </w:rPr>
        <w:t>‘</w:t>
      </w:r>
      <w:proofErr w:type="spellStart"/>
      <w:r w:rsidRPr="001E07EA">
        <w:rPr>
          <w:lang w:val="en-NZ"/>
        </w:rPr>
        <w:t>Tū</w:t>
      </w:r>
      <w:proofErr w:type="spellEnd"/>
      <w:r w:rsidRPr="001E07EA">
        <w:rPr>
          <w:lang w:val="en-NZ"/>
        </w:rPr>
        <w:t xml:space="preserve"> tangata mauri ora, flourishing together</w:t>
      </w:r>
      <w:r w:rsidR="007F75F3">
        <w:rPr>
          <w:lang w:val="en-NZ"/>
        </w:rPr>
        <w:t>’</w:t>
      </w:r>
      <w:r w:rsidRPr="001E07EA">
        <w:rPr>
          <w:lang w:val="en-NZ"/>
        </w:rPr>
        <w:t xml:space="preserve"> a suitable aspirational vision</w:t>
      </w:r>
      <w:r>
        <w:rPr>
          <w:lang w:val="en-NZ"/>
        </w:rPr>
        <w:t>?</w:t>
      </w:r>
    </w:p>
    <w:p w14:paraId="4704B1E9" w14:textId="77777777" w:rsidR="00FE3520" w:rsidRDefault="00A435C1" w:rsidP="00D67BF9">
      <w:pPr>
        <w:keepNext/>
        <w:keepLines/>
        <w:spacing w:after="120" w:line="269" w:lineRule="auto"/>
        <w:rPr>
          <w:lang w:val="en-NZ"/>
        </w:rPr>
      </w:pPr>
      <w:r>
        <w:rPr>
          <w:noProof/>
        </w:rPr>
        <w:drawing>
          <wp:inline distT="0" distB="0" distL="0" distR="0" wp14:anchorId="0E64587D" wp14:editId="6E45E7FD">
            <wp:extent cx="2867025" cy="1819275"/>
            <wp:effectExtent l="0" t="0" r="9525" b="9525"/>
            <wp:docPr id="5" name="Chart 5">
              <a:extLst xmlns:a="http://schemas.openxmlformats.org/drawingml/2006/main">
                <a:ext uri="{FF2B5EF4-FFF2-40B4-BE49-F238E27FC236}">
                  <a16:creationId xmlns:a16="http://schemas.microsoft.com/office/drawing/2014/main" id="{880DD5E9-CACC-434B-905E-08708D31BD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3B4981" w14:textId="046C3A49" w:rsidR="009E53F1" w:rsidRDefault="009E53F1" w:rsidP="007E043C">
      <w:pPr>
        <w:pStyle w:val="Heading3"/>
        <w:spacing w:before="120" w:after="120" w:line="269" w:lineRule="auto"/>
      </w:pPr>
      <w:r>
        <w:t>Aspects of the vision that were supported</w:t>
      </w:r>
    </w:p>
    <w:p w14:paraId="7F7FC083" w14:textId="77777777" w:rsidR="009E53F1" w:rsidRDefault="009E53F1" w:rsidP="007E043C">
      <w:pPr>
        <w:pStyle w:val="Heading4"/>
        <w:spacing w:before="120" w:after="120" w:line="269" w:lineRule="auto"/>
      </w:pPr>
      <w:r>
        <w:t>Simple and concise</w:t>
      </w:r>
    </w:p>
    <w:p w14:paraId="63095BF2" w14:textId="77777777" w:rsidR="009E53F1" w:rsidRDefault="009E53F1" w:rsidP="007E043C">
      <w:pPr>
        <w:spacing w:after="120" w:line="269" w:lineRule="auto"/>
      </w:pPr>
      <w:r>
        <w:t>There was appreciation for having a simple, concise vision statement.</w:t>
      </w:r>
    </w:p>
    <w:p w14:paraId="79194494" w14:textId="77777777" w:rsidR="009E53F1" w:rsidRPr="003A11DC" w:rsidRDefault="009E53F1" w:rsidP="007E043C">
      <w:pPr>
        <w:pStyle w:val="Quote"/>
        <w:spacing w:before="120" w:after="120" w:line="269" w:lineRule="auto"/>
      </w:pPr>
      <w:r w:rsidRPr="003A11DC">
        <w:t>It is concise and inclusive. [Te Pou Addiction Consumer Leadership Group]</w:t>
      </w:r>
    </w:p>
    <w:p w14:paraId="5968D0A9" w14:textId="65D5AEB2" w:rsidR="009E53F1" w:rsidRDefault="009E53F1" w:rsidP="007E043C">
      <w:pPr>
        <w:pStyle w:val="Quote"/>
        <w:spacing w:before="120" w:after="120" w:line="269" w:lineRule="auto"/>
        <w:rPr>
          <w:szCs w:val="20"/>
          <w:lang w:val="en-NZ"/>
        </w:rPr>
      </w:pPr>
      <w:r w:rsidRPr="00650761">
        <w:rPr>
          <w:szCs w:val="20"/>
          <w:lang w:val="en-NZ"/>
        </w:rPr>
        <w:t xml:space="preserve">We are supportive of your vision statement; </w:t>
      </w:r>
      <w:r w:rsidR="007F75F3">
        <w:rPr>
          <w:szCs w:val="20"/>
          <w:lang w:val="en-NZ"/>
        </w:rPr>
        <w:t>‘</w:t>
      </w:r>
      <w:proofErr w:type="spellStart"/>
      <w:r w:rsidRPr="00650761">
        <w:rPr>
          <w:szCs w:val="20"/>
          <w:lang w:val="en-NZ"/>
        </w:rPr>
        <w:t>Tū</w:t>
      </w:r>
      <w:proofErr w:type="spellEnd"/>
      <w:r w:rsidRPr="00650761">
        <w:rPr>
          <w:szCs w:val="20"/>
          <w:lang w:val="en-NZ"/>
        </w:rPr>
        <w:t xml:space="preserve"> tangata mauri ora, flourishing together</w:t>
      </w:r>
      <w:r w:rsidR="007F75F3">
        <w:rPr>
          <w:szCs w:val="20"/>
          <w:lang w:val="en-NZ"/>
        </w:rPr>
        <w:t>’</w:t>
      </w:r>
      <w:r w:rsidRPr="00650761">
        <w:rPr>
          <w:szCs w:val="20"/>
          <w:lang w:val="en-NZ"/>
        </w:rPr>
        <w:t xml:space="preserve"> which is simple, powerful and integrative</w:t>
      </w:r>
      <w:r>
        <w:rPr>
          <w:szCs w:val="20"/>
          <w:lang w:val="en-NZ"/>
        </w:rPr>
        <w:t xml:space="preserve"> [Age Concern New Zealand]</w:t>
      </w:r>
    </w:p>
    <w:p w14:paraId="2519B6A4" w14:textId="77777777" w:rsidR="009E53F1" w:rsidRPr="003A11DC" w:rsidRDefault="009E53F1" w:rsidP="007E043C">
      <w:pPr>
        <w:pStyle w:val="Quote"/>
        <w:spacing w:before="120" w:after="120" w:line="269" w:lineRule="auto"/>
        <w:rPr>
          <w:szCs w:val="20"/>
          <w:lang w:val="en-NZ"/>
        </w:rPr>
      </w:pPr>
      <w:r w:rsidRPr="009A7448">
        <w:rPr>
          <w:szCs w:val="20"/>
          <w:lang w:val="en-NZ"/>
        </w:rPr>
        <w:t>I like the simplicity. Inclusive of all.</w:t>
      </w:r>
      <w:r>
        <w:rPr>
          <w:szCs w:val="20"/>
          <w:lang w:val="en-NZ"/>
        </w:rPr>
        <w:t xml:space="preserve"> [Individual respondent]</w:t>
      </w:r>
    </w:p>
    <w:p w14:paraId="668083D9" w14:textId="77777777" w:rsidR="009E53F1" w:rsidRDefault="009E53F1" w:rsidP="007E043C">
      <w:pPr>
        <w:spacing w:after="120" w:line="269" w:lineRule="auto"/>
        <w:rPr>
          <w:i/>
        </w:rPr>
      </w:pPr>
      <w:r>
        <w:rPr>
          <w:i/>
        </w:rPr>
        <w:t>Flourishing</w:t>
      </w:r>
    </w:p>
    <w:p w14:paraId="6B4F069A" w14:textId="77777777" w:rsidR="009E53F1" w:rsidRPr="003A11DC" w:rsidRDefault="009E53F1" w:rsidP="007E043C">
      <w:pPr>
        <w:spacing w:after="120" w:line="269" w:lineRule="auto"/>
      </w:pPr>
      <w:r>
        <w:t>Most respondents liked the word ‘flourishing’ as an aspirational concept to strive for.</w:t>
      </w:r>
    </w:p>
    <w:p w14:paraId="51BD3BEE" w14:textId="0E5E6FEA" w:rsidR="009E53F1" w:rsidRPr="00785A9D" w:rsidRDefault="009E53F1" w:rsidP="007E043C">
      <w:pPr>
        <w:pStyle w:val="Quote"/>
        <w:spacing w:before="120" w:after="120" w:line="269" w:lineRule="auto"/>
      </w:pPr>
      <w:r w:rsidRPr="009A7448">
        <w:t>I really like the term 'flourishing' as it captures not just surviving and coping but aspiring for more</w:t>
      </w:r>
      <w:r>
        <w:t xml:space="preserve"> [Organisation </w:t>
      </w:r>
      <w:r w:rsidR="00066B6B">
        <w:t xml:space="preserve">– </w:t>
      </w:r>
      <w:r w:rsidR="009E2778">
        <w:t>did not consent to quotes being attributed</w:t>
      </w:r>
      <w:r>
        <w:t>]</w:t>
      </w:r>
    </w:p>
    <w:p w14:paraId="63B0E835" w14:textId="77777777" w:rsidR="009E53F1" w:rsidRDefault="009E53F1" w:rsidP="007E043C">
      <w:pPr>
        <w:pStyle w:val="Quote"/>
        <w:spacing w:before="120" w:after="120" w:line="269" w:lineRule="auto"/>
      </w:pPr>
      <w:r w:rsidRPr="00785A9D">
        <w:t>The use of flourishing helpfully reflects that one can have or attain wellbeing while at the same time experience mental illness or distress.</w:t>
      </w:r>
      <w:r>
        <w:t xml:space="preserve"> [Mental Health Foundation]</w:t>
      </w:r>
    </w:p>
    <w:p w14:paraId="14C935CA" w14:textId="7B2D44B1" w:rsidR="009E53F1" w:rsidRDefault="009E53F1" w:rsidP="007E043C">
      <w:pPr>
        <w:pStyle w:val="Quote"/>
        <w:spacing w:before="120" w:after="120" w:line="269" w:lineRule="auto"/>
      </w:pPr>
      <w:r w:rsidRPr="003A11DC">
        <w:t>The word flourishing captures more than just the word 'improved' or 'thriving'</w:t>
      </w:r>
      <w:r w:rsidR="00D97845">
        <w:t xml:space="preserve"> – </w:t>
      </w:r>
      <w:r w:rsidRPr="003A11DC">
        <w:t>in fact, flourishing sounds almost joyful and that's what we want whānau to feel</w:t>
      </w:r>
      <w:r w:rsidR="00D97845">
        <w:t xml:space="preserve"> – </w:t>
      </w:r>
      <w:r w:rsidRPr="003A11DC">
        <w:t>together.</w:t>
      </w:r>
      <w:r>
        <w:t xml:space="preserve"> [Individual respondent]</w:t>
      </w:r>
    </w:p>
    <w:p w14:paraId="06213584" w14:textId="77777777" w:rsidR="009E53F1" w:rsidRDefault="009E53F1" w:rsidP="007E043C">
      <w:pPr>
        <w:spacing w:after="120" w:line="269" w:lineRule="auto"/>
        <w:rPr>
          <w:i/>
        </w:rPr>
      </w:pPr>
      <w:r>
        <w:rPr>
          <w:i/>
        </w:rPr>
        <w:t>Interconnectedness and collective</w:t>
      </w:r>
    </w:p>
    <w:p w14:paraId="430EC618" w14:textId="77777777" w:rsidR="009E53F1" w:rsidRPr="00E41AD1" w:rsidRDefault="009E53F1" w:rsidP="007E043C">
      <w:pPr>
        <w:spacing w:after="120" w:line="269" w:lineRule="auto"/>
      </w:pPr>
      <w:r>
        <w:t>The emphasis on the collective and interconnected nature of wellbeing was supported.</w:t>
      </w:r>
    </w:p>
    <w:p w14:paraId="28D268F4" w14:textId="77777777" w:rsidR="009E53F1" w:rsidRDefault="009E53F1" w:rsidP="007E043C">
      <w:pPr>
        <w:pStyle w:val="Quote"/>
        <w:spacing w:before="120" w:after="120" w:line="269" w:lineRule="auto"/>
        <w:rPr>
          <w:lang w:val="en-NZ" w:eastAsia="en-NZ"/>
        </w:rPr>
      </w:pPr>
      <w:r w:rsidRPr="00785A9D">
        <w:rPr>
          <w:lang w:val="en-NZ" w:eastAsia="en-NZ"/>
        </w:rPr>
        <w:t>Recognises the interconnectedness of people and desire for all to be doing well, not just surviving</w:t>
      </w:r>
      <w:r>
        <w:rPr>
          <w:lang w:val="en-NZ" w:eastAsia="en-NZ"/>
        </w:rPr>
        <w:t>. [New Zealand Psychological Society]</w:t>
      </w:r>
    </w:p>
    <w:p w14:paraId="2B111123" w14:textId="77777777" w:rsidR="009E53F1" w:rsidRDefault="009E53F1" w:rsidP="007E043C">
      <w:pPr>
        <w:pStyle w:val="Quote"/>
        <w:spacing w:before="120" w:after="120" w:line="269" w:lineRule="auto"/>
        <w:rPr>
          <w:lang w:val="en-NZ" w:eastAsia="en-NZ"/>
        </w:rPr>
      </w:pPr>
      <w:r w:rsidRPr="00785A9D">
        <w:rPr>
          <w:lang w:val="en-NZ" w:eastAsia="en-NZ"/>
        </w:rPr>
        <w:t>Flourishing Together implies not only holistic well-being on our own terms but a collective purpose and vision. He waka eke noa.</w:t>
      </w:r>
      <w:r>
        <w:rPr>
          <w:lang w:val="en-NZ" w:eastAsia="en-NZ"/>
        </w:rPr>
        <w:t xml:space="preserve"> [Changing Minds]</w:t>
      </w:r>
    </w:p>
    <w:p w14:paraId="48CB43E8" w14:textId="77777777" w:rsidR="009E53F1" w:rsidRDefault="009E53F1" w:rsidP="007E043C">
      <w:pPr>
        <w:pStyle w:val="Quote"/>
        <w:spacing w:before="120" w:after="120" w:line="269" w:lineRule="auto"/>
        <w:rPr>
          <w:lang w:val="en-NZ" w:eastAsia="en-NZ"/>
        </w:rPr>
      </w:pPr>
      <w:r>
        <w:rPr>
          <w:lang w:val="en-NZ" w:eastAsia="en-NZ"/>
        </w:rPr>
        <w:t>[It]</w:t>
      </w:r>
      <w:r w:rsidRPr="009A7448">
        <w:rPr>
          <w:lang w:val="en-NZ" w:eastAsia="en-NZ"/>
        </w:rPr>
        <w:t xml:space="preserve"> emphasises meaningful social connection</w:t>
      </w:r>
      <w:r>
        <w:rPr>
          <w:lang w:val="en-NZ" w:eastAsia="en-NZ"/>
        </w:rPr>
        <w:t xml:space="preserve"> [Loneliness New Zealand Charitable Trust]</w:t>
      </w:r>
    </w:p>
    <w:p w14:paraId="38F8ED1B" w14:textId="77777777" w:rsidR="009E53F1" w:rsidRPr="00785A9D" w:rsidRDefault="009E53F1" w:rsidP="007E043C">
      <w:pPr>
        <w:pStyle w:val="Quote"/>
        <w:spacing w:before="120" w:after="120" w:line="269" w:lineRule="auto"/>
        <w:rPr>
          <w:lang w:val="en-NZ" w:eastAsia="en-NZ"/>
        </w:rPr>
      </w:pPr>
      <w:r>
        <w:rPr>
          <w:lang w:val="en-NZ" w:eastAsia="en-NZ"/>
        </w:rPr>
        <w:t>T</w:t>
      </w:r>
      <w:r w:rsidRPr="003A11DC">
        <w:rPr>
          <w:lang w:val="en-NZ" w:eastAsia="en-NZ"/>
        </w:rPr>
        <w:t>he vision is inclusive including everyone implying that we are all into this together regardless were you are in your recovery</w:t>
      </w:r>
      <w:r>
        <w:rPr>
          <w:lang w:val="en-NZ" w:eastAsia="en-NZ"/>
        </w:rPr>
        <w:t xml:space="preserve"> [</w:t>
      </w:r>
      <w:proofErr w:type="spellStart"/>
      <w:r w:rsidRPr="003A11DC">
        <w:rPr>
          <w:lang w:val="en-NZ" w:eastAsia="en-NZ"/>
        </w:rPr>
        <w:t>Maraeroa</w:t>
      </w:r>
      <w:proofErr w:type="spellEnd"/>
      <w:r w:rsidRPr="003A11DC">
        <w:rPr>
          <w:lang w:val="en-NZ" w:eastAsia="en-NZ"/>
        </w:rPr>
        <w:t xml:space="preserve"> Marae Association Incorporated</w:t>
      </w:r>
      <w:r>
        <w:rPr>
          <w:lang w:val="en-NZ" w:eastAsia="en-NZ"/>
        </w:rPr>
        <w:t>]</w:t>
      </w:r>
    </w:p>
    <w:p w14:paraId="40ACE5C6" w14:textId="1526AB3A" w:rsidR="009E53F1" w:rsidRDefault="009E53F1" w:rsidP="007E043C">
      <w:pPr>
        <w:spacing w:after="120" w:line="269" w:lineRule="auto"/>
        <w:rPr>
          <w:i/>
        </w:rPr>
      </w:pPr>
      <w:r>
        <w:rPr>
          <w:i/>
        </w:rPr>
        <w:t xml:space="preserve">Te </w:t>
      </w:r>
      <w:proofErr w:type="spellStart"/>
      <w:r>
        <w:rPr>
          <w:i/>
        </w:rPr>
        <w:t>reo</w:t>
      </w:r>
      <w:proofErr w:type="spellEnd"/>
      <w:r w:rsidR="0074031D">
        <w:rPr>
          <w:i/>
        </w:rPr>
        <w:t xml:space="preserve"> Māori</w:t>
      </w:r>
      <w:r>
        <w:rPr>
          <w:i/>
        </w:rPr>
        <w:t xml:space="preserve"> and English side-by-side</w:t>
      </w:r>
    </w:p>
    <w:p w14:paraId="43F7A2EA" w14:textId="21545519" w:rsidR="009E53F1" w:rsidRPr="00E41AD1" w:rsidRDefault="009E53F1" w:rsidP="007E043C">
      <w:pPr>
        <w:spacing w:after="120" w:line="269" w:lineRule="auto"/>
      </w:pPr>
      <w:r w:rsidRPr="00E41AD1">
        <w:t xml:space="preserve">Respondents </w:t>
      </w:r>
      <w:r>
        <w:t>welcome</w:t>
      </w:r>
      <w:r w:rsidR="00C5080B">
        <w:t>d</w:t>
      </w:r>
      <w:r>
        <w:t xml:space="preserve"> the pairing of te </w:t>
      </w:r>
      <w:proofErr w:type="spellStart"/>
      <w:r>
        <w:t>reo</w:t>
      </w:r>
      <w:proofErr w:type="spellEnd"/>
      <w:r>
        <w:t xml:space="preserve"> Māori and English side-by-side.</w:t>
      </w:r>
    </w:p>
    <w:p w14:paraId="0E31B783" w14:textId="05E2F216" w:rsidR="009E53F1" w:rsidRDefault="009E53F1" w:rsidP="007E043C">
      <w:pPr>
        <w:pStyle w:val="Quote"/>
        <w:spacing w:before="120" w:after="120" w:line="269" w:lineRule="auto"/>
      </w:pPr>
      <w:r w:rsidRPr="009A7448">
        <w:lastRenderedPageBreak/>
        <w:t xml:space="preserve">The statement demonstrates the uniqueness of Aotearoa with 'te </w:t>
      </w:r>
      <w:proofErr w:type="spellStart"/>
      <w:r w:rsidRPr="009A7448">
        <w:t>reo</w:t>
      </w:r>
      <w:proofErr w:type="spellEnd"/>
      <w:r w:rsidRPr="009A7448">
        <w:t xml:space="preserve">' and </w:t>
      </w:r>
      <w:r w:rsidR="00635E98">
        <w:t>E</w:t>
      </w:r>
      <w:r w:rsidRPr="009A7448">
        <w:t>nglish side by side, is inclusive of everyone, succinct, and promotes hope and new growth.</w:t>
      </w:r>
      <w:r>
        <w:t xml:space="preserve"> [Individual respondent]</w:t>
      </w:r>
    </w:p>
    <w:p w14:paraId="2459E187" w14:textId="77777777" w:rsidR="009E53F1" w:rsidRDefault="009E53F1" w:rsidP="007E043C">
      <w:pPr>
        <w:pStyle w:val="Quote"/>
        <w:spacing w:before="120" w:after="120" w:line="269" w:lineRule="auto"/>
      </w:pPr>
      <w:r w:rsidRPr="009A7448">
        <w:t>Well for me it is wonderful, I love the blend of both Māori and English</w:t>
      </w:r>
      <w:r>
        <w:t xml:space="preserve"> [Individual respondent]</w:t>
      </w:r>
    </w:p>
    <w:p w14:paraId="272DAFB7" w14:textId="77777777" w:rsidR="009E53F1" w:rsidRPr="00E41AD1" w:rsidRDefault="009E53F1" w:rsidP="007E043C">
      <w:pPr>
        <w:spacing w:after="120" w:line="269" w:lineRule="auto"/>
        <w:rPr>
          <w:i/>
        </w:rPr>
      </w:pPr>
      <w:r w:rsidRPr="00E41AD1">
        <w:rPr>
          <w:i/>
        </w:rPr>
        <w:t>Other words</w:t>
      </w:r>
    </w:p>
    <w:p w14:paraId="1EBAD7C0" w14:textId="3D85FE03" w:rsidR="009E53F1" w:rsidRPr="00C5080B" w:rsidRDefault="00C5080B" w:rsidP="007E043C">
      <w:pPr>
        <w:spacing w:after="120" w:line="269" w:lineRule="auto"/>
      </w:pPr>
      <w:r>
        <w:t>S</w:t>
      </w:r>
      <w:r w:rsidR="009E53F1">
        <w:t xml:space="preserve">ome respondents commented on the appropriate choice of words ‘mauri ora’ and </w:t>
      </w:r>
      <w:r w:rsidR="009E53F1" w:rsidRPr="00C5080B">
        <w:t>welcomed the lack of reference to ‘mental’.</w:t>
      </w:r>
    </w:p>
    <w:p w14:paraId="00F3932E" w14:textId="77777777" w:rsidR="009E53F1" w:rsidRPr="00C5080B" w:rsidRDefault="009E53F1" w:rsidP="007E043C">
      <w:pPr>
        <w:pStyle w:val="Quote"/>
        <w:spacing w:before="120" w:after="120" w:line="269" w:lineRule="auto"/>
      </w:pPr>
      <w:r w:rsidRPr="00C5080B">
        <w:t>‘Mauri ora’ is the best description of health and wellbeing. A society where all people of Aotearoa have mauri ora – and are ‘flourishing together’ – is a vision that we support. [Te Pūtahitanga o Te Waipounamu]</w:t>
      </w:r>
    </w:p>
    <w:p w14:paraId="5D282A02" w14:textId="59804D35" w:rsidR="00FE3520" w:rsidRDefault="00C5080B" w:rsidP="007E043C">
      <w:pPr>
        <w:pStyle w:val="Quote"/>
        <w:spacing w:before="120" w:after="120" w:line="269" w:lineRule="auto"/>
        <w:rPr>
          <w:lang w:val="en-NZ" w:eastAsia="en-NZ"/>
        </w:rPr>
      </w:pPr>
      <w:r w:rsidRPr="00C5080B">
        <w:rPr>
          <w:lang w:val="en-NZ" w:eastAsia="en-NZ"/>
        </w:rPr>
        <w:t>[It does not]</w:t>
      </w:r>
      <w:r w:rsidR="009E53F1" w:rsidRPr="00C5080B">
        <w:rPr>
          <w:lang w:val="en-NZ" w:eastAsia="en-NZ"/>
        </w:rPr>
        <w:t xml:space="preserve"> use the word </w:t>
      </w:r>
      <w:r>
        <w:rPr>
          <w:lang w:val="en-NZ" w:eastAsia="en-NZ"/>
        </w:rPr>
        <w:t>‘</w:t>
      </w:r>
      <w:r w:rsidR="009E53F1" w:rsidRPr="00C5080B">
        <w:rPr>
          <w:lang w:val="en-NZ" w:eastAsia="en-NZ"/>
        </w:rPr>
        <w:t>mental</w:t>
      </w:r>
      <w:r>
        <w:rPr>
          <w:lang w:val="en-NZ" w:eastAsia="en-NZ"/>
        </w:rPr>
        <w:t>’</w:t>
      </w:r>
      <w:r w:rsidR="009E53F1" w:rsidRPr="00C5080B">
        <w:rPr>
          <w:lang w:val="en-NZ" w:eastAsia="en-NZ"/>
        </w:rPr>
        <w:t xml:space="preserve"> which is a positive. For many years tangata whai ora and wh</w:t>
      </w:r>
      <w:r w:rsidR="00C003F9">
        <w:rPr>
          <w:lang w:val="en-NZ" w:eastAsia="en-NZ"/>
        </w:rPr>
        <w:t>ā</w:t>
      </w:r>
      <w:r w:rsidR="009E53F1" w:rsidRPr="00C5080B">
        <w:rPr>
          <w:lang w:val="en-NZ" w:eastAsia="en-NZ"/>
        </w:rPr>
        <w:t>nau have voiced that they do not like the word ‘mental’ and have suggested to get rid of it as it has a stigma attached to it and</w:t>
      </w:r>
      <w:r w:rsidR="009E53F1" w:rsidRPr="009A7448">
        <w:rPr>
          <w:lang w:val="en-NZ" w:eastAsia="en-NZ"/>
        </w:rPr>
        <w:t xml:space="preserve"> carries a negative stereotype</w:t>
      </w:r>
      <w:r w:rsidR="009E53F1">
        <w:rPr>
          <w:lang w:val="en-NZ" w:eastAsia="en-NZ"/>
        </w:rPr>
        <w:t>. [Individual respondent]</w:t>
      </w:r>
    </w:p>
    <w:p w14:paraId="5C5E1965" w14:textId="1A2A205C" w:rsidR="009E53F1" w:rsidRDefault="009E53F1" w:rsidP="007E043C">
      <w:pPr>
        <w:pStyle w:val="Heading3"/>
        <w:spacing w:before="120" w:after="120" w:line="269" w:lineRule="auto"/>
      </w:pPr>
      <w:r>
        <w:t>Why some respondents did not support the vision</w:t>
      </w:r>
    </w:p>
    <w:p w14:paraId="21011D09" w14:textId="77777777" w:rsidR="009E53F1" w:rsidRDefault="009E53F1" w:rsidP="007E043C">
      <w:pPr>
        <w:spacing w:after="120" w:line="269" w:lineRule="auto"/>
        <w:rPr>
          <w:lang w:val="en-NZ" w:eastAsia="en-GB"/>
        </w:rPr>
      </w:pPr>
      <w:r>
        <w:rPr>
          <w:i/>
        </w:rPr>
        <w:t>Challenge with ‘flourishing’ and needs to be more specific to mental illness</w:t>
      </w:r>
    </w:p>
    <w:p w14:paraId="42C39C44" w14:textId="4D18A969" w:rsidR="009E53F1" w:rsidRPr="002D7F9F" w:rsidRDefault="009E53F1" w:rsidP="007E043C">
      <w:pPr>
        <w:spacing w:after="120" w:line="269" w:lineRule="auto"/>
        <w:rPr>
          <w:lang w:val="en-NZ" w:eastAsia="en-GB"/>
        </w:rPr>
      </w:pPr>
      <w:r>
        <w:rPr>
          <w:lang w:val="en-NZ" w:eastAsia="en-GB"/>
        </w:rPr>
        <w:t>As noted earlier, most respondents liked the word ‘flourishing’. However, some respondents felt that flourishing can mean different things for different people</w:t>
      </w:r>
      <w:r w:rsidR="00635E98">
        <w:rPr>
          <w:lang w:val="en-NZ" w:eastAsia="en-GB"/>
        </w:rPr>
        <w:t>.</w:t>
      </w:r>
      <w:r>
        <w:rPr>
          <w:lang w:val="en-NZ" w:eastAsia="en-GB"/>
        </w:rPr>
        <w:t xml:space="preserve"> </w:t>
      </w:r>
      <w:r w:rsidR="00635E98">
        <w:rPr>
          <w:lang w:val="en-NZ" w:eastAsia="en-GB"/>
        </w:rPr>
        <w:t>Also, flourishing</w:t>
      </w:r>
      <w:r>
        <w:rPr>
          <w:lang w:val="en-NZ" w:eastAsia="en-GB"/>
        </w:rPr>
        <w:t xml:space="preserve"> </w:t>
      </w:r>
      <w:r w:rsidR="00635E98">
        <w:rPr>
          <w:lang w:val="en-NZ" w:eastAsia="en-GB"/>
        </w:rPr>
        <w:t xml:space="preserve">is </w:t>
      </w:r>
      <w:r>
        <w:rPr>
          <w:lang w:val="en-NZ" w:eastAsia="en-GB"/>
        </w:rPr>
        <w:t>something that individuals may not have personal control over.</w:t>
      </w:r>
    </w:p>
    <w:p w14:paraId="654EA6CE" w14:textId="65F14777" w:rsidR="009E53F1" w:rsidRDefault="009E53F1" w:rsidP="007E043C">
      <w:pPr>
        <w:pStyle w:val="Quote"/>
        <w:spacing w:before="120" w:after="120" w:line="269" w:lineRule="auto"/>
        <w:rPr>
          <w:lang w:val="en-NZ" w:eastAsia="en-GB"/>
        </w:rPr>
      </w:pPr>
      <w:r w:rsidRPr="00785A9D">
        <w:rPr>
          <w:lang w:val="en-NZ" w:eastAsia="en-GB"/>
        </w:rPr>
        <w:t>Flourishing together…. We all flourish at different rates and in different ways. What if it was more about helping each other to flourish? [</w:t>
      </w:r>
      <w:r w:rsidR="00C5080B">
        <w:t xml:space="preserve">Organisation – </w:t>
      </w:r>
      <w:r w:rsidR="009E2778">
        <w:t>did not consent to quotes being attributed</w:t>
      </w:r>
      <w:r w:rsidRPr="00785A9D">
        <w:rPr>
          <w:lang w:val="en-NZ" w:eastAsia="en-GB"/>
        </w:rPr>
        <w:t>]</w:t>
      </w:r>
    </w:p>
    <w:p w14:paraId="15621F54" w14:textId="29162A2F" w:rsidR="009E53F1" w:rsidRDefault="009E53F1" w:rsidP="007E043C">
      <w:pPr>
        <w:pStyle w:val="Quote"/>
        <w:spacing w:before="120" w:after="120" w:line="269" w:lineRule="auto"/>
        <w:rPr>
          <w:lang w:val="en-NZ" w:eastAsia="en-GB"/>
        </w:rPr>
      </w:pPr>
      <w:r w:rsidRPr="003A11DC">
        <w:rPr>
          <w:lang w:val="en-NZ" w:eastAsia="en-GB"/>
        </w:rPr>
        <w:t>Flourishing has some negative connotations as it may imply that one has personal control of whether one is flourishing or languishing.</w:t>
      </w:r>
      <w:r>
        <w:rPr>
          <w:lang w:val="en-NZ" w:eastAsia="en-GB"/>
        </w:rPr>
        <w:t xml:space="preserve"> [</w:t>
      </w:r>
      <w:r w:rsidR="00C5080B">
        <w:t xml:space="preserve">Organisation – </w:t>
      </w:r>
      <w:r w:rsidR="009E2778">
        <w:t>did not consent to quotes being attributed</w:t>
      </w:r>
      <w:r>
        <w:rPr>
          <w:lang w:val="en-NZ" w:eastAsia="en-GB"/>
        </w:rPr>
        <w:t>]</w:t>
      </w:r>
    </w:p>
    <w:p w14:paraId="7058A1F8" w14:textId="77777777" w:rsidR="009E53F1" w:rsidRPr="002D7F9F" w:rsidRDefault="009E53F1" w:rsidP="007E043C">
      <w:pPr>
        <w:spacing w:after="120" w:line="269" w:lineRule="auto"/>
        <w:rPr>
          <w:lang w:val="en-NZ" w:eastAsia="en-GB"/>
        </w:rPr>
      </w:pPr>
      <w:r>
        <w:rPr>
          <w:lang w:val="en-NZ" w:eastAsia="en-GB"/>
        </w:rPr>
        <w:t>Respondents who did not support the vision also provided the rationale that it needs to reflect the experience of people experiencing mental illness.</w:t>
      </w:r>
    </w:p>
    <w:p w14:paraId="134A99BD" w14:textId="77777777" w:rsidR="009E53F1" w:rsidRDefault="009E53F1" w:rsidP="007E043C">
      <w:pPr>
        <w:pStyle w:val="Quote"/>
        <w:spacing w:before="120" w:after="120" w:line="269" w:lineRule="auto"/>
        <w:rPr>
          <w:lang w:val="en-NZ" w:eastAsia="en-GB"/>
        </w:rPr>
      </w:pPr>
      <w:r>
        <w:rPr>
          <w:lang w:val="en-NZ" w:eastAsia="en-GB"/>
        </w:rPr>
        <w:t>I</w:t>
      </w:r>
      <w:r w:rsidRPr="00785A9D">
        <w:rPr>
          <w:lang w:val="en-NZ" w:eastAsia="en-GB"/>
        </w:rPr>
        <w:t>t needs to be more specific to mental health and (non-physical) wellbeing. Currently it reads as a great slogan for the something like the NZ government as a whole.</w:t>
      </w:r>
      <w:r>
        <w:rPr>
          <w:lang w:val="en-NZ" w:eastAsia="en-GB"/>
        </w:rPr>
        <w:t xml:space="preserve"> [Individual respondent]</w:t>
      </w:r>
    </w:p>
    <w:p w14:paraId="2FF897D7" w14:textId="33FBBA2A" w:rsidR="009E53F1" w:rsidRDefault="009E53F1" w:rsidP="007E043C">
      <w:pPr>
        <w:pStyle w:val="Quote"/>
        <w:spacing w:before="120" w:after="120" w:line="269" w:lineRule="auto"/>
        <w:rPr>
          <w:lang w:val="en-NZ" w:eastAsia="en-GB"/>
        </w:rPr>
      </w:pPr>
      <w:r w:rsidRPr="00785A9D">
        <w:rPr>
          <w:lang w:val="en-NZ" w:eastAsia="en-GB"/>
        </w:rPr>
        <w:t xml:space="preserve">Some of us will not be flourishing, and that vision just makes us feel more inadequate or that the Commission is about people who are pretty well </w:t>
      </w:r>
      <w:proofErr w:type="gramStart"/>
      <w:r w:rsidRPr="00785A9D">
        <w:rPr>
          <w:lang w:val="en-NZ" w:eastAsia="en-GB"/>
        </w:rPr>
        <w:t>anyway,</w:t>
      </w:r>
      <w:r>
        <w:rPr>
          <w:lang w:val="en-NZ" w:eastAsia="en-GB"/>
        </w:rPr>
        <w:t xml:space="preserve"> </w:t>
      </w:r>
      <w:r w:rsidRPr="00785A9D">
        <w:rPr>
          <w:lang w:val="en-NZ" w:eastAsia="en-GB"/>
        </w:rPr>
        <w:t>and</w:t>
      </w:r>
      <w:proofErr w:type="gramEnd"/>
      <w:r w:rsidRPr="00785A9D">
        <w:rPr>
          <w:lang w:val="en-NZ" w:eastAsia="en-GB"/>
        </w:rPr>
        <w:t xml:space="preserve"> does not apply to us.</w:t>
      </w:r>
      <w:r w:rsidR="00CA4C12">
        <w:rPr>
          <w:lang w:val="en-NZ" w:eastAsia="en-GB"/>
        </w:rPr>
        <w:t xml:space="preserve"> </w:t>
      </w:r>
      <w:r w:rsidRPr="00785A9D">
        <w:rPr>
          <w:lang w:val="en-NZ" w:eastAsia="en-GB"/>
        </w:rPr>
        <w:t>We need something more focused on people being able to be well</w:t>
      </w:r>
      <w:r w:rsidR="00D97845">
        <w:rPr>
          <w:lang w:val="en-NZ" w:eastAsia="en-GB"/>
        </w:rPr>
        <w:t xml:space="preserve"> – </w:t>
      </w:r>
      <w:r w:rsidRPr="00785A9D">
        <w:rPr>
          <w:lang w:val="en-NZ" w:eastAsia="en-GB"/>
        </w:rPr>
        <w:t>all people being able to be well.</w:t>
      </w:r>
      <w:r>
        <w:rPr>
          <w:lang w:val="en-NZ" w:eastAsia="en-GB"/>
        </w:rPr>
        <w:t xml:space="preserve"> [Individual respondent]</w:t>
      </w:r>
    </w:p>
    <w:p w14:paraId="6EE5E513" w14:textId="77777777" w:rsidR="009E53F1" w:rsidRDefault="009E53F1" w:rsidP="007E043C">
      <w:pPr>
        <w:pStyle w:val="Quote"/>
        <w:spacing w:before="120" w:after="120" w:line="269" w:lineRule="auto"/>
        <w:rPr>
          <w:lang w:val="en-NZ" w:eastAsia="en-GB"/>
        </w:rPr>
      </w:pPr>
      <w:r w:rsidRPr="009A7448">
        <w:rPr>
          <w:lang w:val="en-NZ" w:eastAsia="en-GB"/>
        </w:rPr>
        <w:t>Flourishing is another warm fuzzy word which does not necessarily resonate with people who are struggling with adversity.</w:t>
      </w:r>
      <w:r>
        <w:rPr>
          <w:lang w:val="en-NZ" w:eastAsia="en-GB"/>
        </w:rPr>
        <w:t xml:space="preserve"> [Individual respondent]</w:t>
      </w:r>
    </w:p>
    <w:p w14:paraId="0491FF2B" w14:textId="32306A5E" w:rsidR="009E53F1" w:rsidRDefault="009E53F1" w:rsidP="007E043C">
      <w:pPr>
        <w:pStyle w:val="Quote"/>
        <w:spacing w:before="120" w:after="120" w:line="269" w:lineRule="auto"/>
        <w:rPr>
          <w:lang w:val="en-NZ" w:eastAsia="en-GB"/>
        </w:rPr>
      </w:pPr>
      <w:r>
        <w:rPr>
          <w:lang w:val="en-NZ" w:eastAsia="en-GB"/>
        </w:rPr>
        <w:t>I</w:t>
      </w:r>
      <w:r w:rsidRPr="009A7448">
        <w:rPr>
          <w:lang w:val="en-NZ" w:eastAsia="en-GB"/>
        </w:rPr>
        <w:t>t</w:t>
      </w:r>
      <w:r>
        <w:rPr>
          <w:lang w:val="en-NZ" w:eastAsia="en-GB"/>
        </w:rPr>
        <w:t>’</w:t>
      </w:r>
      <w:r w:rsidRPr="009A7448">
        <w:rPr>
          <w:lang w:val="en-NZ" w:eastAsia="en-GB"/>
        </w:rPr>
        <w:t>s simple and clear but it sounds a</w:t>
      </w:r>
      <w:r>
        <w:rPr>
          <w:lang w:val="en-NZ" w:eastAsia="en-GB"/>
        </w:rPr>
        <w:t xml:space="preserve"> </w:t>
      </w:r>
      <w:r w:rsidRPr="009A7448">
        <w:rPr>
          <w:lang w:val="en-NZ" w:eastAsia="en-GB"/>
        </w:rPr>
        <w:t>bit cheesy for people experiencing mental illness considering we</w:t>
      </w:r>
      <w:r w:rsidR="00C46418">
        <w:rPr>
          <w:lang w:val="en-NZ" w:eastAsia="en-GB"/>
        </w:rPr>
        <w:t>’</w:t>
      </w:r>
      <w:r w:rsidRPr="009A7448">
        <w:rPr>
          <w:lang w:val="en-NZ" w:eastAsia="en-GB"/>
        </w:rPr>
        <w:t>re still under the biomedical model and have not progressed to the next model.</w:t>
      </w:r>
      <w:r>
        <w:rPr>
          <w:lang w:val="en-NZ" w:eastAsia="en-GB"/>
        </w:rPr>
        <w:t xml:space="preserve"> [Individual respondent]</w:t>
      </w:r>
    </w:p>
    <w:p w14:paraId="6FF6D26F" w14:textId="702C1871" w:rsidR="009E53F1" w:rsidRPr="009E53F1" w:rsidRDefault="009E53F1" w:rsidP="007E043C">
      <w:pPr>
        <w:spacing w:after="120" w:line="269" w:lineRule="auto"/>
      </w:pPr>
      <w:r>
        <w:rPr>
          <w:lang w:val="en-NZ" w:eastAsia="en-GB"/>
        </w:rPr>
        <w:lastRenderedPageBreak/>
        <w:t xml:space="preserve">One respondent felt the vision statement needs to be more explicit </w:t>
      </w:r>
      <w:r w:rsidR="00C46418">
        <w:rPr>
          <w:lang w:val="en-NZ" w:eastAsia="en-GB"/>
        </w:rPr>
        <w:t>about</w:t>
      </w:r>
      <w:r>
        <w:rPr>
          <w:lang w:val="en-NZ" w:eastAsia="en-GB"/>
        </w:rPr>
        <w:t xml:space="preserve"> who is flourishing, and suggested </w:t>
      </w:r>
      <w:r w:rsidR="00C46418">
        <w:rPr>
          <w:lang w:val="en-NZ" w:eastAsia="en-GB"/>
        </w:rPr>
        <w:t>it be</w:t>
      </w:r>
      <w:r>
        <w:rPr>
          <w:lang w:val="en-NZ" w:eastAsia="en-GB"/>
        </w:rPr>
        <w:t xml:space="preserve"> change</w:t>
      </w:r>
      <w:r w:rsidR="00C46418">
        <w:rPr>
          <w:lang w:val="en-NZ" w:eastAsia="en-GB"/>
        </w:rPr>
        <w:t>d</w:t>
      </w:r>
      <w:r>
        <w:rPr>
          <w:lang w:val="en-NZ" w:eastAsia="en-GB"/>
        </w:rPr>
        <w:t xml:space="preserve"> </w:t>
      </w:r>
      <w:r w:rsidRPr="009E53F1">
        <w:t xml:space="preserve">to </w:t>
      </w:r>
      <w:r>
        <w:t>‘</w:t>
      </w:r>
      <w:r w:rsidRPr="009E53F1">
        <w:t>Flourishing together as individuals, members of families, and communities of Aotearoa</w:t>
      </w:r>
      <w:r w:rsidR="00223C9F">
        <w:t>.</w:t>
      </w:r>
      <w:r>
        <w:t>’</w:t>
      </w:r>
      <w:r w:rsidR="00C46418">
        <w:rPr>
          <w:rStyle w:val="FootnoteReference"/>
        </w:rPr>
        <w:footnoteReference w:id="68"/>
      </w:r>
      <w:r w:rsidRPr="009E53F1">
        <w:t xml:space="preserve"> </w:t>
      </w:r>
    </w:p>
    <w:p w14:paraId="07656E54" w14:textId="77777777" w:rsidR="00FE3520" w:rsidRDefault="009E53F1" w:rsidP="007E043C">
      <w:pPr>
        <w:spacing w:after="120" w:line="269" w:lineRule="auto"/>
        <w:rPr>
          <w:lang w:val="en-NZ" w:eastAsia="en-GB"/>
        </w:rPr>
      </w:pPr>
      <w:r>
        <w:rPr>
          <w:lang w:val="en-NZ" w:eastAsia="en-GB"/>
        </w:rPr>
        <w:t>Another respondent wanted more detail on the process behind developing this vision statement.</w:t>
      </w:r>
    </w:p>
    <w:p w14:paraId="76F09B0D" w14:textId="68E07E98" w:rsidR="000C6F0B" w:rsidRPr="00136A49" w:rsidRDefault="00B2307C" w:rsidP="007E043C">
      <w:pPr>
        <w:pStyle w:val="Heading2"/>
        <w:spacing w:before="120" w:after="120" w:line="269" w:lineRule="auto"/>
      </w:pPr>
      <w:bookmarkStart w:id="47" w:name="_Toc56063539"/>
      <w:r>
        <w:t>Comments on the p</w:t>
      </w:r>
      <w:r w:rsidR="00D27EFC">
        <w:t>rinciples</w:t>
      </w:r>
      <w:bookmarkEnd w:id="47"/>
    </w:p>
    <w:tbl>
      <w:tblPr>
        <w:tblStyle w:val="TableGrid"/>
        <w:tblW w:w="0" w:type="auto"/>
        <w:tblInd w:w="0" w:type="dxa"/>
        <w:shd w:val="clear" w:color="auto" w:fill="E7E6E6" w:themeFill="background2"/>
        <w:tblLook w:val="04A0" w:firstRow="1" w:lastRow="0" w:firstColumn="1" w:lastColumn="0" w:noHBand="0" w:noVBand="1"/>
      </w:tblPr>
      <w:tblGrid>
        <w:gridCol w:w="9016"/>
      </w:tblGrid>
      <w:tr w:rsidR="00746334" w:rsidRPr="0095404F" w14:paraId="53AF7A8B" w14:textId="77777777" w:rsidTr="003E3476">
        <w:tc>
          <w:tcPr>
            <w:tcW w:w="9016" w:type="dxa"/>
            <w:tcBorders>
              <w:top w:val="nil"/>
              <w:left w:val="nil"/>
              <w:bottom w:val="nil"/>
              <w:right w:val="nil"/>
            </w:tcBorders>
            <w:shd w:val="clear" w:color="auto" w:fill="E7E6E6" w:themeFill="background2"/>
          </w:tcPr>
          <w:p w14:paraId="66001345" w14:textId="6D06F670" w:rsidR="00D27EFC" w:rsidRDefault="00D27EFC" w:rsidP="007E043C">
            <w:pPr>
              <w:pStyle w:val="Questionstyle"/>
              <w:spacing w:line="269" w:lineRule="auto"/>
            </w:pPr>
            <w:r w:rsidRPr="00D27EFC">
              <w:t>The outcomes framework and all the work of the Initial Commission draws on overarching principles. These are</w:t>
            </w:r>
            <w:r w:rsidR="003E3476">
              <w:t>:</w:t>
            </w:r>
          </w:p>
          <w:p w14:paraId="3A9A4E5A" w14:textId="74D6E1D5" w:rsidR="00D27EFC" w:rsidRPr="003E3476" w:rsidRDefault="00D27EFC" w:rsidP="007E043C">
            <w:pPr>
              <w:pStyle w:val="Questionstyle"/>
              <w:numPr>
                <w:ilvl w:val="0"/>
                <w:numId w:val="10"/>
              </w:numPr>
              <w:spacing w:line="269" w:lineRule="auto"/>
            </w:pPr>
            <w:r w:rsidRPr="003E3476">
              <w:t>Te Tiriti o Waitangi paves our way, and the Māori-Crown partnership is our foundation</w:t>
            </w:r>
          </w:p>
          <w:p w14:paraId="7B484B8E" w14:textId="72A2953F" w:rsidR="00D27EFC" w:rsidRPr="003E3476" w:rsidRDefault="00D27EFC" w:rsidP="007E043C">
            <w:pPr>
              <w:pStyle w:val="Questionstyle"/>
              <w:numPr>
                <w:ilvl w:val="0"/>
                <w:numId w:val="10"/>
              </w:numPr>
              <w:spacing w:line="269" w:lineRule="auto"/>
            </w:pPr>
            <w:r w:rsidRPr="003E3476">
              <w:t>Wellbeing for all is our goal</w:t>
            </w:r>
          </w:p>
          <w:p w14:paraId="6FFE2D30" w14:textId="62448F3D" w:rsidR="00D27EFC" w:rsidRPr="003E3476" w:rsidRDefault="00D27EFC" w:rsidP="007E043C">
            <w:pPr>
              <w:pStyle w:val="Questionstyle"/>
              <w:numPr>
                <w:ilvl w:val="0"/>
                <w:numId w:val="10"/>
              </w:numPr>
              <w:spacing w:line="269" w:lineRule="auto"/>
            </w:pPr>
            <w:r w:rsidRPr="003E3476">
              <w:t>We uphold multiple knowledges, including Mātauranga Māori, and share power</w:t>
            </w:r>
          </w:p>
          <w:p w14:paraId="155877B2" w14:textId="7B381303" w:rsidR="00D27EFC" w:rsidRPr="003E3476" w:rsidRDefault="00D27EFC" w:rsidP="007E043C">
            <w:pPr>
              <w:pStyle w:val="Questionstyle"/>
              <w:numPr>
                <w:ilvl w:val="0"/>
                <w:numId w:val="10"/>
              </w:numPr>
              <w:spacing w:line="269" w:lineRule="auto"/>
            </w:pPr>
            <w:r w:rsidRPr="003E3476">
              <w:t>We put people, whānau and communities at the centre of all our work</w:t>
            </w:r>
          </w:p>
          <w:p w14:paraId="2DED4EDC" w14:textId="313E63F6" w:rsidR="00D27EFC" w:rsidRPr="003E3476" w:rsidRDefault="00D27EFC" w:rsidP="007E043C">
            <w:pPr>
              <w:pStyle w:val="Questionstyle"/>
              <w:numPr>
                <w:ilvl w:val="0"/>
                <w:numId w:val="10"/>
              </w:numPr>
              <w:spacing w:line="269" w:lineRule="auto"/>
            </w:pPr>
            <w:r w:rsidRPr="003E3476">
              <w:t>Our priorities are guided by the voices of lived experience, Māori, Pacific peoples and other groups who experience poorer wellbeing outcomes</w:t>
            </w:r>
          </w:p>
          <w:p w14:paraId="3B9AB710" w14:textId="418D903C" w:rsidR="00D27EFC" w:rsidRPr="003E3476" w:rsidRDefault="00D27EFC" w:rsidP="007E043C">
            <w:pPr>
              <w:pStyle w:val="Questionstyle"/>
              <w:numPr>
                <w:ilvl w:val="0"/>
                <w:numId w:val="10"/>
              </w:numPr>
              <w:spacing w:line="269" w:lineRule="auto"/>
            </w:pPr>
            <w:r w:rsidRPr="003E3476">
              <w:t>We take holistic approaches that enhance wellbeing</w:t>
            </w:r>
          </w:p>
          <w:p w14:paraId="433697FA" w14:textId="4E03904E" w:rsidR="00D27EFC" w:rsidRPr="003E3476" w:rsidRDefault="00D27EFC" w:rsidP="007E043C">
            <w:pPr>
              <w:pStyle w:val="Questionstyle"/>
              <w:numPr>
                <w:ilvl w:val="0"/>
                <w:numId w:val="10"/>
              </w:numPr>
              <w:spacing w:line="269" w:lineRule="auto"/>
            </w:pPr>
            <w:r w:rsidRPr="003E3476">
              <w:t xml:space="preserve">We carry the spirit and voices of He Ara Oranga, Oranga </w:t>
            </w:r>
            <w:proofErr w:type="spellStart"/>
            <w:r w:rsidRPr="003E3476">
              <w:t>Tāngata</w:t>
            </w:r>
            <w:proofErr w:type="spellEnd"/>
            <w:r w:rsidRPr="003E3476">
              <w:t>, Oranga Whānau and the Mental Health Inquiry Pacific Repor</w:t>
            </w:r>
            <w:r w:rsidR="00A959BC">
              <w:t>t</w:t>
            </w:r>
          </w:p>
          <w:p w14:paraId="2F1DD5A8" w14:textId="1C350139" w:rsidR="00D27EFC" w:rsidRPr="003E3476" w:rsidRDefault="00D27EFC" w:rsidP="007E043C">
            <w:pPr>
              <w:pStyle w:val="Questionstyle"/>
              <w:numPr>
                <w:ilvl w:val="0"/>
                <w:numId w:val="10"/>
              </w:numPr>
              <w:spacing w:line="269" w:lineRule="auto"/>
            </w:pPr>
            <w:r w:rsidRPr="003E3476">
              <w:t>Our work makes a difference</w:t>
            </w:r>
          </w:p>
          <w:p w14:paraId="0A3F8254" w14:textId="387CB99B" w:rsidR="00D27EFC" w:rsidRPr="003E3476" w:rsidRDefault="00D27EFC" w:rsidP="007E043C">
            <w:pPr>
              <w:pStyle w:val="Questionstyle"/>
              <w:numPr>
                <w:ilvl w:val="0"/>
                <w:numId w:val="10"/>
              </w:numPr>
              <w:spacing w:line="269" w:lineRule="auto"/>
            </w:pPr>
            <w:r w:rsidRPr="003E3476">
              <w:t>Our work is accessible to all</w:t>
            </w:r>
          </w:p>
          <w:p w14:paraId="1A81EE1E" w14:textId="269A5870" w:rsidR="00D474EC" w:rsidRPr="0095404F" w:rsidRDefault="00D27EFC" w:rsidP="007E043C">
            <w:pPr>
              <w:pStyle w:val="Questionstyle"/>
              <w:spacing w:line="269" w:lineRule="auto"/>
            </w:pPr>
            <w:r w:rsidRPr="00D27EFC">
              <w:t>How well do you think these principles are reflected in the draft outcomes framework?</w:t>
            </w:r>
          </w:p>
          <w:p w14:paraId="4D0F013E" w14:textId="77777777" w:rsidR="00746334" w:rsidRPr="0095404F" w:rsidRDefault="00746334" w:rsidP="007E043C">
            <w:pPr>
              <w:spacing w:after="120" w:line="269" w:lineRule="auto"/>
              <w:rPr>
                <w:b/>
                <w:lang w:val="en-NZ"/>
              </w:rPr>
            </w:pPr>
          </w:p>
        </w:tc>
      </w:tr>
    </w:tbl>
    <w:p w14:paraId="51AD458B" w14:textId="345DCF94" w:rsidR="009E53F1" w:rsidRDefault="009E53F1" w:rsidP="007E043C">
      <w:pPr>
        <w:spacing w:after="120" w:line="269" w:lineRule="auto"/>
      </w:pPr>
      <w:r>
        <w:t>Most respondents felt the principles were ‘mostly’ or ‘completely’ reflected in the draft outcomes framework (91%</w:t>
      </w:r>
      <w:r w:rsidR="00D97845">
        <w:t xml:space="preserve"> – </w:t>
      </w:r>
      <w:r>
        <w:t>7</w:t>
      </w:r>
      <w:r w:rsidR="00FA14E8">
        <w:t>7</w:t>
      </w:r>
      <w:r>
        <w:t xml:space="preserve"> of the 8</w:t>
      </w:r>
      <w:r w:rsidR="00FA14E8">
        <w:t>5</w:t>
      </w:r>
      <w:r>
        <w:t xml:space="preserve"> who answered this question).</w:t>
      </w:r>
    </w:p>
    <w:p w14:paraId="17AABF0D" w14:textId="07077934" w:rsidR="001E07EA" w:rsidRPr="001E07EA" w:rsidRDefault="001E07EA" w:rsidP="00932A16">
      <w:pPr>
        <w:pStyle w:val="Caption"/>
        <w:tabs>
          <w:tab w:val="left" w:pos="851"/>
        </w:tabs>
        <w:spacing w:before="120" w:after="120" w:line="269" w:lineRule="auto"/>
        <w:rPr>
          <w:lang w:val="en-NZ"/>
        </w:rPr>
      </w:pPr>
      <w:r>
        <w:t xml:space="preserve">Figure </w:t>
      </w:r>
      <w:r>
        <w:fldChar w:fldCharType="begin"/>
      </w:r>
      <w:r>
        <w:instrText xml:space="preserve"> SEQ Figure \* ARABIC </w:instrText>
      </w:r>
      <w:r>
        <w:fldChar w:fldCharType="separate"/>
      </w:r>
      <w:r w:rsidR="002512BA">
        <w:rPr>
          <w:noProof/>
        </w:rPr>
        <w:t>5</w:t>
      </w:r>
      <w:r>
        <w:fldChar w:fldCharType="end"/>
      </w:r>
      <w:r>
        <w:tab/>
      </w:r>
      <w:r w:rsidRPr="001E07EA">
        <w:rPr>
          <w:lang w:val="en-NZ"/>
        </w:rPr>
        <w:t>How well the Initial Commission's principles are reflected in the draft outcomes framework</w:t>
      </w:r>
    </w:p>
    <w:p w14:paraId="1A6908BC" w14:textId="315E4DEC" w:rsidR="00B25F2D" w:rsidRDefault="00C46418" w:rsidP="007E043C">
      <w:pPr>
        <w:spacing w:after="120" w:line="269" w:lineRule="auto"/>
      </w:pPr>
      <w:r w:rsidRPr="00D65A4B">
        <w:rPr>
          <w:rFonts w:cs="Arial"/>
          <w:noProof/>
        </w:rPr>
        <w:drawing>
          <wp:inline distT="0" distB="0" distL="0" distR="0" wp14:anchorId="09E03200" wp14:editId="7CB86D02">
            <wp:extent cx="3329940" cy="1790700"/>
            <wp:effectExtent l="0" t="0" r="3810" b="0"/>
            <wp:docPr id="4" name="Chart 4">
              <a:extLst xmlns:a="http://schemas.openxmlformats.org/drawingml/2006/main">
                <a:ext uri="{FF2B5EF4-FFF2-40B4-BE49-F238E27FC236}">
                  <a16:creationId xmlns:a16="http://schemas.microsoft.com/office/drawing/2014/main" id="{DBEF050D-538C-4FE1-BA2D-C4904BA5F0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A7B70D" w14:textId="609F5DCC" w:rsidR="009E53F1" w:rsidRDefault="00B25F2D" w:rsidP="007E043C">
      <w:pPr>
        <w:spacing w:after="120" w:line="269" w:lineRule="auto"/>
        <w:rPr>
          <w:lang w:val="en-NZ"/>
        </w:rPr>
      </w:pPr>
      <w:r>
        <w:rPr>
          <w:lang w:val="en-NZ"/>
        </w:rPr>
        <w:t>Unless they answered ‘completely’ r</w:t>
      </w:r>
      <w:r w:rsidR="009E53F1">
        <w:rPr>
          <w:lang w:val="en-NZ"/>
        </w:rPr>
        <w:t xml:space="preserve">espondents </w:t>
      </w:r>
      <w:r>
        <w:rPr>
          <w:lang w:val="en-NZ"/>
        </w:rPr>
        <w:t xml:space="preserve">were asked </w:t>
      </w:r>
      <w:r w:rsidR="009E53F1">
        <w:rPr>
          <w:lang w:val="en-NZ"/>
        </w:rPr>
        <w:t>to explain how the principles c</w:t>
      </w:r>
      <w:r>
        <w:rPr>
          <w:lang w:val="en-NZ"/>
        </w:rPr>
        <w:t>ould</w:t>
      </w:r>
      <w:r w:rsidR="009E53F1">
        <w:rPr>
          <w:lang w:val="en-NZ"/>
        </w:rPr>
        <w:t xml:space="preserve"> be better reflected in the outcomes framework. Responses </w:t>
      </w:r>
      <w:r w:rsidR="00C46418">
        <w:rPr>
          <w:lang w:val="en-NZ"/>
        </w:rPr>
        <w:t>to</w:t>
      </w:r>
      <w:r w:rsidR="009E53F1">
        <w:rPr>
          <w:lang w:val="en-NZ"/>
        </w:rPr>
        <w:t xml:space="preserve"> this question showed </w:t>
      </w:r>
      <w:r w:rsidR="00C46418">
        <w:rPr>
          <w:lang w:val="en-NZ"/>
        </w:rPr>
        <w:t>two interpretations of the question</w:t>
      </w:r>
      <w:r w:rsidR="009E53F1">
        <w:rPr>
          <w:lang w:val="en-NZ"/>
        </w:rPr>
        <w:t>:</w:t>
      </w:r>
    </w:p>
    <w:p w14:paraId="5A265306" w14:textId="6CB34144" w:rsidR="009E53F1" w:rsidRPr="00DA0F62" w:rsidRDefault="009E53F1" w:rsidP="007E043C">
      <w:pPr>
        <w:pStyle w:val="ListParagraph"/>
        <w:numPr>
          <w:ilvl w:val="0"/>
          <w:numId w:val="19"/>
        </w:numPr>
        <w:suppressAutoHyphens w:val="0"/>
        <w:autoSpaceDE/>
        <w:autoSpaceDN/>
        <w:adjustRightInd/>
        <w:spacing w:line="269" w:lineRule="auto"/>
        <w:textAlignment w:val="auto"/>
        <w:rPr>
          <w:lang w:val="en-NZ"/>
        </w:rPr>
      </w:pPr>
      <w:r w:rsidRPr="00DA0F62">
        <w:rPr>
          <w:lang w:val="en-NZ"/>
        </w:rPr>
        <w:t xml:space="preserve">Asking about whether the principles are reflected in the draft outcomes framework; </w:t>
      </w:r>
      <w:r w:rsidRPr="00DA0F62">
        <w:rPr>
          <w:i/>
          <w:lang w:val="en-NZ"/>
        </w:rPr>
        <w:t>or</w:t>
      </w:r>
    </w:p>
    <w:p w14:paraId="0B4BFD33" w14:textId="77777777" w:rsidR="009E53F1" w:rsidRPr="00DA0F62" w:rsidRDefault="009E53F1" w:rsidP="007E043C">
      <w:pPr>
        <w:pStyle w:val="ListParagraph"/>
        <w:numPr>
          <w:ilvl w:val="0"/>
          <w:numId w:val="19"/>
        </w:numPr>
        <w:suppressAutoHyphens w:val="0"/>
        <w:autoSpaceDE/>
        <w:autoSpaceDN/>
        <w:adjustRightInd/>
        <w:spacing w:line="269" w:lineRule="auto"/>
        <w:textAlignment w:val="auto"/>
        <w:rPr>
          <w:lang w:val="en-NZ"/>
        </w:rPr>
      </w:pPr>
      <w:r w:rsidRPr="00DA0F62">
        <w:rPr>
          <w:lang w:val="en-NZ"/>
        </w:rPr>
        <w:lastRenderedPageBreak/>
        <w:t>Asking them to comment on the appropriateness of the listed principles</w:t>
      </w:r>
      <w:r>
        <w:rPr>
          <w:lang w:val="en-NZ"/>
        </w:rPr>
        <w:t>.</w:t>
      </w:r>
    </w:p>
    <w:p w14:paraId="3D513688" w14:textId="77777777" w:rsidR="00FE3520" w:rsidRDefault="009E53F1" w:rsidP="007E043C">
      <w:pPr>
        <w:spacing w:after="120" w:line="269" w:lineRule="auto"/>
      </w:pPr>
      <w:r>
        <w:t>We acknowledge the lack of clarity on this question. Whilst the intent was asking about the former rather than the lat</w:t>
      </w:r>
      <w:r w:rsidR="00C46418">
        <w:t>t</w:t>
      </w:r>
      <w:r>
        <w:t xml:space="preserve">er, </w:t>
      </w:r>
      <w:r w:rsidR="00C46418">
        <w:t xml:space="preserve">we have also </w:t>
      </w:r>
      <w:r w:rsidR="00671EDD">
        <w:t xml:space="preserve">analysed </w:t>
      </w:r>
      <w:r>
        <w:t>the comments received about the broader appropriateness</w:t>
      </w:r>
      <w:r w:rsidR="00671EDD">
        <w:t xml:space="preserve"> of the principles</w:t>
      </w:r>
      <w:r>
        <w:t>.</w:t>
      </w:r>
    </w:p>
    <w:p w14:paraId="508062CA" w14:textId="4BA2BD9E" w:rsidR="009E53F1" w:rsidRDefault="009E53F1" w:rsidP="007E043C">
      <w:pPr>
        <w:pStyle w:val="Heading3"/>
        <w:spacing w:before="120" w:after="120" w:line="269" w:lineRule="auto"/>
      </w:pPr>
      <w:r>
        <w:t>Comments on how the principles could be better reflected in the outcomes framework</w:t>
      </w:r>
    </w:p>
    <w:p w14:paraId="685AD1DF" w14:textId="77777777" w:rsidR="009E53F1" w:rsidRDefault="009E53F1" w:rsidP="007E043C">
      <w:pPr>
        <w:pStyle w:val="Heading4"/>
        <w:spacing w:before="120" w:after="120" w:line="269" w:lineRule="auto"/>
      </w:pPr>
      <w:r w:rsidRPr="003E3476">
        <w:t>Te Tiriti o Waitangi paves our way, and the Māori-Crown partnership is our foundation</w:t>
      </w:r>
    </w:p>
    <w:p w14:paraId="7F3246D4" w14:textId="27AFEA75" w:rsidR="009E53F1" w:rsidRPr="00180176" w:rsidRDefault="009E53F1" w:rsidP="007E043C">
      <w:pPr>
        <w:pStyle w:val="Questionstyle"/>
        <w:spacing w:line="269" w:lineRule="auto"/>
        <w:ind w:left="0"/>
        <w:rPr>
          <w:i w:val="0"/>
        </w:rPr>
      </w:pPr>
      <w:r>
        <w:rPr>
          <w:i w:val="0"/>
        </w:rPr>
        <w:t xml:space="preserve">A few respondents provided suggestions </w:t>
      </w:r>
      <w:r w:rsidR="00CC6BAB">
        <w:rPr>
          <w:i w:val="0"/>
        </w:rPr>
        <w:t xml:space="preserve">about </w:t>
      </w:r>
      <w:r>
        <w:rPr>
          <w:i w:val="0"/>
        </w:rPr>
        <w:t>how this principle could be better reflected in the draft outcomes framework. This included referencing system transformation (such as strengthening the role of kaupapa Māori and Whānau Ora approaches), renaming the dual-layers in line with Te Tiriti o Waitangi, and changing the domain title to reflect tino rangatiratanga.</w:t>
      </w:r>
    </w:p>
    <w:p w14:paraId="46D425A8" w14:textId="77777777" w:rsidR="009E53F1" w:rsidRDefault="009E53F1" w:rsidP="007E043C">
      <w:pPr>
        <w:pStyle w:val="Quote"/>
        <w:spacing w:before="120" w:after="120" w:line="269" w:lineRule="auto"/>
      </w:pPr>
      <w:r>
        <w:t>The</w:t>
      </w:r>
      <w:r w:rsidRPr="004F75BB">
        <w:t xml:space="preserve"> draft outcomes framework does not necessarily give a sense of the ‘difference’ needed for the </w:t>
      </w:r>
      <w:proofErr w:type="spellStart"/>
      <w:r w:rsidRPr="004F75BB">
        <w:t>kāwanatanga</w:t>
      </w:r>
      <w:proofErr w:type="spellEnd"/>
      <w:r w:rsidRPr="004F75BB">
        <w:t xml:space="preserve"> system to meet its shortcomings where affirmative action is not taken. I appreciate that </w:t>
      </w:r>
      <w:proofErr w:type="gramStart"/>
      <w:r w:rsidRPr="004F75BB">
        <w:t>actually the</w:t>
      </w:r>
      <w:proofErr w:type="gramEnd"/>
      <w:r w:rsidRPr="004F75BB">
        <w:t xml:space="preserve"> outcomes framework does a good a job at removing the system from the picture so that people and whānau are rather its centre of focus. It may, however, be useful to reference system transformation, which you might do in terms of te Tiriti o Waitangi. </w:t>
      </w:r>
      <w:r>
        <w:t>[</w:t>
      </w:r>
      <w:r w:rsidRPr="00200B7D">
        <w:t>Te Pūtahitanga o Te Waipounamu</w:t>
      </w:r>
      <w:r>
        <w:t>]</w:t>
      </w:r>
    </w:p>
    <w:p w14:paraId="53B57493" w14:textId="77777777" w:rsidR="009E53F1" w:rsidRDefault="009E53F1" w:rsidP="007E043C">
      <w:pPr>
        <w:pStyle w:val="Quote"/>
        <w:spacing w:before="120" w:after="120" w:line="269" w:lineRule="auto"/>
      </w:pPr>
      <w:r>
        <w:t>A</w:t>
      </w:r>
      <w:r w:rsidRPr="004F75BB">
        <w:t xml:space="preserve">nother way to acknowledge that Mana Tiriti helps frame the outcomes framework might be to name the section ‘For everyone’ as ‘Tangata Tiriti’ instead, just as the ‘For Māori’ section is named for ‘Tangata Whenua’. </w:t>
      </w:r>
      <w:r>
        <w:t>[</w:t>
      </w:r>
      <w:r w:rsidRPr="00200B7D">
        <w:t>Te Pūtahitanga o Te Waipounamu</w:t>
      </w:r>
      <w:r>
        <w:t>]</w:t>
      </w:r>
    </w:p>
    <w:p w14:paraId="7345FD5F" w14:textId="5AAAB0AE" w:rsidR="009E53F1" w:rsidRDefault="009E53F1" w:rsidP="007E043C">
      <w:pPr>
        <w:pStyle w:val="Quote"/>
        <w:spacing w:before="120" w:after="120" w:line="269" w:lineRule="auto"/>
      </w:pPr>
      <w:r w:rsidRPr="00614F6D">
        <w:t>Tino rangatiratanga for Māori should be reflected as also connected to the Treaty of Waitangi, as the Articles of the Treaty explicitly contains such recognition.</w:t>
      </w:r>
      <w:r>
        <w:t xml:space="preserve"> [Organisation </w:t>
      </w:r>
      <w:r w:rsidR="00703827">
        <w:t xml:space="preserve">– </w:t>
      </w:r>
      <w:r w:rsidR="009E2778">
        <w:t>did not consent to quotes being attributed</w:t>
      </w:r>
      <w:r>
        <w:t>]</w:t>
      </w:r>
    </w:p>
    <w:p w14:paraId="6E0E021B" w14:textId="77777777" w:rsidR="009E53F1" w:rsidRDefault="009E53F1" w:rsidP="007E043C">
      <w:pPr>
        <w:pStyle w:val="Heading4"/>
        <w:spacing w:before="120" w:after="120" w:line="269" w:lineRule="auto"/>
      </w:pPr>
      <w:r>
        <w:t>Wellbeing for all is our goal</w:t>
      </w:r>
    </w:p>
    <w:p w14:paraId="2A73C065" w14:textId="77777777" w:rsidR="009E53F1" w:rsidRDefault="009E53F1" w:rsidP="007E043C">
      <w:pPr>
        <w:spacing w:after="120" w:line="269" w:lineRule="auto"/>
      </w:pPr>
      <w:r>
        <w:t>Against the principle ‘wellbeing for all is our goal’, some respondents suggested that more priority groups need to be explicitly mentioned.</w:t>
      </w:r>
    </w:p>
    <w:p w14:paraId="35A89C76" w14:textId="77777777" w:rsidR="009E53F1" w:rsidRDefault="009E53F1" w:rsidP="007E043C">
      <w:pPr>
        <w:pStyle w:val="Quote"/>
        <w:spacing w:before="120" w:after="120" w:line="269" w:lineRule="auto"/>
      </w:pPr>
      <w:r w:rsidRPr="005378B9">
        <w:t>Wellbeing for all is our goal – include more priority groups, including Asian peoples.</w:t>
      </w:r>
      <w:r>
        <w:t xml:space="preserve"> [Asian Family Services]</w:t>
      </w:r>
    </w:p>
    <w:p w14:paraId="2087366F" w14:textId="77777777" w:rsidR="009E53F1" w:rsidRDefault="009E53F1" w:rsidP="007E043C">
      <w:pPr>
        <w:pStyle w:val="Quote"/>
        <w:spacing w:before="120" w:after="120" w:line="269" w:lineRule="auto"/>
      </w:pPr>
      <w:r w:rsidRPr="006E32C0">
        <w:t>Explicitly mention rainbow and disabled peoples as priority groups rather than being included in ‘other groups’. This makes the framework more accountable to these communities which are of similar population size to Māori and Pacific peoples.</w:t>
      </w:r>
      <w:r>
        <w:t xml:space="preserve"> [</w:t>
      </w:r>
      <w:proofErr w:type="spellStart"/>
      <w:r>
        <w:t>InsideOUT</w:t>
      </w:r>
      <w:proofErr w:type="spellEnd"/>
      <w:r>
        <w:t>]</w:t>
      </w:r>
    </w:p>
    <w:p w14:paraId="7E3FF273" w14:textId="77777777" w:rsidR="009E53F1" w:rsidRPr="00184597" w:rsidRDefault="009E53F1" w:rsidP="007E043C">
      <w:pPr>
        <w:pStyle w:val="Quote"/>
        <w:spacing w:before="120" w:after="120" w:line="269" w:lineRule="auto"/>
      </w:pPr>
      <w:r>
        <w:t>T</w:t>
      </w:r>
      <w:r w:rsidRPr="00184597">
        <w:t>amariki should be valued as a priority group and that a focus on the mental health and wellbeing of infants is made explicit</w:t>
      </w:r>
      <w:r>
        <w:t xml:space="preserve"> [Talking Matters]</w:t>
      </w:r>
    </w:p>
    <w:p w14:paraId="76451378" w14:textId="40D511D4" w:rsidR="009E53F1" w:rsidRDefault="007A7E5D" w:rsidP="007E043C">
      <w:pPr>
        <w:spacing w:after="120" w:line="269" w:lineRule="auto"/>
      </w:pPr>
      <w:r>
        <w:t>Respondents also considered that t</w:t>
      </w:r>
      <w:r w:rsidR="000C37B9">
        <w:t>he framework should more</w:t>
      </w:r>
      <w:r w:rsidR="009E53F1">
        <w:t xml:space="preserve"> strongly reflect </w:t>
      </w:r>
      <w:r w:rsidR="000C37B9">
        <w:t xml:space="preserve">the needs of </w:t>
      </w:r>
      <w:r w:rsidR="009E53F1">
        <w:t>people with serious mental illness and addiction issues.</w:t>
      </w:r>
    </w:p>
    <w:p w14:paraId="5308DFCC" w14:textId="79FCCBD9" w:rsidR="009E53F1" w:rsidRPr="00BD5343" w:rsidRDefault="009E53F1" w:rsidP="007E043C">
      <w:pPr>
        <w:pStyle w:val="Quote"/>
        <w:spacing w:before="120" w:after="120" w:line="269" w:lineRule="auto"/>
      </w:pPr>
      <w:r w:rsidRPr="005655B9">
        <w:t>He Ara Oranga does not strongly articulate the needs and aspirations of people living with serious mental health and addiction issues therefore we suggest these consumers are given greater consideration within the document</w:t>
      </w:r>
      <w:r>
        <w:t xml:space="preserve"> [</w:t>
      </w:r>
      <w:r w:rsidRPr="00816389">
        <w:t>The Royal Australian and New Zealand College of Psychiatrists</w:t>
      </w:r>
      <w:r>
        <w:t>]</w:t>
      </w:r>
    </w:p>
    <w:p w14:paraId="0E758F4B" w14:textId="77777777" w:rsidR="009E53F1" w:rsidRPr="00A82C0A" w:rsidRDefault="009E53F1" w:rsidP="007E043C">
      <w:pPr>
        <w:pStyle w:val="Heading4"/>
        <w:spacing w:before="120" w:after="120" w:line="269" w:lineRule="auto"/>
        <w:rPr>
          <w:rFonts w:eastAsia="Times New Roman"/>
        </w:rPr>
      </w:pPr>
      <w:r w:rsidRPr="00A82C0A">
        <w:rPr>
          <w:rFonts w:eastAsia="Times New Roman"/>
        </w:rPr>
        <w:lastRenderedPageBreak/>
        <w:t>We take holistic approaches that enhance wellbeing</w:t>
      </w:r>
    </w:p>
    <w:p w14:paraId="4F06EB5D" w14:textId="1DFC5571" w:rsidR="009E53F1" w:rsidRDefault="009E53F1" w:rsidP="007E043C">
      <w:pPr>
        <w:spacing w:after="120" w:line="269" w:lineRule="auto"/>
      </w:pPr>
      <w:r>
        <w:t xml:space="preserve">Whilst there was general support for the emphasis on social determinants that impact on wellbeing, one respondent felt this principle could be better reflected with more reference to addiction and </w:t>
      </w:r>
      <w:r w:rsidR="0004173E">
        <w:t xml:space="preserve">a </w:t>
      </w:r>
      <w:r>
        <w:t>whole-of-system approach</w:t>
      </w:r>
      <w:r w:rsidR="007A7E5D">
        <w:t>.</w:t>
      </w:r>
    </w:p>
    <w:p w14:paraId="578034B0" w14:textId="1942CF5E" w:rsidR="009E53F1" w:rsidRDefault="009E53F1" w:rsidP="007E043C">
      <w:pPr>
        <w:pStyle w:val="Quote"/>
        <w:spacing w:before="120" w:after="120" w:line="269" w:lineRule="auto"/>
      </w:pPr>
      <w:r>
        <w:t xml:space="preserve">Addiction is only mentioned once in the document. Addiction, namely the misuse of alcohol, has a huge influence on the wellbeing of the individual and wellbeing of his/her contacts. Alcohol misuse contributes to both physical and mental injuries across the spectrum of New Zealand society. To improve our wellbeing the </w:t>
      </w:r>
      <w:proofErr w:type="spellStart"/>
      <w:r>
        <w:t>normalisation</w:t>
      </w:r>
      <w:proofErr w:type="spellEnd"/>
      <w:r>
        <w:t xml:space="preserve"> of alcohol in our society needs to be challenged. Other drugs such as cannabis, methamphetamine and tobacco should also be included in this document as these too have a detrimental impact on people’s wellbeing. [</w:t>
      </w:r>
      <w:r w:rsidRPr="00816389">
        <w:t>The Royal Australian and New Zealand College of Psychiatrists</w:t>
      </w:r>
      <w:r>
        <w:t>]</w:t>
      </w:r>
    </w:p>
    <w:p w14:paraId="6C721EF9" w14:textId="0781AC6D" w:rsidR="009E53F1" w:rsidRDefault="009E53F1" w:rsidP="007E043C">
      <w:pPr>
        <w:pStyle w:val="Quote"/>
        <w:spacing w:before="120" w:after="120" w:line="269" w:lineRule="auto"/>
      </w:pPr>
      <w:r>
        <w:t>A holistic approach involving social services, education, ACC and various health providers will be required to improve the wellbeing of [very unwell] consumers who have enduring mental health problems. It is unclear how these consumer</w:t>
      </w:r>
      <w:r>
        <w:rPr>
          <w:szCs w:val="20"/>
        </w:rPr>
        <w:t xml:space="preserve">s' </w:t>
      </w:r>
      <w:r>
        <w:t>wellbeing is addressed within the Framework. [</w:t>
      </w:r>
      <w:r w:rsidRPr="00816389">
        <w:t>The Royal Australian and New Zealand College of Psychiatrists</w:t>
      </w:r>
      <w:r>
        <w:t>]</w:t>
      </w:r>
    </w:p>
    <w:p w14:paraId="3A497785" w14:textId="77777777" w:rsidR="009E53F1" w:rsidRPr="003E3476" w:rsidRDefault="009E53F1" w:rsidP="007E043C">
      <w:pPr>
        <w:pStyle w:val="Heading4"/>
        <w:spacing w:before="120" w:after="120" w:line="269" w:lineRule="auto"/>
      </w:pPr>
      <w:r w:rsidRPr="003E3476">
        <w:t>We uphold multiple knowledges, including Mātauranga Māori, and share power</w:t>
      </w:r>
    </w:p>
    <w:p w14:paraId="2F7B0B8C" w14:textId="77777777" w:rsidR="009E53F1" w:rsidRPr="00873201" w:rsidRDefault="009E53F1" w:rsidP="007E043C">
      <w:pPr>
        <w:spacing w:after="120" w:line="269" w:lineRule="auto"/>
        <w:rPr>
          <w:rFonts w:eastAsia="Times New Roman" w:cs="Times New Roman"/>
          <w:szCs w:val="20"/>
          <w:lang w:val="en-NZ" w:eastAsia="en-NZ"/>
        </w:rPr>
      </w:pPr>
      <w:r>
        <w:rPr>
          <w:rFonts w:eastAsia="Times New Roman" w:cs="Times New Roman"/>
          <w:szCs w:val="20"/>
          <w:lang w:val="en-NZ" w:eastAsia="en-NZ"/>
        </w:rPr>
        <w:t>One respondent noted that bringing to light Mātauranga Māori includes the conceptualisation of wellbeing being dependent and explicitly linked with the natural environment.</w:t>
      </w:r>
    </w:p>
    <w:p w14:paraId="1E76D8B9" w14:textId="388CF868" w:rsidR="009E53F1" w:rsidRDefault="009E53F1" w:rsidP="007E043C">
      <w:pPr>
        <w:pStyle w:val="Quote"/>
        <w:spacing w:before="120" w:after="120" w:line="269" w:lineRule="auto"/>
        <w:rPr>
          <w:lang w:val="en-NZ" w:eastAsia="en-NZ"/>
        </w:rPr>
      </w:pPr>
      <w:r w:rsidRPr="00390459">
        <w:rPr>
          <w:lang w:val="en-NZ" w:eastAsia="en-NZ"/>
        </w:rPr>
        <w:t xml:space="preserve">Mātauranga Māori teaches us that </w:t>
      </w:r>
      <w:proofErr w:type="spellStart"/>
      <w:r w:rsidRPr="00390459">
        <w:rPr>
          <w:lang w:val="en-NZ" w:eastAsia="en-NZ"/>
        </w:rPr>
        <w:t>atua</w:t>
      </w:r>
      <w:proofErr w:type="spellEnd"/>
      <w:r w:rsidRPr="00390459">
        <w:rPr>
          <w:lang w:val="en-NZ" w:eastAsia="en-NZ"/>
        </w:rPr>
        <w:t xml:space="preserve"> Māori (</w:t>
      </w:r>
      <w:proofErr w:type="spellStart"/>
      <w:r w:rsidR="005C5A8F">
        <w:rPr>
          <w:lang w:val="en-NZ" w:eastAsia="en-NZ"/>
        </w:rPr>
        <w:t>eg</w:t>
      </w:r>
      <w:proofErr w:type="spellEnd"/>
      <w:r w:rsidR="005C5A8F">
        <w:rPr>
          <w:lang w:val="en-NZ" w:eastAsia="en-NZ"/>
        </w:rPr>
        <w:t xml:space="preserve">, </w:t>
      </w:r>
      <w:proofErr w:type="spellStart"/>
      <w:r w:rsidRPr="00390459">
        <w:rPr>
          <w:lang w:val="en-NZ" w:eastAsia="en-NZ"/>
        </w:rPr>
        <w:t>Ranginui</w:t>
      </w:r>
      <w:proofErr w:type="spellEnd"/>
      <w:r w:rsidRPr="00390459">
        <w:rPr>
          <w:lang w:val="en-NZ" w:eastAsia="en-NZ"/>
        </w:rPr>
        <w:t xml:space="preserve">, </w:t>
      </w:r>
      <w:proofErr w:type="spellStart"/>
      <w:r w:rsidRPr="00390459">
        <w:rPr>
          <w:lang w:val="en-NZ" w:eastAsia="en-NZ"/>
        </w:rPr>
        <w:t>Papatuanuku</w:t>
      </w:r>
      <w:proofErr w:type="spellEnd"/>
      <w:r w:rsidRPr="00390459">
        <w:rPr>
          <w:lang w:val="en-NZ" w:eastAsia="en-NZ"/>
        </w:rPr>
        <w:t xml:space="preserve">, </w:t>
      </w:r>
      <w:proofErr w:type="spellStart"/>
      <w:r w:rsidRPr="00390459">
        <w:rPr>
          <w:lang w:val="en-NZ" w:eastAsia="en-NZ"/>
        </w:rPr>
        <w:t>Tāne</w:t>
      </w:r>
      <w:proofErr w:type="spellEnd"/>
      <w:r w:rsidRPr="00390459">
        <w:rPr>
          <w:lang w:val="en-NZ" w:eastAsia="en-NZ"/>
        </w:rPr>
        <w:t xml:space="preserve">, </w:t>
      </w:r>
      <w:proofErr w:type="spellStart"/>
      <w:r w:rsidRPr="00390459">
        <w:rPr>
          <w:lang w:val="en-NZ" w:eastAsia="en-NZ"/>
        </w:rPr>
        <w:t>Tāwhirimātea</w:t>
      </w:r>
      <w:proofErr w:type="spellEnd"/>
      <w:r w:rsidRPr="00390459">
        <w:rPr>
          <w:lang w:val="en-NZ" w:eastAsia="en-NZ"/>
        </w:rPr>
        <w:t>) who are also deities and guardians of the elements of the natural environment</w:t>
      </w:r>
      <w:r w:rsidR="00D97845">
        <w:rPr>
          <w:lang w:val="en-NZ" w:eastAsia="en-NZ"/>
        </w:rPr>
        <w:t xml:space="preserve"> – </w:t>
      </w:r>
      <w:r w:rsidRPr="00390459">
        <w:rPr>
          <w:lang w:val="en-NZ" w:eastAsia="en-NZ"/>
        </w:rPr>
        <w:t>are our ancestors. Explicitly, Māori are the direct descendants of atua Māori</w:t>
      </w:r>
      <w:r w:rsidR="00D97845">
        <w:rPr>
          <w:lang w:val="en-NZ" w:eastAsia="en-NZ"/>
        </w:rPr>
        <w:t xml:space="preserve"> – </w:t>
      </w:r>
      <w:r w:rsidRPr="00390459">
        <w:rPr>
          <w:lang w:val="en-NZ" w:eastAsia="en-NZ"/>
        </w:rPr>
        <w:t xml:space="preserve">the natural environment. </w:t>
      </w:r>
      <w:r>
        <w:rPr>
          <w:lang w:val="en-NZ" w:eastAsia="en-NZ"/>
        </w:rPr>
        <w:t>…</w:t>
      </w:r>
      <w:r w:rsidR="002236EF">
        <w:rPr>
          <w:lang w:val="en-NZ" w:eastAsia="en-NZ"/>
        </w:rPr>
        <w:t xml:space="preserve"> </w:t>
      </w:r>
      <w:r w:rsidRPr="00390459">
        <w:rPr>
          <w:lang w:val="en-NZ" w:eastAsia="en-NZ"/>
        </w:rPr>
        <w:t>What this means is that we understand that our wellbeing as humans, and as Māori is dependent on and explicitly linked to our interaction with and the wellbeing of the natural environment</w:t>
      </w:r>
      <w:r>
        <w:rPr>
          <w:lang w:val="en-NZ" w:eastAsia="en-NZ"/>
        </w:rPr>
        <w:t>. [Individual respondent]</w:t>
      </w:r>
    </w:p>
    <w:p w14:paraId="4966A217" w14:textId="77777777" w:rsidR="009E53F1" w:rsidRDefault="009E53F1" w:rsidP="007E043C">
      <w:pPr>
        <w:pStyle w:val="Heading4"/>
        <w:spacing w:before="120" w:after="120" w:line="269" w:lineRule="auto"/>
        <w:rPr>
          <w:rFonts w:eastAsia="Times New Roman"/>
        </w:rPr>
      </w:pPr>
      <w:r w:rsidRPr="00682FA7">
        <w:rPr>
          <w:rFonts w:eastAsia="Times New Roman"/>
        </w:rPr>
        <w:t>Our work is accessible to all</w:t>
      </w:r>
    </w:p>
    <w:p w14:paraId="016533B0" w14:textId="04F0A044" w:rsidR="009E53F1" w:rsidRPr="00591AF3" w:rsidRDefault="009E53F1" w:rsidP="007E043C">
      <w:pPr>
        <w:spacing w:after="120" w:line="269" w:lineRule="auto"/>
        <w:rPr>
          <w:rFonts w:eastAsia="Times New Roman" w:cs="Times New Roman"/>
          <w:szCs w:val="20"/>
          <w:lang w:val="en-NZ" w:eastAsia="en-NZ"/>
        </w:rPr>
      </w:pPr>
      <w:r>
        <w:rPr>
          <w:rFonts w:eastAsia="Times New Roman" w:cs="Times New Roman"/>
          <w:szCs w:val="20"/>
          <w:lang w:val="en-NZ" w:eastAsia="en-NZ"/>
        </w:rPr>
        <w:t xml:space="preserve">The consultation modes and the designed outcomes framework were not </w:t>
      </w:r>
      <w:r w:rsidR="007A7E5D">
        <w:rPr>
          <w:rFonts w:eastAsia="Times New Roman" w:cs="Times New Roman"/>
          <w:szCs w:val="20"/>
          <w:lang w:val="en-NZ" w:eastAsia="en-NZ"/>
        </w:rPr>
        <w:t xml:space="preserve">considered to be </w:t>
      </w:r>
      <w:r>
        <w:rPr>
          <w:rFonts w:eastAsia="Times New Roman" w:cs="Times New Roman"/>
          <w:szCs w:val="20"/>
          <w:lang w:val="en-NZ" w:eastAsia="en-NZ"/>
        </w:rPr>
        <w:t>accessible to all.</w:t>
      </w:r>
    </w:p>
    <w:p w14:paraId="227C868F" w14:textId="77777777" w:rsidR="009E53F1" w:rsidRDefault="009E53F1" w:rsidP="007E043C">
      <w:pPr>
        <w:pStyle w:val="Quote"/>
        <w:spacing w:before="120" w:after="120" w:line="269" w:lineRule="auto"/>
      </w:pPr>
      <w:r w:rsidRPr="00682FA7">
        <w:t>‘</w:t>
      </w:r>
      <w:r>
        <w:t>O</w:t>
      </w:r>
      <w:r w:rsidRPr="00682FA7">
        <w:t>ur work is accessible to all’. Accessibility requires consideration in how it can be viewed (print and/or digitally) and understood for people with disabilities or non-English speakers.</w:t>
      </w:r>
      <w:r>
        <w:t xml:space="preserve"> [Age Concern New Zealand]</w:t>
      </w:r>
    </w:p>
    <w:p w14:paraId="1E42E874" w14:textId="59A41D15" w:rsidR="009E53F1" w:rsidRPr="005F16ED" w:rsidRDefault="0004173E" w:rsidP="007E043C">
      <w:pPr>
        <w:pStyle w:val="Quote"/>
        <w:spacing w:before="120" w:after="120" w:line="269" w:lineRule="auto"/>
      </w:pPr>
      <w:r>
        <w:t>[Your] w</w:t>
      </w:r>
      <w:r w:rsidR="009E53F1" w:rsidRPr="005F16ED">
        <w:t>ork is not accessible to all as not everyone knows about it or can access it in remote or impoverished areas.</w:t>
      </w:r>
      <w:r w:rsidR="009E53F1">
        <w:t xml:space="preserve"> [Individual respondent]</w:t>
      </w:r>
    </w:p>
    <w:p w14:paraId="30574616" w14:textId="77777777" w:rsidR="009E53F1" w:rsidRDefault="009E53F1" w:rsidP="007E043C">
      <w:pPr>
        <w:pStyle w:val="Heading4"/>
        <w:spacing w:before="120" w:after="120" w:line="269" w:lineRule="auto"/>
        <w:rPr>
          <w:rFonts w:eastAsia="Times New Roman"/>
        </w:rPr>
      </w:pPr>
      <w:r w:rsidRPr="00682FA7">
        <w:rPr>
          <w:rFonts w:eastAsia="Times New Roman"/>
        </w:rPr>
        <w:t xml:space="preserve">Our work </w:t>
      </w:r>
      <w:r>
        <w:rPr>
          <w:rFonts w:eastAsia="Times New Roman"/>
        </w:rPr>
        <w:t>makes a difference</w:t>
      </w:r>
    </w:p>
    <w:p w14:paraId="1F2892AC" w14:textId="5F186BD2" w:rsidR="009E53F1" w:rsidRPr="00D3436F" w:rsidRDefault="00CC6BAB" w:rsidP="007E043C">
      <w:pPr>
        <w:spacing w:after="120" w:line="269" w:lineRule="auto"/>
        <w:rPr>
          <w:rFonts w:eastAsia="Times New Roman" w:cs="Times New Roman"/>
          <w:szCs w:val="20"/>
          <w:lang w:val="en-NZ" w:eastAsia="en-NZ"/>
        </w:rPr>
      </w:pPr>
      <w:r>
        <w:rPr>
          <w:rFonts w:eastAsia="Times New Roman" w:cs="Times New Roman"/>
          <w:szCs w:val="20"/>
          <w:lang w:val="en-NZ" w:eastAsia="en-NZ"/>
        </w:rPr>
        <w:t>R</w:t>
      </w:r>
      <w:r w:rsidR="009E53F1">
        <w:rPr>
          <w:rFonts w:eastAsia="Times New Roman" w:cs="Times New Roman"/>
          <w:szCs w:val="20"/>
          <w:lang w:val="en-NZ" w:eastAsia="en-NZ"/>
        </w:rPr>
        <w:t>espondents reflected th</w:t>
      </w:r>
      <w:r w:rsidR="007A7E5D">
        <w:rPr>
          <w:rFonts w:eastAsia="Times New Roman" w:cs="Times New Roman"/>
          <w:szCs w:val="20"/>
          <w:lang w:val="en-NZ" w:eastAsia="en-NZ"/>
        </w:rPr>
        <w:t>at the</w:t>
      </w:r>
      <w:r w:rsidR="009E53F1">
        <w:rPr>
          <w:rFonts w:eastAsia="Times New Roman" w:cs="Times New Roman"/>
          <w:szCs w:val="20"/>
          <w:lang w:val="en-NZ" w:eastAsia="en-NZ"/>
        </w:rPr>
        <w:t xml:space="preserve"> principle ‘our work makes a difference’ cannot be known until th</w:t>
      </w:r>
      <w:r>
        <w:rPr>
          <w:rFonts w:eastAsia="Times New Roman" w:cs="Times New Roman"/>
          <w:szCs w:val="20"/>
          <w:lang w:val="en-NZ" w:eastAsia="en-NZ"/>
        </w:rPr>
        <w:t>e</w:t>
      </w:r>
      <w:r w:rsidR="009E53F1">
        <w:rPr>
          <w:rFonts w:eastAsia="Times New Roman" w:cs="Times New Roman"/>
          <w:szCs w:val="20"/>
          <w:lang w:val="en-NZ" w:eastAsia="en-NZ"/>
        </w:rPr>
        <w:t xml:space="preserve"> outcomes framework is implemented.</w:t>
      </w:r>
    </w:p>
    <w:p w14:paraId="728F960D" w14:textId="46202B2A" w:rsidR="009E53F1" w:rsidRDefault="009E53F1" w:rsidP="007E043C">
      <w:pPr>
        <w:pStyle w:val="Quote"/>
        <w:spacing w:before="120" w:after="120" w:line="269" w:lineRule="auto"/>
      </w:pPr>
      <w:r w:rsidRPr="009E2189">
        <w:t>(</w:t>
      </w:r>
      <w:r w:rsidR="00CC6BAB">
        <w:t>O</w:t>
      </w:r>
      <w:r w:rsidRPr="009E2189">
        <w:t xml:space="preserve">ur work makes a difference for example) is implied and is </w:t>
      </w:r>
      <w:proofErr w:type="gramStart"/>
      <w:r w:rsidRPr="009E2189">
        <w:t>actually outcome</w:t>
      </w:r>
      <w:proofErr w:type="gramEnd"/>
      <w:r w:rsidRPr="009E2189">
        <w:t xml:space="preserve"> based, so won't be apparent until actual plans are in place</w:t>
      </w:r>
      <w:r>
        <w:t xml:space="preserve"> [Royal New Zealand Returned and Services Association]</w:t>
      </w:r>
    </w:p>
    <w:p w14:paraId="06E6ABA9" w14:textId="77777777" w:rsidR="009E53F1" w:rsidRDefault="009E53F1" w:rsidP="007E043C">
      <w:pPr>
        <w:pStyle w:val="Heading3"/>
        <w:spacing w:before="120" w:after="120" w:line="269" w:lineRule="auto"/>
      </w:pPr>
      <w:r>
        <w:t>Comments on the appropriateness of the listed principles more broadly</w:t>
      </w:r>
    </w:p>
    <w:p w14:paraId="5A54184F" w14:textId="77777777" w:rsidR="009E53F1" w:rsidRDefault="009E53F1" w:rsidP="007E043C">
      <w:pPr>
        <w:spacing w:after="120" w:line="269" w:lineRule="auto"/>
      </w:pPr>
      <w:r>
        <w:t>For respondents who interpreted this question more broadly about the appropriateness of the listed principles, the following themes came through.</w:t>
      </w:r>
    </w:p>
    <w:p w14:paraId="06740DC2" w14:textId="77777777" w:rsidR="009E53F1" w:rsidRDefault="009E53F1" w:rsidP="007E043C">
      <w:pPr>
        <w:pStyle w:val="Heading4"/>
        <w:spacing w:before="120" w:after="120" w:line="269" w:lineRule="auto"/>
        <w:rPr>
          <w:rFonts w:eastAsia="Times New Roman"/>
        </w:rPr>
      </w:pPr>
      <w:r>
        <w:rPr>
          <w:rFonts w:eastAsia="Times New Roman"/>
        </w:rPr>
        <w:lastRenderedPageBreak/>
        <w:t>Concern with the ‘wellbeing for all’ principle</w:t>
      </w:r>
    </w:p>
    <w:p w14:paraId="2D407C42" w14:textId="755FA6C5" w:rsidR="009E53F1" w:rsidRDefault="009E53F1" w:rsidP="007E043C">
      <w:pPr>
        <w:spacing w:after="120" w:line="269" w:lineRule="auto"/>
      </w:pPr>
      <w:r>
        <w:t xml:space="preserve">One respondent was concerned that </w:t>
      </w:r>
      <w:r w:rsidR="0004173E">
        <w:t>‘</w:t>
      </w:r>
      <w:r>
        <w:t>wellbeing for all is our goal</w:t>
      </w:r>
      <w:r w:rsidR="0004173E">
        <w:t>’</w:t>
      </w:r>
      <w:r>
        <w:t xml:space="preserve"> loses focus on people with serious mental illness and addiction issues.</w:t>
      </w:r>
    </w:p>
    <w:p w14:paraId="1DEBACF8" w14:textId="2B6F11D5" w:rsidR="009E53F1" w:rsidRDefault="0004173E" w:rsidP="007E043C">
      <w:pPr>
        <w:pStyle w:val="Quote"/>
        <w:spacing w:before="120" w:after="120" w:line="269" w:lineRule="auto"/>
      </w:pPr>
      <w:r>
        <w:t>‘</w:t>
      </w:r>
      <w:r w:rsidR="009E53F1" w:rsidRPr="009A6FAD">
        <w:t>Wellbeing for all is our goal</w:t>
      </w:r>
      <w:r>
        <w:t>’</w:t>
      </w:r>
      <w:r w:rsidR="009E53F1" w:rsidRPr="009A6FAD">
        <w:t xml:space="preserve"> should not be the goal in the case of the commission. The target audience should be those that suffer the most.</w:t>
      </w:r>
      <w:r w:rsidR="009E53F1">
        <w:t xml:space="preserve"> [Individual respondent]</w:t>
      </w:r>
    </w:p>
    <w:p w14:paraId="37FF0F11" w14:textId="77777777" w:rsidR="009E53F1" w:rsidRDefault="009E53F1" w:rsidP="007E043C">
      <w:pPr>
        <w:pStyle w:val="Heading4"/>
        <w:spacing w:before="120" w:after="120" w:line="269" w:lineRule="auto"/>
        <w:rPr>
          <w:rFonts w:eastAsia="Times New Roman"/>
        </w:rPr>
      </w:pPr>
      <w:r>
        <w:rPr>
          <w:rFonts w:eastAsia="Times New Roman"/>
        </w:rPr>
        <w:t>Areas to strengthen in the principles</w:t>
      </w:r>
    </w:p>
    <w:p w14:paraId="4EF1D69E" w14:textId="77777777" w:rsidR="009E53F1" w:rsidRPr="003621C6" w:rsidRDefault="009E53F1" w:rsidP="007E043C">
      <w:pPr>
        <w:pStyle w:val="Heading5"/>
        <w:spacing w:before="120" w:after="120" w:line="269" w:lineRule="auto"/>
        <w:rPr>
          <w:lang w:val="en-NZ"/>
        </w:rPr>
      </w:pPr>
      <w:r w:rsidRPr="003621C6">
        <w:rPr>
          <w:lang w:val="en-NZ"/>
        </w:rPr>
        <w:t>Equity</w:t>
      </w:r>
    </w:p>
    <w:p w14:paraId="2EC34444" w14:textId="6738ACF2" w:rsidR="009E53F1" w:rsidRPr="00095E34" w:rsidRDefault="009E53F1" w:rsidP="007E043C">
      <w:pPr>
        <w:spacing w:after="120" w:line="269" w:lineRule="auto"/>
        <w:rPr>
          <w:rFonts w:eastAsia="Times New Roman" w:cs="Times New Roman"/>
          <w:szCs w:val="20"/>
          <w:lang w:val="en-NZ" w:eastAsia="en-NZ"/>
        </w:rPr>
      </w:pPr>
      <w:r>
        <w:rPr>
          <w:rFonts w:eastAsia="Times New Roman" w:cs="Times New Roman"/>
          <w:szCs w:val="20"/>
          <w:lang w:val="en-NZ" w:eastAsia="en-NZ"/>
        </w:rPr>
        <w:t xml:space="preserve">We heard how a principle on equity of outcomes for Māori should be </w:t>
      </w:r>
      <w:r w:rsidR="0004173E">
        <w:rPr>
          <w:rFonts w:eastAsia="Times New Roman" w:cs="Times New Roman"/>
          <w:szCs w:val="20"/>
          <w:lang w:val="en-NZ" w:eastAsia="en-NZ"/>
        </w:rPr>
        <w:t>added or</w:t>
      </w:r>
      <w:r>
        <w:rPr>
          <w:rFonts w:eastAsia="Times New Roman" w:cs="Times New Roman"/>
          <w:szCs w:val="20"/>
          <w:lang w:val="en-NZ" w:eastAsia="en-NZ"/>
        </w:rPr>
        <w:t xml:space="preserve"> made explicit within the existing principles.</w:t>
      </w:r>
    </w:p>
    <w:p w14:paraId="141EA884" w14:textId="4343CE2C" w:rsidR="009E53F1" w:rsidRDefault="009E53F1" w:rsidP="007E043C">
      <w:pPr>
        <w:pStyle w:val="Quote"/>
        <w:spacing w:before="120" w:after="120" w:line="269" w:lineRule="auto"/>
        <w:rPr>
          <w:lang w:val="en-NZ" w:eastAsia="en-NZ"/>
        </w:rPr>
      </w:pPr>
      <w:r>
        <w:rPr>
          <w:lang w:val="en-NZ" w:eastAsia="en-NZ"/>
        </w:rPr>
        <w:t>A</w:t>
      </w:r>
      <w:r w:rsidRPr="00D61AC4">
        <w:rPr>
          <w:lang w:val="en-NZ" w:eastAsia="en-NZ"/>
        </w:rPr>
        <w:t xml:space="preserve"> further principle of achieving equity of mental health outcomes for all is our goal could be added to better reflect an aspiration for better, fairer and more equitable mental health outcomes between Māori and other New Zealanders.</w:t>
      </w:r>
      <w:r>
        <w:rPr>
          <w:lang w:val="en-NZ" w:eastAsia="en-NZ"/>
        </w:rPr>
        <w:t xml:space="preserve"> [Organisation </w:t>
      </w:r>
      <w:r w:rsidR="007D71F4">
        <w:rPr>
          <w:lang w:val="en-NZ" w:eastAsia="en-NZ"/>
        </w:rPr>
        <w:t xml:space="preserve">– </w:t>
      </w:r>
      <w:r w:rsidR="009E2778">
        <w:rPr>
          <w:lang w:val="en-NZ" w:eastAsia="en-NZ"/>
        </w:rPr>
        <w:t>did not consent to quotes being attributed</w:t>
      </w:r>
      <w:r>
        <w:rPr>
          <w:lang w:val="en-NZ" w:eastAsia="en-NZ"/>
        </w:rPr>
        <w:t>]</w:t>
      </w:r>
    </w:p>
    <w:p w14:paraId="77339230" w14:textId="044FB5C8" w:rsidR="009E53F1" w:rsidRDefault="009E53F1" w:rsidP="007E043C">
      <w:pPr>
        <w:pStyle w:val="Quote"/>
        <w:spacing w:before="120" w:after="120" w:line="269" w:lineRule="auto"/>
        <w:rPr>
          <w:lang w:val="en-NZ" w:eastAsia="en-NZ"/>
        </w:rPr>
      </w:pPr>
      <w:r w:rsidRPr="00B940BE">
        <w:rPr>
          <w:lang w:val="en-NZ" w:eastAsia="en-NZ"/>
        </w:rPr>
        <w:t>Other principles the Commission could consider include:</w:t>
      </w:r>
      <w:r w:rsidR="00CA4C12">
        <w:rPr>
          <w:lang w:val="en-NZ" w:eastAsia="en-NZ"/>
        </w:rPr>
        <w:t xml:space="preserve"> </w:t>
      </w:r>
      <w:r w:rsidRPr="00B940BE">
        <w:rPr>
          <w:lang w:val="en-NZ" w:eastAsia="en-NZ"/>
        </w:rPr>
        <w:t>equity and fairness (although these are implicit in some of the current principles</w:t>
      </w:r>
      <w:r>
        <w:rPr>
          <w:lang w:val="en-NZ" w:eastAsia="en-NZ"/>
        </w:rPr>
        <w:t>)</w:t>
      </w:r>
      <w:r w:rsidR="0004173E">
        <w:rPr>
          <w:lang w:val="en-NZ" w:eastAsia="en-NZ"/>
        </w:rPr>
        <w:t>.</w:t>
      </w:r>
      <w:r>
        <w:rPr>
          <w:lang w:val="en-NZ" w:eastAsia="en-NZ"/>
        </w:rPr>
        <w:t xml:space="preserve"> [Mental Health Foundation]</w:t>
      </w:r>
    </w:p>
    <w:p w14:paraId="107C2B29" w14:textId="77777777" w:rsidR="009E53F1" w:rsidRPr="003621C6" w:rsidRDefault="009E53F1" w:rsidP="007E043C">
      <w:pPr>
        <w:pStyle w:val="Heading5"/>
        <w:spacing w:before="120" w:after="120" w:line="269" w:lineRule="auto"/>
        <w:rPr>
          <w:lang w:val="en-NZ"/>
        </w:rPr>
      </w:pPr>
      <w:r w:rsidRPr="003621C6">
        <w:rPr>
          <w:lang w:val="en-NZ"/>
        </w:rPr>
        <w:t>Human rights approach</w:t>
      </w:r>
    </w:p>
    <w:p w14:paraId="069070C8" w14:textId="77777777" w:rsidR="009E53F1" w:rsidRPr="00A131B9" w:rsidRDefault="009E53F1" w:rsidP="007E043C">
      <w:pPr>
        <w:spacing w:after="120" w:line="269" w:lineRule="auto"/>
        <w:rPr>
          <w:lang w:val="en-NZ" w:eastAsia="en-NZ"/>
        </w:rPr>
      </w:pPr>
      <w:r>
        <w:rPr>
          <w:lang w:val="en-NZ" w:eastAsia="en-NZ"/>
        </w:rPr>
        <w:t>One respondent felt it was an omission that a human rights approach was not referenced in the principles.</w:t>
      </w:r>
    </w:p>
    <w:p w14:paraId="6E435490" w14:textId="723C4A3B" w:rsidR="009E53F1" w:rsidRDefault="009E53F1" w:rsidP="007E043C">
      <w:pPr>
        <w:pStyle w:val="Quote"/>
        <w:spacing w:before="120" w:after="120" w:line="269" w:lineRule="auto"/>
      </w:pPr>
      <w:r>
        <w:t xml:space="preserve">[There is] </w:t>
      </w:r>
      <w:r w:rsidRPr="00281CD2">
        <w:t>no mention of a human rights approach</w:t>
      </w:r>
      <w:r w:rsidR="007D71F4">
        <w:t>.</w:t>
      </w:r>
      <w:r>
        <w:t xml:space="preserve"> [Balance Aotearoa]</w:t>
      </w:r>
    </w:p>
    <w:p w14:paraId="28100316" w14:textId="77777777" w:rsidR="009E53F1" w:rsidRPr="003621C6" w:rsidRDefault="009E53F1" w:rsidP="007E043C">
      <w:pPr>
        <w:pStyle w:val="Heading5"/>
        <w:spacing w:before="120" w:after="120" w:line="269" w:lineRule="auto"/>
        <w:rPr>
          <w:lang w:val="en-NZ"/>
        </w:rPr>
      </w:pPr>
      <w:r w:rsidRPr="003621C6">
        <w:rPr>
          <w:lang w:val="en-NZ"/>
        </w:rPr>
        <w:t>Whānau voice</w:t>
      </w:r>
    </w:p>
    <w:p w14:paraId="095336B1" w14:textId="77777777" w:rsidR="009E53F1" w:rsidRPr="00B1134F" w:rsidRDefault="009E53F1" w:rsidP="007E043C">
      <w:pPr>
        <w:spacing w:after="120" w:line="269" w:lineRule="auto"/>
        <w:rPr>
          <w:lang w:val="en-NZ" w:eastAsia="en-NZ"/>
        </w:rPr>
      </w:pPr>
      <w:r>
        <w:rPr>
          <w:lang w:val="en-NZ" w:eastAsia="en-NZ"/>
        </w:rPr>
        <w:t>W</w:t>
      </w:r>
      <w:r w:rsidRPr="00B1134F">
        <w:rPr>
          <w:lang w:val="en-NZ" w:eastAsia="en-NZ"/>
        </w:rPr>
        <w:t>hilst the principle of being guided by the voices of lived experience was welcomed, some felt that this needed to also include whānau voice.</w:t>
      </w:r>
    </w:p>
    <w:p w14:paraId="5865D3A8" w14:textId="1AD0EA23" w:rsidR="009E53F1" w:rsidRDefault="009E53F1" w:rsidP="007E043C">
      <w:pPr>
        <w:pStyle w:val="Quote"/>
        <w:spacing w:before="120" w:after="120" w:line="269" w:lineRule="auto"/>
        <w:rPr>
          <w:lang w:val="en-NZ" w:eastAsia="en-NZ"/>
        </w:rPr>
      </w:pPr>
      <w:r w:rsidRPr="002F7A17">
        <w:rPr>
          <w:lang w:val="en-NZ" w:eastAsia="en-NZ"/>
        </w:rPr>
        <w:t>It does not seem that the wh</w:t>
      </w:r>
      <w:r w:rsidR="007D71F4">
        <w:rPr>
          <w:lang w:val="en-NZ" w:eastAsia="en-NZ"/>
        </w:rPr>
        <w:t>ā</w:t>
      </w:r>
      <w:r w:rsidRPr="002F7A17">
        <w:rPr>
          <w:lang w:val="en-NZ" w:eastAsia="en-NZ"/>
        </w:rPr>
        <w:t>nau voice is reflected in the decision making or priority setting process. [Individual respondent]</w:t>
      </w:r>
    </w:p>
    <w:p w14:paraId="5575A614" w14:textId="77777777" w:rsidR="009E53F1" w:rsidRDefault="009E53F1" w:rsidP="007E043C">
      <w:pPr>
        <w:pStyle w:val="Quote"/>
        <w:spacing w:before="120" w:after="120" w:line="269" w:lineRule="auto"/>
      </w:pPr>
      <w:r w:rsidRPr="003A45B1">
        <w:t>I think there should be some inclusion of the importance of whānau and other caregivers in the section on lived experience.</w:t>
      </w:r>
      <w:r>
        <w:t xml:space="preserve"> [Individual respondent]</w:t>
      </w:r>
    </w:p>
    <w:p w14:paraId="1D712323" w14:textId="6400B204" w:rsidR="009E53F1" w:rsidRPr="003621C6" w:rsidRDefault="009E53F1" w:rsidP="007E043C">
      <w:pPr>
        <w:pStyle w:val="Heading5"/>
        <w:spacing w:before="120" w:after="120" w:line="269" w:lineRule="auto"/>
        <w:rPr>
          <w:lang w:val="en-NZ"/>
        </w:rPr>
      </w:pPr>
      <w:r w:rsidRPr="003621C6">
        <w:rPr>
          <w:lang w:val="en-NZ"/>
        </w:rPr>
        <w:t>Whole-of-system</w:t>
      </w:r>
      <w:r w:rsidR="007D71F4">
        <w:rPr>
          <w:lang w:val="en-NZ"/>
        </w:rPr>
        <w:t>s</w:t>
      </w:r>
      <w:r w:rsidRPr="003621C6">
        <w:rPr>
          <w:lang w:val="en-NZ"/>
        </w:rPr>
        <w:t xml:space="preserve"> approach</w:t>
      </w:r>
    </w:p>
    <w:p w14:paraId="185DAF56" w14:textId="475AE6BD" w:rsidR="009E53F1" w:rsidRPr="003621C6" w:rsidRDefault="00A7734D" w:rsidP="007E043C">
      <w:pPr>
        <w:spacing w:after="120" w:line="269" w:lineRule="auto"/>
        <w:rPr>
          <w:lang w:val="en-NZ" w:eastAsia="en-NZ"/>
        </w:rPr>
      </w:pPr>
      <w:r>
        <w:rPr>
          <w:lang w:val="en-NZ" w:eastAsia="en-NZ"/>
        </w:rPr>
        <w:t>It</w:t>
      </w:r>
      <w:r w:rsidR="009E53F1">
        <w:rPr>
          <w:lang w:val="en-NZ" w:eastAsia="en-NZ"/>
        </w:rPr>
        <w:t xml:space="preserve"> was noted that a whole-of-system approach is needed to achieve the outcomes set out in the outcomes framework.</w:t>
      </w:r>
    </w:p>
    <w:p w14:paraId="5D1C43DE" w14:textId="7B576D15" w:rsidR="009E53F1" w:rsidRDefault="009E53F1" w:rsidP="007E043C">
      <w:pPr>
        <w:pStyle w:val="Quote"/>
        <w:spacing w:before="120" w:after="120" w:line="269" w:lineRule="auto"/>
        <w:rPr>
          <w:lang w:val="en-NZ" w:eastAsia="en-NZ"/>
        </w:rPr>
      </w:pPr>
      <w:r w:rsidRPr="00B940BE">
        <w:rPr>
          <w:lang w:val="en-NZ" w:eastAsia="en-NZ"/>
        </w:rPr>
        <w:t xml:space="preserve">Other principles the Commission could consider include: taking a whole-of-systems approach </w:t>
      </w:r>
      <w:r>
        <w:rPr>
          <w:lang w:val="en-NZ" w:eastAsia="en-NZ"/>
        </w:rPr>
        <w:t>[Mental Health Foundation]</w:t>
      </w:r>
    </w:p>
    <w:p w14:paraId="20647C62" w14:textId="09BA392B" w:rsidR="009E53F1" w:rsidRDefault="009E53F1" w:rsidP="007E043C">
      <w:pPr>
        <w:pStyle w:val="Quote"/>
        <w:spacing w:before="120" w:after="120" w:line="269" w:lineRule="auto"/>
        <w:rPr>
          <w:lang w:val="en-NZ" w:eastAsia="en-NZ"/>
        </w:rPr>
      </w:pPr>
      <w:r w:rsidRPr="00DA6244">
        <w:rPr>
          <w:lang w:val="en-NZ" w:eastAsia="en-NZ"/>
        </w:rPr>
        <w:t>We need other agencies involved like MSD, Corrections, Justice as it often feels we are alone on this journey</w:t>
      </w:r>
      <w:r w:rsidR="007D71F4">
        <w:rPr>
          <w:lang w:val="en-NZ" w:eastAsia="en-NZ"/>
        </w:rPr>
        <w:t>.</w:t>
      </w:r>
      <w:r>
        <w:rPr>
          <w:lang w:val="en-NZ" w:eastAsia="en-NZ"/>
        </w:rPr>
        <w:t xml:space="preserve"> [Individual respondent]</w:t>
      </w:r>
    </w:p>
    <w:p w14:paraId="2A0322F6" w14:textId="77777777" w:rsidR="009E53F1" w:rsidRDefault="009E53F1" w:rsidP="007E043C">
      <w:pPr>
        <w:pStyle w:val="Heading5"/>
        <w:spacing w:before="120" w:after="120" w:line="269" w:lineRule="auto"/>
        <w:rPr>
          <w:rFonts w:eastAsia="Times New Roman"/>
          <w:lang w:val="en-NZ" w:eastAsia="en-NZ"/>
        </w:rPr>
      </w:pPr>
      <w:r>
        <w:rPr>
          <w:rFonts w:eastAsia="Times New Roman"/>
          <w:lang w:val="en-NZ" w:eastAsia="en-NZ"/>
        </w:rPr>
        <w:t>Wording changes to current principles</w:t>
      </w:r>
    </w:p>
    <w:p w14:paraId="556101B2" w14:textId="77777777" w:rsidR="009E53F1" w:rsidRPr="008B7D8B" w:rsidRDefault="009E53F1" w:rsidP="007E043C">
      <w:pPr>
        <w:spacing w:after="120" w:line="269" w:lineRule="auto"/>
        <w:rPr>
          <w:rFonts w:eastAsia="Times New Roman" w:cs="Times New Roman"/>
          <w:szCs w:val="20"/>
          <w:lang w:val="en-NZ" w:eastAsia="en-NZ"/>
        </w:rPr>
      </w:pPr>
      <w:r>
        <w:rPr>
          <w:rFonts w:eastAsia="Times New Roman" w:cs="Times New Roman"/>
          <w:szCs w:val="20"/>
          <w:lang w:val="en-NZ" w:eastAsia="en-NZ"/>
        </w:rPr>
        <w:t>Alongside the above suggestions on principle concepts, there were some detailed wording suggestions. These include:</w:t>
      </w:r>
    </w:p>
    <w:p w14:paraId="058AEAB3" w14:textId="7F8B70BC" w:rsidR="009E53F1" w:rsidRPr="00A344F9" w:rsidRDefault="009E53F1" w:rsidP="007E043C">
      <w:pPr>
        <w:pStyle w:val="Quote"/>
        <w:spacing w:before="120" w:after="120" w:line="269" w:lineRule="auto"/>
      </w:pPr>
      <w:r w:rsidRPr="0023087C">
        <w:t>Suggest adding ‘resources’</w:t>
      </w:r>
      <w:r w:rsidR="00CA4C12">
        <w:t>.</w:t>
      </w:r>
      <w:r w:rsidRPr="0023087C">
        <w:t xml:space="preserve"> ‘We uphold multiple knowledges, including Mātauranga Māori, sharing power and resources.</w:t>
      </w:r>
      <w:r>
        <w:t xml:space="preserve"> [Te Pou Addiction Consumer Leadership Group]</w:t>
      </w:r>
    </w:p>
    <w:p w14:paraId="3D5A911F" w14:textId="6D4BA1B0" w:rsidR="009E53F1" w:rsidRDefault="009E53F1" w:rsidP="007E043C">
      <w:pPr>
        <w:pStyle w:val="Quote"/>
        <w:spacing w:before="120" w:after="120" w:line="269" w:lineRule="auto"/>
        <w:rPr>
          <w:lang w:val="en-NZ" w:eastAsia="en-NZ"/>
        </w:rPr>
      </w:pPr>
      <w:r w:rsidRPr="00B940BE">
        <w:rPr>
          <w:lang w:val="en-NZ" w:eastAsia="en-NZ"/>
        </w:rPr>
        <w:lastRenderedPageBreak/>
        <w:t>You might want to say that 'our work makes a positive difference'</w:t>
      </w:r>
      <w:r w:rsidR="00D97845">
        <w:rPr>
          <w:lang w:val="en-NZ" w:eastAsia="en-NZ"/>
        </w:rPr>
        <w:t xml:space="preserve"> – </w:t>
      </w:r>
      <w:r w:rsidRPr="00B940BE">
        <w:rPr>
          <w:lang w:val="en-NZ" w:eastAsia="en-NZ"/>
        </w:rPr>
        <w:t>instead of just a difference.</w:t>
      </w:r>
      <w:r>
        <w:rPr>
          <w:lang w:val="en-NZ" w:eastAsia="en-NZ"/>
        </w:rPr>
        <w:t xml:space="preserve"> [Individual respondent]</w:t>
      </w:r>
    </w:p>
    <w:p w14:paraId="567E1FA9" w14:textId="1A43488A" w:rsidR="009E53F1" w:rsidRDefault="009E53F1" w:rsidP="007E043C">
      <w:pPr>
        <w:pStyle w:val="Quote"/>
        <w:spacing w:before="120" w:after="120" w:line="269" w:lineRule="auto"/>
        <w:rPr>
          <w:lang w:val="en-NZ" w:eastAsia="en-NZ"/>
        </w:rPr>
      </w:pPr>
      <w:r>
        <w:rPr>
          <w:lang w:val="en-NZ" w:eastAsia="en-NZ"/>
        </w:rPr>
        <w:t>T</w:t>
      </w:r>
      <w:r w:rsidRPr="007972C1">
        <w:rPr>
          <w:lang w:val="en-NZ" w:eastAsia="en-NZ"/>
        </w:rPr>
        <w:t>he voice of lived experience includes all people maybe groups don't need to be specified.</w:t>
      </w:r>
      <w:r w:rsidR="00CA4C12">
        <w:rPr>
          <w:lang w:val="en-NZ" w:eastAsia="en-NZ"/>
        </w:rPr>
        <w:t xml:space="preserve"> </w:t>
      </w:r>
      <w:r w:rsidRPr="007972C1">
        <w:rPr>
          <w:lang w:val="en-NZ" w:eastAsia="en-NZ"/>
        </w:rPr>
        <w:t>If we keep listing groups that should be included it is a negative way of saying they are excluded unless specified.</w:t>
      </w:r>
      <w:r>
        <w:rPr>
          <w:lang w:val="en-NZ" w:eastAsia="en-NZ"/>
        </w:rPr>
        <w:t xml:space="preserve"> [Individual respondent]</w:t>
      </w:r>
    </w:p>
    <w:p w14:paraId="3F918896" w14:textId="580F1B6D" w:rsidR="009E53F1" w:rsidRDefault="000C37B9" w:rsidP="007E043C">
      <w:pPr>
        <w:spacing w:after="120" w:line="269" w:lineRule="auto"/>
        <w:rPr>
          <w:lang w:val="en-NZ" w:eastAsia="en-NZ"/>
        </w:rPr>
      </w:pPr>
      <w:r>
        <w:rPr>
          <w:lang w:val="en-NZ" w:eastAsia="en-NZ"/>
        </w:rPr>
        <w:t>S</w:t>
      </w:r>
      <w:r w:rsidR="009E53F1">
        <w:rPr>
          <w:lang w:val="en-NZ" w:eastAsia="en-NZ"/>
        </w:rPr>
        <w:t xml:space="preserve">ome questions were raised </w:t>
      </w:r>
      <w:r w:rsidR="007D71F4">
        <w:rPr>
          <w:lang w:val="en-NZ" w:eastAsia="en-NZ"/>
        </w:rPr>
        <w:t xml:space="preserve">around clarity </w:t>
      </w:r>
      <w:r w:rsidR="009E53F1">
        <w:rPr>
          <w:lang w:val="en-NZ" w:eastAsia="en-NZ"/>
        </w:rPr>
        <w:t>on what these principles mean in practice.</w:t>
      </w:r>
    </w:p>
    <w:p w14:paraId="4D31B570" w14:textId="6338D3A3" w:rsidR="009E53F1" w:rsidRDefault="009E53F1" w:rsidP="007E043C">
      <w:pPr>
        <w:pStyle w:val="Quote"/>
        <w:spacing w:before="120" w:after="120" w:line="269" w:lineRule="auto"/>
        <w:rPr>
          <w:lang w:val="en-NZ" w:eastAsia="en-NZ"/>
        </w:rPr>
      </w:pPr>
      <w:r w:rsidRPr="004C5D3E">
        <w:rPr>
          <w:lang w:val="en-NZ" w:eastAsia="en-NZ"/>
        </w:rPr>
        <w:t xml:space="preserve">We put people, whānau and communities at the centre of all our work – this means different things to different people. To what extent </w:t>
      </w:r>
      <w:r w:rsidR="007D71F4">
        <w:rPr>
          <w:lang w:val="en-NZ" w:eastAsia="en-NZ"/>
        </w:rPr>
        <w:t>d</w:t>
      </w:r>
      <w:r w:rsidRPr="004C5D3E">
        <w:rPr>
          <w:lang w:val="en-NZ" w:eastAsia="en-NZ"/>
        </w:rPr>
        <w:t>o people, whānau and communities get to experience choice and control over what happens?</w:t>
      </w:r>
      <w:r>
        <w:rPr>
          <w:lang w:val="en-NZ" w:eastAsia="en-NZ"/>
        </w:rPr>
        <w:t xml:space="preserve"> [Organisation </w:t>
      </w:r>
      <w:r w:rsidR="007D71F4">
        <w:rPr>
          <w:lang w:val="en-NZ" w:eastAsia="en-NZ"/>
        </w:rPr>
        <w:t xml:space="preserve">– </w:t>
      </w:r>
      <w:r w:rsidR="009E2778">
        <w:rPr>
          <w:lang w:val="en-NZ" w:eastAsia="en-NZ"/>
        </w:rPr>
        <w:t>did not consent to quotes being attributed</w:t>
      </w:r>
      <w:r>
        <w:rPr>
          <w:lang w:val="en-NZ" w:eastAsia="en-NZ"/>
        </w:rPr>
        <w:t>]</w:t>
      </w:r>
    </w:p>
    <w:p w14:paraId="31BEAB62" w14:textId="77777777" w:rsidR="00FE3520" w:rsidRDefault="009E53F1" w:rsidP="007E043C">
      <w:pPr>
        <w:pStyle w:val="Quote"/>
        <w:spacing w:before="120" w:after="120" w:line="269" w:lineRule="auto"/>
      </w:pPr>
      <w:r w:rsidRPr="00C8395B">
        <w:rPr>
          <w:lang w:val="en-NZ" w:eastAsia="en-NZ"/>
        </w:rPr>
        <w:t xml:space="preserve">We think that further consideration is needed to explain what is meant by accessible to all – will individuals </w:t>
      </w:r>
      <w:r>
        <w:rPr>
          <w:lang w:val="en-NZ" w:eastAsia="en-NZ"/>
        </w:rPr>
        <w:t xml:space="preserve">[and whānau] </w:t>
      </w:r>
      <w:r w:rsidRPr="00C8395B">
        <w:rPr>
          <w:lang w:val="en-NZ" w:eastAsia="en-NZ"/>
        </w:rPr>
        <w:t>be able to attend meetings, read minutes, have access to all documents held by the Commission</w:t>
      </w:r>
      <w:r w:rsidR="007D71F4">
        <w:rPr>
          <w:lang w:val="en-NZ" w:eastAsia="en-NZ"/>
        </w:rPr>
        <w:t>?</w:t>
      </w:r>
      <w:r>
        <w:rPr>
          <w:lang w:val="en-NZ" w:eastAsia="en-NZ"/>
        </w:rPr>
        <w:t xml:space="preserve"> [Supporting Families]</w:t>
      </w:r>
    </w:p>
    <w:p w14:paraId="1936C962" w14:textId="373CC783" w:rsidR="00662C5A" w:rsidRDefault="00662C5A" w:rsidP="007E043C">
      <w:pPr>
        <w:pStyle w:val="Quote"/>
        <w:spacing w:before="120" w:after="120" w:line="269" w:lineRule="auto"/>
      </w:pPr>
      <w:r>
        <w:br w:type="page"/>
      </w:r>
    </w:p>
    <w:p w14:paraId="2186F556" w14:textId="086DBD37" w:rsidR="000E619B" w:rsidRDefault="000E619B" w:rsidP="00D65A4B">
      <w:pPr>
        <w:pStyle w:val="Heading1"/>
        <w:rPr>
          <w:lang w:val="en-NZ"/>
        </w:rPr>
      </w:pPr>
      <w:bookmarkStart w:id="48" w:name="_Toc56063540"/>
      <w:r>
        <w:rPr>
          <w:lang w:val="en-NZ"/>
        </w:rPr>
        <w:lastRenderedPageBreak/>
        <w:t xml:space="preserve">Appendix </w:t>
      </w:r>
      <w:r w:rsidR="007625F6">
        <w:rPr>
          <w:lang w:val="en-NZ"/>
        </w:rPr>
        <w:t>1</w:t>
      </w:r>
      <w:r>
        <w:rPr>
          <w:lang w:val="en-NZ"/>
        </w:rPr>
        <w:tab/>
        <w:t xml:space="preserve">List of </w:t>
      </w:r>
      <w:r w:rsidR="006B4EF7">
        <w:rPr>
          <w:lang w:val="en-NZ"/>
        </w:rPr>
        <w:t>respondents</w:t>
      </w:r>
      <w:bookmarkEnd w:id="48"/>
    </w:p>
    <w:p w14:paraId="40986F29" w14:textId="13FC8E78" w:rsidR="00E63F33" w:rsidRPr="00ED194A" w:rsidRDefault="00796F97" w:rsidP="007E043C">
      <w:pPr>
        <w:spacing w:after="120" w:line="269" w:lineRule="auto"/>
        <w:rPr>
          <w:sz w:val="20"/>
          <w:lang w:val="en-NZ"/>
        </w:rPr>
      </w:pPr>
      <w:r w:rsidRPr="00ED194A">
        <w:rPr>
          <w:sz w:val="20"/>
          <w:lang w:val="en-NZ"/>
        </w:rPr>
        <w:t xml:space="preserve">This appendix </w:t>
      </w:r>
      <w:r w:rsidR="002B76BF">
        <w:rPr>
          <w:sz w:val="20"/>
          <w:lang w:val="en-NZ"/>
        </w:rPr>
        <w:t>lists those who</w:t>
      </w:r>
      <w:r w:rsidRPr="00ED194A">
        <w:rPr>
          <w:sz w:val="20"/>
          <w:lang w:val="en-NZ"/>
        </w:rPr>
        <w:t xml:space="preserve"> </w:t>
      </w:r>
      <w:r w:rsidR="002B76BF" w:rsidRPr="00ED194A">
        <w:rPr>
          <w:sz w:val="20"/>
          <w:lang w:val="en-NZ"/>
        </w:rPr>
        <w:t>responde</w:t>
      </w:r>
      <w:r w:rsidR="002B76BF">
        <w:rPr>
          <w:sz w:val="20"/>
          <w:lang w:val="en-NZ"/>
        </w:rPr>
        <w:t>d</w:t>
      </w:r>
      <w:r w:rsidRPr="00ED194A">
        <w:rPr>
          <w:sz w:val="20"/>
          <w:lang w:val="en-NZ"/>
        </w:rPr>
        <w:t xml:space="preserve"> through the consultation document</w:t>
      </w:r>
      <w:r w:rsidR="00ED194A" w:rsidRPr="00ED194A">
        <w:rPr>
          <w:sz w:val="20"/>
          <w:lang w:val="en-NZ"/>
        </w:rPr>
        <w:t xml:space="preserve">, survey and written letter </w:t>
      </w:r>
      <w:r w:rsidRPr="00ED194A">
        <w:rPr>
          <w:sz w:val="20"/>
          <w:lang w:val="en-NZ"/>
        </w:rPr>
        <w:t xml:space="preserve">and </w:t>
      </w:r>
      <w:r w:rsidR="002B76BF">
        <w:rPr>
          <w:sz w:val="20"/>
          <w:lang w:val="en-NZ"/>
        </w:rPr>
        <w:t xml:space="preserve">who </w:t>
      </w:r>
      <w:r w:rsidRPr="00ED194A">
        <w:rPr>
          <w:sz w:val="20"/>
          <w:lang w:val="en-NZ"/>
        </w:rPr>
        <w:t xml:space="preserve">provided consent to being named. Participants in the focus groups, </w:t>
      </w:r>
      <w:proofErr w:type="gramStart"/>
      <w:r w:rsidRPr="00ED194A">
        <w:rPr>
          <w:sz w:val="20"/>
          <w:lang w:val="en-NZ"/>
        </w:rPr>
        <w:t>Zoom</w:t>
      </w:r>
      <w:proofErr w:type="gramEnd"/>
      <w:r w:rsidRPr="00ED194A">
        <w:rPr>
          <w:sz w:val="20"/>
          <w:lang w:val="en-NZ"/>
        </w:rPr>
        <w:t xml:space="preserve"> discussions and Pacific </w:t>
      </w:r>
      <w:r w:rsidR="00B34E46" w:rsidRPr="00ED194A">
        <w:rPr>
          <w:sz w:val="20"/>
          <w:lang w:val="en-NZ"/>
        </w:rPr>
        <w:t>talanoa</w:t>
      </w:r>
      <w:r w:rsidRPr="00ED194A">
        <w:rPr>
          <w:sz w:val="20"/>
          <w:lang w:val="en-NZ"/>
        </w:rPr>
        <w:t xml:space="preserve"> are not listed.</w:t>
      </w:r>
    </w:p>
    <w:p w14:paraId="3F8AC386" w14:textId="4BDDE4DE" w:rsidR="00602CD2" w:rsidRPr="00FC53B8" w:rsidRDefault="00CE3717" w:rsidP="007E043C">
      <w:pPr>
        <w:pStyle w:val="Heading3"/>
        <w:spacing w:before="120" w:after="120" w:line="269" w:lineRule="auto"/>
      </w:pPr>
      <w:r>
        <w:t>Individual submitters</w:t>
      </w:r>
    </w:p>
    <w:p w14:paraId="3A9FA4CA" w14:textId="77777777" w:rsidR="007C4455" w:rsidRDefault="007C4455" w:rsidP="007E043C">
      <w:pPr>
        <w:spacing w:after="120" w:line="269" w:lineRule="auto"/>
        <w:rPr>
          <w:lang w:val="en-NZ" w:eastAsia="en-NZ"/>
        </w:rPr>
        <w:sectPr w:rsidR="007C4455" w:rsidSect="00BD7BE6">
          <w:footerReference w:type="default" r:id="rId16"/>
          <w:headerReference w:type="first" r:id="rId17"/>
          <w:pgSz w:w="11906" w:h="16838"/>
          <w:pgMar w:top="1440" w:right="1440" w:bottom="1440" w:left="1440" w:header="708" w:footer="708" w:gutter="0"/>
          <w:cols w:space="708"/>
          <w:titlePg/>
          <w:docGrid w:linePitch="360"/>
        </w:sectPr>
      </w:pPr>
    </w:p>
    <w:p w14:paraId="34C8A7C8" w14:textId="24786AA3" w:rsidR="007C4455" w:rsidRPr="007C4455" w:rsidRDefault="007C4455" w:rsidP="007625F6">
      <w:pPr>
        <w:spacing w:before="0" w:after="0" w:line="269" w:lineRule="auto"/>
        <w:rPr>
          <w:lang w:val="en-NZ" w:eastAsia="en-NZ"/>
        </w:rPr>
      </w:pPr>
      <w:r w:rsidRPr="007C4455">
        <w:rPr>
          <w:lang w:val="en-NZ" w:eastAsia="en-NZ"/>
        </w:rPr>
        <w:t>Angus Maxwell</w:t>
      </w:r>
    </w:p>
    <w:p w14:paraId="10D96765" w14:textId="77777777" w:rsidR="007C4455" w:rsidRPr="007C4455" w:rsidRDefault="007C4455" w:rsidP="007625F6">
      <w:pPr>
        <w:spacing w:before="0" w:after="0" w:line="269" w:lineRule="auto"/>
        <w:rPr>
          <w:lang w:val="en-NZ" w:eastAsia="en-NZ"/>
        </w:rPr>
      </w:pPr>
      <w:proofErr w:type="spellStart"/>
      <w:r w:rsidRPr="007C4455">
        <w:rPr>
          <w:lang w:val="en-NZ" w:eastAsia="en-NZ"/>
        </w:rPr>
        <w:t>Annmaree</w:t>
      </w:r>
      <w:proofErr w:type="spellEnd"/>
      <w:r w:rsidRPr="007C4455">
        <w:rPr>
          <w:lang w:val="en-NZ" w:eastAsia="en-NZ"/>
        </w:rPr>
        <w:t xml:space="preserve"> </w:t>
      </w:r>
      <w:proofErr w:type="spellStart"/>
      <w:r w:rsidRPr="007C4455">
        <w:rPr>
          <w:lang w:val="en-NZ" w:eastAsia="en-NZ"/>
        </w:rPr>
        <w:t>Kingi</w:t>
      </w:r>
      <w:proofErr w:type="spellEnd"/>
    </w:p>
    <w:p w14:paraId="7F6048F5" w14:textId="77777777" w:rsidR="007C4455" w:rsidRPr="007C4455" w:rsidRDefault="007C4455" w:rsidP="007625F6">
      <w:pPr>
        <w:spacing w:before="0" w:after="0" w:line="269" w:lineRule="auto"/>
        <w:rPr>
          <w:lang w:val="en-NZ" w:eastAsia="en-NZ"/>
        </w:rPr>
      </w:pPr>
      <w:r w:rsidRPr="007C4455">
        <w:rPr>
          <w:lang w:val="en-NZ" w:eastAsia="en-NZ"/>
        </w:rPr>
        <w:t xml:space="preserve">Beverley </w:t>
      </w:r>
      <w:proofErr w:type="spellStart"/>
      <w:r w:rsidRPr="007C4455">
        <w:rPr>
          <w:lang w:val="en-NZ" w:eastAsia="en-NZ"/>
        </w:rPr>
        <w:t>Raimona</w:t>
      </w:r>
      <w:proofErr w:type="spellEnd"/>
      <w:r w:rsidRPr="007C4455">
        <w:rPr>
          <w:lang w:val="en-NZ" w:eastAsia="en-NZ"/>
        </w:rPr>
        <w:t xml:space="preserve"> </w:t>
      </w:r>
    </w:p>
    <w:p w14:paraId="2BDBD2D8" w14:textId="77777777" w:rsidR="007C4455" w:rsidRPr="007C4455" w:rsidRDefault="007C4455" w:rsidP="007625F6">
      <w:pPr>
        <w:spacing w:before="0" w:after="0" w:line="269" w:lineRule="auto"/>
        <w:rPr>
          <w:lang w:val="en-NZ" w:eastAsia="en-NZ"/>
        </w:rPr>
      </w:pPr>
      <w:r w:rsidRPr="007C4455">
        <w:rPr>
          <w:lang w:val="en-NZ" w:eastAsia="en-NZ"/>
        </w:rPr>
        <w:t xml:space="preserve">Bonnie McLean </w:t>
      </w:r>
    </w:p>
    <w:p w14:paraId="2B347B6A" w14:textId="77777777" w:rsidR="007C4455" w:rsidRPr="007C4455" w:rsidRDefault="007C4455" w:rsidP="007625F6">
      <w:pPr>
        <w:spacing w:before="0" w:after="0" w:line="269" w:lineRule="auto"/>
        <w:rPr>
          <w:lang w:val="en-NZ" w:eastAsia="en-NZ"/>
        </w:rPr>
      </w:pPr>
      <w:r w:rsidRPr="007C4455">
        <w:rPr>
          <w:lang w:val="en-NZ" w:eastAsia="en-NZ"/>
        </w:rPr>
        <w:t>Chris Bean</w:t>
      </w:r>
    </w:p>
    <w:p w14:paraId="176F6E46" w14:textId="77777777" w:rsidR="007C4455" w:rsidRPr="007C4455" w:rsidRDefault="007C4455" w:rsidP="007625F6">
      <w:pPr>
        <w:spacing w:before="0" w:after="0" w:line="269" w:lineRule="auto"/>
        <w:rPr>
          <w:lang w:val="en-NZ" w:eastAsia="en-NZ"/>
        </w:rPr>
      </w:pPr>
      <w:r w:rsidRPr="007C4455">
        <w:rPr>
          <w:lang w:val="en-NZ" w:eastAsia="en-NZ"/>
        </w:rPr>
        <w:t xml:space="preserve">Deb Lee </w:t>
      </w:r>
    </w:p>
    <w:p w14:paraId="28E621F6" w14:textId="77777777" w:rsidR="007C4455" w:rsidRPr="007C4455" w:rsidRDefault="007C4455" w:rsidP="007625F6">
      <w:pPr>
        <w:spacing w:before="0" w:after="0" w:line="269" w:lineRule="auto"/>
        <w:rPr>
          <w:lang w:val="en-NZ" w:eastAsia="en-NZ"/>
        </w:rPr>
      </w:pPr>
      <w:r w:rsidRPr="007C4455">
        <w:rPr>
          <w:lang w:val="en-NZ" w:eastAsia="en-NZ"/>
        </w:rPr>
        <w:t xml:space="preserve">Dr </w:t>
      </w:r>
      <w:proofErr w:type="spellStart"/>
      <w:r w:rsidRPr="007C4455">
        <w:rPr>
          <w:lang w:val="en-NZ" w:eastAsia="en-NZ"/>
        </w:rPr>
        <w:t>Erena</w:t>
      </w:r>
      <w:proofErr w:type="spellEnd"/>
      <w:r w:rsidRPr="007C4455">
        <w:rPr>
          <w:lang w:val="en-NZ" w:eastAsia="en-NZ"/>
        </w:rPr>
        <w:t xml:space="preserve"> </w:t>
      </w:r>
      <w:proofErr w:type="spellStart"/>
      <w:r w:rsidRPr="007C4455">
        <w:rPr>
          <w:lang w:val="en-NZ" w:eastAsia="en-NZ"/>
        </w:rPr>
        <w:t>Wikaire</w:t>
      </w:r>
      <w:proofErr w:type="spellEnd"/>
    </w:p>
    <w:p w14:paraId="1FB1AC7E" w14:textId="77777777" w:rsidR="007C4455" w:rsidRPr="007C4455" w:rsidRDefault="007C4455" w:rsidP="007625F6">
      <w:pPr>
        <w:spacing w:before="0" w:after="0" w:line="269" w:lineRule="auto"/>
        <w:rPr>
          <w:lang w:val="en-NZ" w:eastAsia="en-NZ"/>
        </w:rPr>
      </w:pPr>
      <w:r w:rsidRPr="007C4455">
        <w:rPr>
          <w:lang w:val="en-NZ" w:eastAsia="en-NZ"/>
        </w:rPr>
        <w:t xml:space="preserve">Eileen </w:t>
      </w:r>
      <w:proofErr w:type="spellStart"/>
      <w:r w:rsidRPr="007C4455">
        <w:rPr>
          <w:lang w:val="en-NZ" w:eastAsia="en-NZ"/>
        </w:rPr>
        <w:t>Wolland</w:t>
      </w:r>
      <w:proofErr w:type="spellEnd"/>
    </w:p>
    <w:p w14:paraId="7E33143E" w14:textId="77777777" w:rsidR="007C4455" w:rsidRPr="007C4455" w:rsidRDefault="007C4455" w:rsidP="007625F6">
      <w:pPr>
        <w:spacing w:before="0" w:after="0" w:line="269" w:lineRule="auto"/>
        <w:rPr>
          <w:lang w:val="en-NZ" w:eastAsia="en-NZ"/>
        </w:rPr>
      </w:pPr>
      <w:r w:rsidRPr="007C4455">
        <w:rPr>
          <w:lang w:val="en-NZ" w:eastAsia="en-NZ"/>
        </w:rPr>
        <w:t>Ellen Duckworth</w:t>
      </w:r>
    </w:p>
    <w:p w14:paraId="089C90C1" w14:textId="733ADF3E" w:rsidR="007C4455" w:rsidRDefault="007C4455" w:rsidP="007625F6">
      <w:pPr>
        <w:spacing w:before="0" w:after="0" w:line="269" w:lineRule="auto"/>
        <w:rPr>
          <w:lang w:val="en-NZ" w:eastAsia="en-NZ"/>
        </w:rPr>
      </w:pPr>
      <w:r w:rsidRPr="007C4455">
        <w:rPr>
          <w:lang w:val="en-NZ" w:eastAsia="en-NZ"/>
        </w:rPr>
        <w:t>Jacqueline Ryan</w:t>
      </w:r>
    </w:p>
    <w:p w14:paraId="34934389" w14:textId="1E07273B" w:rsidR="004D55C8" w:rsidRPr="007C4455" w:rsidRDefault="004D55C8" w:rsidP="007625F6">
      <w:pPr>
        <w:spacing w:before="0" w:after="0" w:line="269" w:lineRule="auto"/>
        <w:rPr>
          <w:lang w:val="en-NZ" w:eastAsia="en-NZ"/>
        </w:rPr>
      </w:pPr>
      <w:r>
        <w:rPr>
          <w:lang w:val="en-NZ" w:eastAsia="en-NZ"/>
        </w:rPr>
        <w:t>Janet Peters</w:t>
      </w:r>
    </w:p>
    <w:p w14:paraId="7969E3E6" w14:textId="66EC2C98" w:rsidR="007C4455" w:rsidRDefault="007C4455" w:rsidP="007625F6">
      <w:pPr>
        <w:spacing w:before="0" w:after="0" w:line="269" w:lineRule="auto"/>
        <w:rPr>
          <w:lang w:val="en-NZ" w:eastAsia="en-NZ"/>
        </w:rPr>
      </w:pPr>
      <w:r w:rsidRPr="007C4455">
        <w:rPr>
          <w:lang w:val="en-NZ" w:eastAsia="en-NZ"/>
        </w:rPr>
        <w:t>Jenny Wolf</w:t>
      </w:r>
    </w:p>
    <w:p w14:paraId="0D77AA66" w14:textId="42D0C31A" w:rsidR="009621D0" w:rsidRPr="007C4455" w:rsidRDefault="009621D0" w:rsidP="007625F6">
      <w:pPr>
        <w:spacing w:before="0" w:after="0" w:line="269" w:lineRule="auto"/>
        <w:rPr>
          <w:lang w:val="en-NZ" w:eastAsia="en-NZ"/>
        </w:rPr>
      </w:pPr>
      <w:r w:rsidRPr="009621D0">
        <w:rPr>
          <w:lang w:val="en-NZ" w:eastAsia="en-NZ"/>
        </w:rPr>
        <w:t>Josiah Tualamali'i and Dr Jemaima Tiatia-Seath</w:t>
      </w:r>
    </w:p>
    <w:p w14:paraId="6E58D9B3" w14:textId="77777777" w:rsidR="007C4455" w:rsidRPr="007C4455" w:rsidRDefault="007C4455" w:rsidP="007625F6">
      <w:pPr>
        <w:spacing w:before="0" w:after="0" w:line="269" w:lineRule="auto"/>
        <w:rPr>
          <w:lang w:val="en-NZ" w:eastAsia="en-NZ"/>
        </w:rPr>
      </w:pPr>
      <w:r w:rsidRPr="007C4455">
        <w:rPr>
          <w:lang w:val="en-NZ" w:eastAsia="en-NZ"/>
        </w:rPr>
        <w:t>Justin Clinton-</w:t>
      </w:r>
      <w:proofErr w:type="spellStart"/>
      <w:r w:rsidRPr="007C4455">
        <w:rPr>
          <w:lang w:val="en-NZ" w:eastAsia="en-NZ"/>
        </w:rPr>
        <w:t>Gohdes</w:t>
      </w:r>
      <w:proofErr w:type="spellEnd"/>
    </w:p>
    <w:p w14:paraId="61A49EA3" w14:textId="77777777" w:rsidR="007C4455" w:rsidRPr="007C4455" w:rsidRDefault="007C4455" w:rsidP="007625F6">
      <w:pPr>
        <w:spacing w:before="0" w:after="0" w:line="269" w:lineRule="auto"/>
        <w:rPr>
          <w:lang w:val="en-NZ" w:eastAsia="en-NZ"/>
        </w:rPr>
      </w:pPr>
      <w:r w:rsidRPr="007C4455">
        <w:rPr>
          <w:lang w:val="en-NZ" w:eastAsia="en-NZ"/>
        </w:rPr>
        <w:t>Leigh Murray</w:t>
      </w:r>
    </w:p>
    <w:p w14:paraId="0366C1BD" w14:textId="77777777" w:rsidR="007C4455" w:rsidRPr="007C4455" w:rsidRDefault="007C4455" w:rsidP="007625F6">
      <w:pPr>
        <w:spacing w:before="0" w:after="0" w:line="269" w:lineRule="auto"/>
        <w:rPr>
          <w:lang w:val="en-NZ" w:eastAsia="en-NZ"/>
        </w:rPr>
      </w:pPr>
      <w:r w:rsidRPr="007C4455">
        <w:rPr>
          <w:lang w:val="en-NZ" w:eastAsia="en-NZ"/>
        </w:rPr>
        <w:t xml:space="preserve">Lisa </w:t>
      </w:r>
      <w:proofErr w:type="spellStart"/>
      <w:r w:rsidRPr="007C4455">
        <w:rPr>
          <w:lang w:val="en-NZ" w:eastAsia="en-NZ"/>
        </w:rPr>
        <w:t>Baty</w:t>
      </w:r>
      <w:proofErr w:type="spellEnd"/>
    </w:p>
    <w:p w14:paraId="18232011" w14:textId="77777777" w:rsidR="007C4455" w:rsidRPr="007C4455" w:rsidRDefault="007C4455" w:rsidP="007625F6">
      <w:pPr>
        <w:spacing w:before="0" w:after="0" w:line="269" w:lineRule="auto"/>
        <w:rPr>
          <w:lang w:val="en-NZ" w:eastAsia="en-NZ"/>
        </w:rPr>
      </w:pPr>
      <w:r w:rsidRPr="007C4455">
        <w:rPr>
          <w:lang w:val="en-NZ" w:eastAsia="en-NZ"/>
        </w:rPr>
        <w:t>Liz Mangan</w:t>
      </w:r>
    </w:p>
    <w:p w14:paraId="1691ECB1" w14:textId="11F28A1D" w:rsidR="007C4455" w:rsidRPr="007C4455" w:rsidRDefault="007C4455" w:rsidP="007625F6">
      <w:pPr>
        <w:spacing w:before="0" w:after="0" w:line="269" w:lineRule="auto"/>
        <w:rPr>
          <w:lang w:val="en-NZ" w:eastAsia="en-NZ"/>
        </w:rPr>
      </w:pPr>
      <w:proofErr w:type="spellStart"/>
      <w:r w:rsidRPr="007C4455">
        <w:rPr>
          <w:lang w:val="en-NZ" w:eastAsia="en-NZ"/>
        </w:rPr>
        <w:t>loa</w:t>
      </w:r>
      <w:proofErr w:type="spellEnd"/>
      <w:r w:rsidRPr="007C4455">
        <w:rPr>
          <w:lang w:val="en-NZ" w:eastAsia="en-NZ"/>
        </w:rPr>
        <w:t xml:space="preserve"> </w:t>
      </w:r>
      <w:proofErr w:type="spellStart"/>
      <w:r w:rsidR="00ED784C">
        <w:rPr>
          <w:lang w:val="en-NZ" w:eastAsia="en-NZ"/>
        </w:rPr>
        <w:t>H</w:t>
      </w:r>
      <w:r w:rsidRPr="007C4455">
        <w:rPr>
          <w:lang w:val="en-NZ" w:eastAsia="en-NZ"/>
        </w:rPr>
        <w:t>alaholo</w:t>
      </w:r>
      <w:proofErr w:type="spellEnd"/>
    </w:p>
    <w:p w14:paraId="773204D6" w14:textId="77777777" w:rsidR="007C4455" w:rsidRPr="007C4455" w:rsidRDefault="007C4455" w:rsidP="007625F6">
      <w:pPr>
        <w:spacing w:before="0" w:after="0" w:line="269" w:lineRule="auto"/>
        <w:rPr>
          <w:lang w:val="en-NZ" w:eastAsia="en-NZ"/>
        </w:rPr>
      </w:pPr>
      <w:proofErr w:type="spellStart"/>
      <w:r w:rsidRPr="007C4455">
        <w:rPr>
          <w:lang w:val="en-NZ" w:eastAsia="en-NZ"/>
        </w:rPr>
        <w:t>Lynere</w:t>
      </w:r>
      <w:proofErr w:type="spellEnd"/>
      <w:r w:rsidRPr="007C4455">
        <w:rPr>
          <w:lang w:val="en-NZ" w:eastAsia="en-NZ"/>
        </w:rPr>
        <w:t xml:space="preserve"> Wilson</w:t>
      </w:r>
    </w:p>
    <w:p w14:paraId="54F06AF8" w14:textId="77777777" w:rsidR="007C4455" w:rsidRPr="007C4455" w:rsidRDefault="007C4455" w:rsidP="007625F6">
      <w:pPr>
        <w:spacing w:before="0" w:after="0" w:line="269" w:lineRule="auto"/>
        <w:rPr>
          <w:lang w:val="en-NZ" w:eastAsia="en-NZ"/>
        </w:rPr>
      </w:pPr>
      <w:r w:rsidRPr="007C4455">
        <w:rPr>
          <w:lang w:val="en-NZ" w:eastAsia="en-NZ"/>
        </w:rPr>
        <w:t>M Sands</w:t>
      </w:r>
    </w:p>
    <w:p w14:paraId="26449538" w14:textId="77777777" w:rsidR="007C4455" w:rsidRPr="007C4455" w:rsidRDefault="007C4455" w:rsidP="007625F6">
      <w:pPr>
        <w:spacing w:before="0" w:after="0" w:line="269" w:lineRule="auto"/>
        <w:rPr>
          <w:lang w:val="en-NZ" w:eastAsia="en-NZ"/>
        </w:rPr>
      </w:pPr>
      <w:r w:rsidRPr="007C4455">
        <w:rPr>
          <w:lang w:val="en-NZ" w:eastAsia="en-NZ"/>
        </w:rPr>
        <w:t>Martha Savage</w:t>
      </w:r>
    </w:p>
    <w:p w14:paraId="301D591D" w14:textId="77777777" w:rsidR="007C4455" w:rsidRPr="007C4455" w:rsidRDefault="007C4455" w:rsidP="007625F6">
      <w:pPr>
        <w:spacing w:before="0" w:after="0" w:line="269" w:lineRule="auto"/>
        <w:rPr>
          <w:lang w:val="en-NZ" w:eastAsia="en-NZ"/>
        </w:rPr>
      </w:pPr>
      <w:r w:rsidRPr="007C4455">
        <w:rPr>
          <w:lang w:val="en-NZ" w:eastAsia="en-NZ"/>
        </w:rPr>
        <w:t>Maryse Stanton</w:t>
      </w:r>
    </w:p>
    <w:p w14:paraId="70F08A38" w14:textId="77777777" w:rsidR="007C4455" w:rsidRPr="007C4455" w:rsidRDefault="007C4455" w:rsidP="007625F6">
      <w:pPr>
        <w:spacing w:before="0" w:after="0" w:line="269" w:lineRule="auto"/>
        <w:rPr>
          <w:lang w:val="en-NZ" w:eastAsia="en-NZ"/>
        </w:rPr>
      </w:pPr>
      <w:r w:rsidRPr="007C4455">
        <w:rPr>
          <w:lang w:val="en-NZ" w:eastAsia="en-NZ"/>
        </w:rPr>
        <w:t>Michelle Brewerton</w:t>
      </w:r>
    </w:p>
    <w:p w14:paraId="56F37AA2" w14:textId="77777777" w:rsidR="007C4455" w:rsidRPr="007C4455" w:rsidRDefault="007C4455" w:rsidP="007625F6">
      <w:pPr>
        <w:spacing w:before="0" w:after="0" w:line="269" w:lineRule="auto"/>
        <w:rPr>
          <w:lang w:val="en-NZ" w:eastAsia="en-NZ"/>
        </w:rPr>
      </w:pPr>
      <w:r w:rsidRPr="007C4455">
        <w:rPr>
          <w:lang w:val="en-NZ" w:eastAsia="en-NZ"/>
        </w:rPr>
        <w:t xml:space="preserve">Monica </w:t>
      </w:r>
      <w:proofErr w:type="spellStart"/>
      <w:r w:rsidRPr="007C4455">
        <w:rPr>
          <w:lang w:val="en-NZ" w:eastAsia="en-NZ"/>
        </w:rPr>
        <w:t>Liva</w:t>
      </w:r>
      <w:proofErr w:type="spellEnd"/>
    </w:p>
    <w:p w14:paraId="55B46F18" w14:textId="77777777" w:rsidR="007C4455" w:rsidRPr="007C4455" w:rsidRDefault="007C4455" w:rsidP="007625F6">
      <w:pPr>
        <w:spacing w:before="0" w:after="0" w:line="269" w:lineRule="auto"/>
        <w:rPr>
          <w:lang w:val="en-NZ" w:eastAsia="en-NZ"/>
        </w:rPr>
      </w:pPr>
      <w:proofErr w:type="spellStart"/>
      <w:r w:rsidRPr="007C4455">
        <w:rPr>
          <w:lang w:val="en-NZ" w:eastAsia="en-NZ"/>
        </w:rPr>
        <w:t>Ngaire</w:t>
      </w:r>
      <w:proofErr w:type="spellEnd"/>
      <w:r w:rsidRPr="007C4455">
        <w:rPr>
          <w:lang w:val="en-NZ" w:eastAsia="en-NZ"/>
        </w:rPr>
        <w:t xml:space="preserve"> Te Ahu</w:t>
      </w:r>
    </w:p>
    <w:p w14:paraId="0616C82F" w14:textId="77777777" w:rsidR="007C4455" w:rsidRPr="007C4455" w:rsidRDefault="007C4455" w:rsidP="007625F6">
      <w:pPr>
        <w:spacing w:before="0" w:after="0" w:line="269" w:lineRule="auto"/>
        <w:rPr>
          <w:lang w:val="en-NZ" w:eastAsia="en-NZ"/>
        </w:rPr>
      </w:pPr>
      <w:r w:rsidRPr="007C4455">
        <w:rPr>
          <w:lang w:val="en-NZ" w:eastAsia="en-NZ"/>
        </w:rPr>
        <w:t>Owen Lloyd</w:t>
      </w:r>
    </w:p>
    <w:p w14:paraId="330A6C19" w14:textId="77777777" w:rsidR="007C4455" w:rsidRPr="007C4455" w:rsidRDefault="007C4455" w:rsidP="007625F6">
      <w:pPr>
        <w:spacing w:before="0" w:after="0" w:line="269" w:lineRule="auto"/>
        <w:rPr>
          <w:lang w:val="en-NZ" w:eastAsia="en-NZ"/>
        </w:rPr>
      </w:pPr>
      <w:r w:rsidRPr="007C4455">
        <w:rPr>
          <w:lang w:val="en-NZ" w:eastAsia="en-NZ"/>
        </w:rPr>
        <w:t>Paul Matthews</w:t>
      </w:r>
    </w:p>
    <w:p w14:paraId="31E1B753" w14:textId="77777777" w:rsidR="007C4455" w:rsidRPr="007C4455" w:rsidRDefault="007C4455" w:rsidP="007625F6">
      <w:pPr>
        <w:spacing w:before="0" w:after="0" w:line="269" w:lineRule="auto"/>
        <w:rPr>
          <w:lang w:val="en-NZ" w:eastAsia="en-NZ"/>
        </w:rPr>
      </w:pPr>
      <w:proofErr w:type="spellStart"/>
      <w:r w:rsidRPr="007C4455">
        <w:rPr>
          <w:lang w:val="en-NZ" w:eastAsia="en-NZ"/>
        </w:rPr>
        <w:t>Sherida</w:t>
      </w:r>
      <w:proofErr w:type="spellEnd"/>
      <w:r w:rsidRPr="007C4455">
        <w:rPr>
          <w:lang w:val="en-NZ" w:eastAsia="en-NZ"/>
        </w:rPr>
        <w:t xml:space="preserve"> Davy</w:t>
      </w:r>
    </w:p>
    <w:p w14:paraId="3B42C67E" w14:textId="77777777" w:rsidR="007C4455" w:rsidRPr="007C4455" w:rsidRDefault="007C4455" w:rsidP="007625F6">
      <w:pPr>
        <w:spacing w:before="0" w:after="0" w:line="269" w:lineRule="auto"/>
        <w:rPr>
          <w:lang w:val="en-NZ" w:eastAsia="en-NZ"/>
        </w:rPr>
      </w:pPr>
      <w:r w:rsidRPr="007C4455">
        <w:rPr>
          <w:lang w:val="en-NZ" w:eastAsia="en-NZ"/>
        </w:rPr>
        <w:t>Tina Berryman-Kamp</w:t>
      </w:r>
    </w:p>
    <w:p w14:paraId="58725A91" w14:textId="35B3041E" w:rsidR="007C4455" w:rsidRPr="007C4455" w:rsidRDefault="007C4455" w:rsidP="007625F6">
      <w:pPr>
        <w:spacing w:before="0" w:after="0" w:line="269" w:lineRule="auto"/>
        <w:rPr>
          <w:lang w:val="en-NZ" w:eastAsia="en-NZ"/>
        </w:rPr>
      </w:pPr>
      <w:r w:rsidRPr="007C4455">
        <w:rPr>
          <w:lang w:val="en-NZ" w:eastAsia="en-NZ"/>
        </w:rPr>
        <w:t xml:space="preserve">Tina Simcock </w:t>
      </w:r>
    </w:p>
    <w:p w14:paraId="1F0A8BCA" w14:textId="77777777" w:rsidR="007C4455" w:rsidRDefault="007C4455" w:rsidP="007E043C">
      <w:pPr>
        <w:spacing w:after="120" w:line="269" w:lineRule="auto"/>
        <w:rPr>
          <w:lang w:val="en-NZ"/>
        </w:rPr>
        <w:sectPr w:rsidR="007C4455" w:rsidSect="007C4455">
          <w:type w:val="continuous"/>
          <w:pgSz w:w="11906" w:h="16838"/>
          <w:pgMar w:top="1440" w:right="1440" w:bottom="1440" w:left="1440" w:header="708" w:footer="708" w:gutter="0"/>
          <w:cols w:num="2" w:space="708"/>
          <w:titlePg/>
          <w:docGrid w:linePitch="360"/>
        </w:sectPr>
      </w:pPr>
    </w:p>
    <w:p w14:paraId="3FFB80E4" w14:textId="1981AE5B" w:rsidR="00602CD2" w:rsidRDefault="00CE3717" w:rsidP="007E043C">
      <w:pPr>
        <w:spacing w:after="120" w:line="269" w:lineRule="auto"/>
        <w:rPr>
          <w:lang w:val="en-NZ"/>
        </w:rPr>
      </w:pPr>
      <w:r>
        <w:rPr>
          <w:lang w:val="en-NZ"/>
        </w:rPr>
        <w:t>+ 16 other individual submitters who did not wish to be named</w:t>
      </w:r>
    </w:p>
    <w:p w14:paraId="5A11F559" w14:textId="77777777" w:rsidR="00FD5A92" w:rsidRDefault="00FD5A92" w:rsidP="007E043C">
      <w:pPr>
        <w:pStyle w:val="Heading3"/>
        <w:spacing w:before="120" w:after="120" w:line="269" w:lineRule="auto"/>
      </w:pPr>
      <w:r>
        <w:t>Groups or organisations</w:t>
      </w:r>
    </w:p>
    <w:p w14:paraId="2B583D05" w14:textId="77777777" w:rsidR="00CE3717" w:rsidRPr="00CE3717" w:rsidRDefault="00CE3717" w:rsidP="007625F6">
      <w:pPr>
        <w:spacing w:before="0" w:after="0" w:line="269" w:lineRule="auto"/>
        <w:rPr>
          <w:lang w:val="en-NZ" w:eastAsia="en-NZ"/>
        </w:rPr>
      </w:pPr>
      <w:r w:rsidRPr="00CE3717">
        <w:rPr>
          <w:lang w:val="en-NZ" w:eastAsia="en-NZ"/>
        </w:rPr>
        <w:t>Addiction Consumer Leadership Group (Te Pou)</w:t>
      </w:r>
    </w:p>
    <w:p w14:paraId="1D063DBB" w14:textId="39522972" w:rsidR="007C4455" w:rsidRDefault="007C4455" w:rsidP="007625F6">
      <w:pPr>
        <w:spacing w:before="0" w:after="0" w:line="269" w:lineRule="auto"/>
        <w:rPr>
          <w:lang w:val="en-NZ" w:eastAsia="en-NZ"/>
        </w:rPr>
      </w:pPr>
      <w:r w:rsidRPr="007C4455">
        <w:rPr>
          <w:lang w:val="en-NZ" w:eastAsia="en-NZ"/>
        </w:rPr>
        <w:t>Age Concern New Zealand</w:t>
      </w:r>
    </w:p>
    <w:p w14:paraId="200CCA37" w14:textId="2A61AF24" w:rsidR="00257405" w:rsidRDefault="00257405" w:rsidP="007625F6">
      <w:pPr>
        <w:spacing w:before="0" w:after="0" w:line="269" w:lineRule="auto"/>
        <w:rPr>
          <w:lang w:val="en-NZ" w:eastAsia="en-NZ"/>
        </w:rPr>
      </w:pPr>
      <w:proofErr w:type="spellStart"/>
      <w:r>
        <w:rPr>
          <w:lang w:val="en-NZ" w:eastAsia="en-NZ"/>
        </w:rPr>
        <w:t>Alzheimers</w:t>
      </w:r>
      <w:proofErr w:type="spellEnd"/>
      <w:r>
        <w:rPr>
          <w:lang w:val="en-NZ" w:eastAsia="en-NZ"/>
        </w:rPr>
        <w:t xml:space="preserve"> New Zealand</w:t>
      </w:r>
    </w:p>
    <w:p w14:paraId="5B5A5B74" w14:textId="74AA7881" w:rsidR="00C8031A" w:rsidRPr="007C4455" w:rsidRDefault="00C8031A" w:rsidP="007625F6">
      <w:pPr>
        <w:spacing w:before="0" w:after="0" w:line="269" w:lineRule="auto"/>
        <w:rPr>
          <w:lang w:val="en-NZ" w:eastAsia="en-NZ"/>
        </w:rPr>
      </w:pPr>
      <w:r>
        <w:rPr>
          <w:lang w:val="en-NZ" w:eastAsia="en-NZ"/>
        </w:rPr>
        <w:t>Ara Poutama Aotearoa, Department of Corrections</w:t>
      </w:r>
    </w:p>
    <w:p w14:paraId="137ADEBE" w14:textId="77777777" w:rsidR="007C4455" w:rsidRPr="007C4455" w:rsidRDefault="007C4455" w:rsidP="007625F6">
      <w:pPr>
        <w:spacing w:before="0" w:after="0" w:line="269" w:lineRule="auto"/>
        <w:rPr>
          <w:lang w:val="en-NZ" w:eastAsia="en-NZ"/>
        </w:rPr>
      </w:pPr>
      <w:r w:rsidRPr="007C4455">
        <w:rPr>
          <w:lang w:val="en-NZ" w:eastAsia="en-NZ"/>
        </w:rPr>
        <w:t>Asian Family Services</w:t>
      </w:r>
    </w:p>
    <w:p w14:paraId="6BBFCE27" w14:textId="77777777" w:rsidR="007C4455" w:rsidRPr="007C4455" w:rsidRDefault="007C4455" w:rsidP="007625F6">
      <w:pPr>
        <w:spacing w:before="0" w:after="0" w:line="269" w:lineRule="auto"/>
        <w:rPr>
          <w:lang w:val="en-NZ" w:eastAsia="en-NZ"/>
        </w:rPr>
      </w:pPr>
      <w:r w:rsidRPr="007C4455">
        <w:rPr>
          <w:lang w:val="en-NZ" w:eastAsia="en-NZ"/>
        </w:rPr>
        <w:t>Auckland Sexual Abuse HELP Foundation</w:t>
      </w:r>
    </w:p>
    <w:p w14:paraId="385491AC" w14:textId="071D7B06" w:rsidR="007C4455" w:rsidRDefault="007C4455" w:rsidP="007625F6">
      <w:pPr>
        <w:spacing w:before="0" w:after="0" w:line="269" w:lineRule="auto"/>
        <w:rPr>
          <w:lang w:val="en-NZ" w:eastAsia="en-NZ"/>
        </w:rPr>
      </w:pPr>
      <w:r w:rsidRPr="007C4455">
        <w:rPr>
          <w:lang w:val="en-NZ" w:eastAsia="en-NZ"/>
        </w:rPr>
        <w:t>Australasian College for Emergency Medicine</w:t>
      </w:r>
    </w:p>
    <w:p w14:paraId="578C365D" w14:textId="70A2A79E" w:rsidR="00AD5B3A" w:rsidRDefault="00AD5B3A" w:rsidP="007625F6">
      <w:pPr>
        <w:spacing w:before="0" w:after="0" w:line="269" w:lineRule="auto"/>
        <w:rPr>
          <w:lang w:val="en-NZ" w:eastAsia="en-NZ"/>
        </w:rPr>
      </w:pPr>
      <w:r>
        <w:rPr>
          <w:lang w:val="en-NZ" w:eastAsia="en-NZ"/>
        </w:rPr>
        <w:t>Awareness Canterbury</w:t>
      </w:r>
    </w:p>
    <w:p w14:paraId="1F6555B8" w14:textId="77777777" w:rsidR="007C4455" w:rsidRPr="007C4455" w:rsidRDefault="007C4455" w:rsidP="007625F6">
      <w:pPr>
        <w:spacing w:before="0" w:after="0" w:line="269" w:lineRule="auto"/>
        <w:rPr>
          <w:lang w:val="en-NZ" w:eastAsia="en-NZ"/>
        </w:rPr>
      </w:pPr>
      <w:r w:rsidRPr="007C4455">
        <w:rPr>
          <w:lang w:val="en-NZ" w:eastAsia="en-NZ"/>
        </w:rPr>
        <w:t>Balance Aotearoa</w:t>
      </w:r>
    </w:p>
    <w:p w14:paraId="0D962C58" w14:textId="77777777" w:rsidR="007C4455" w:rsidRPr="007C4455" w:rsidRDefault="007C4455" w:rsidP="007625F6">
      <w:pPr>
        <w:spacing w:before="0" w:after="0" w:line="269" w:lineRule="auto"/>
        <w:rPr>
          <w:lang w:val="en-NZ" w:eastAsia="en-NZ"/>
        </w:rPr>
      </w:pPr>
      <w:r w:rsidRPr="007C4455">
        <w:rPr>
          <w:lang w:val="en-NZ" w:eastAsia="en-NZ"/>
        </w:rPr>
        <w:t>Canterbury District Health Board</w:t>
      </w:r>
    </w:p>
    <w:p w14:paraId="552FDDCC" w14:textId="77777777" w:rsidR="007C4455" w:rsidRPr="007C4455" w:rsidRDefault="007C4455" w:rsidP="007625F6">
      <w:pPr>
        <w:spacing w:before="0" w:after="0" w:line="269" w:lineRule="auto"/>
        <w:rPr>
          <w:lang w:val="en-NZ" w:eastAsia="en-NZ"/>
        </w:rPr>
      </w:pPr>
      <w:r w:rsidRPr="007C4455">
        <w:rPr>
          <w:lang w:val="en-NZ" w:eastAsia="en-NZ"/>
        </w:rPr>
        <w:t>Changing Minds</w:t>
      </w:r>
    </w:p>
    <w:p w14:paraId="285CACEF" w14:textId="2399CE3D" w:rsidR="007C4455" w:rsidRPr="007C4455" w:rsidRDefault="007C4455" w:rsidP="007625F6">
      <w:pPr>
        <w:spacing w:before="0" w:after="0" w:line="269" w:lineRule="auto"/>
        <w:rPr>
          <w:lang w:val="en-NZ" w:eastAsia="en-NZ"/>
        </w:rPr>
      </w:pPr>
      <w:r w:rsidRPr="00FD5A92">
        <w:rPr>
          <w:lang w:val="en-NZ" w:eastAsia="en-NZ"/>
        </w:rPr>
        <w:t>Enrolled Nurse Section NZNO</w:t>
      </w:r>
      <w:r w:rsidR="002236EF">
        <w:rPr>
          <w:lang w:val="en-NZ" w:eastAsia="en-NZ"/>
        </w:rPr>
        <w:t xml:space="preserve"> </w:t>
      </w:r>
    </w:p>
    <w:p w14:paraId="06630DCA" w14:textId="76FD1748" w:rsidR="007C4455" w:rsidRDefault="007C4455" w:rsidP="007625F6">
      <w:pPr>
        <w:spacing w:before="0" w:after="0" w:line="269" w:lineRule="auto"/>
        <w:rPr>
          <w:lang w:val="en-NZ" w:eastAsia="en-NZ"/>
        </w:rPr>
      </w:pPr>
      <w:r w:rsidRPr="007C4455">
        <w:rPr>
          <w:lang w:val="en-NZ" w:eastAsia="en-NZ"/>
        </w:rPr>
        <w:t>Health Action Trust (Nelson)</w:t>
      </w:r>
    </w:p>
    <w:p w14:paraId="66732FB2" w14:textId="2B588C65" w:rsidR="00FD5A92" w:rsidRPr="007C4455" w:rsidRDefault="00FD5A92" w:rsidP="007625F6">
      <w:pPr>
        <w:spacing w:before="0" w:after="0" w:line="269" w:lineRule="auto"/>
        <w:rPr>
          <w:lang w:val="en-NZ" w:eastAsia="en-NZ"/>
        </w:rPr>
      </w:pPr>
      <w:r w:rsidRPr="009C0BF7">
        <w:rPr>
          <w:lang w:val="en-NZ" w:eastAsia="en-NZ"/>
        </w:rPr>
        <w:t>Health and Disability Commissioner</w:t>
      </w:r>
    </w:p>
    <w:p w14:paraId="2114C45E" w14:textId="77777777" w:rsidR="007C4455" w:rsidRPr="007C4455" w:rsidRDefault="007C4455" w:rsidP="007625F6">
      <w:pPr>
        <w:spacing w:before="0" w:after="0" w:line="269" w:lineRule="auto"/>
        <w:rPr>
          <w:lang w:val="en-NZ" w:eastAsia="en-NZ"/>
        </w:rPr>
      </w:pPr>
      <w:r w:rsidRPr="007C4455">
        <w:rPr>
          <w:lang w:val="en-NZ" w:eastAsia="en-NZ"/>
        </w:rPr>
        <w:t>Health Quality &amp; Safety Commission</w:t>
      </w:r>
    </w:p>
    <w:p w14:paraId="34BE16A7" w14:textId="77777777" w:rsidR="007C4455" w:rsidRPr="007C4455" w:rsidRDefault="007C4455" w:rsidP="007625F6">
      <w:pPr>
        <w:spacing w:before="0" w:after="0" w:line="269" w:lineRule="auto"/>
        <w:rPr>
          <w:lang w:val="en-NZ" w:eastAsia="en-NZ"/>
        </w:rPr>
      </w:pPr>
      <w:r w:rsidRPr="007C4455">
        <w:rPr>
          <w:lang w:val="en-NZ" w:eastAsia="en-NZ"/>
        </w:rPr>
        <w:t>Healthcare NZ</w:t>
      </w:r>
    </w:p>
    <w:p w14:paraId="7B77C999" w14:textId="06664CB3" w:rsidR="007C4455" w:rsidRPr="007C4455" w:rsidRDefault="007C4455" w:rsidP="008A37B3">
      <w:pPr>
        <w:spacing w:before="0" w:after="0" w:line="269" w:lineRule="auto"/>
        <w:ind w:left="284" w:hanging="284"/>
        <w:rPr>
          <w:lang w:val="en-NZ" w:eastAsia="en-NZ"/>
        </w:rPr>
      </w:pPr>
      <w:r w:rsidRPr="007C4455">
        <w:rPr>
          <w:lang w:val="en-NZ" w:eastAsia="en-NZ"/>
        </w:rPr>
        <w:t>Infant Mental Health Association Aotearoa New Zealand</w:t>
      </w:r>
      <w:r w:rsidR="001356D0">
        <w:rPr>
          <w:lang w:val="en-NZ" w:eastAsia="en-NZ"/>
        </w:rPr>
        <w:t xml:space="preserve"> </w:t>
      </w:r>
      <w:r>
        <w:rPr>
          <w:lang w:val="en-NZ" w:eastAsia="en-NZ"/>
        </w:rPr>
        <w:t>(</w:t>
      </w:r>
      <w:r w:rsidRPr="007C4455">
        <w:rPr>
          <w:lang w:val="en-NZ" w:eastAsia="en-NZ"/>
        </w:rPr>
        <w:t>The NZ Affiliate of the World Association for Infant Mental Health</w:t>
      </w:r>
      <w:r>
        <w:rPr>
          <w:lang w:val="en-NZ" w:eastAsia="en-NZ"/>
        </w:rPr>
        <w:t>)</w:t>
      </w:r>
    </w:p>
    <w:p w14:paraId="3D7DF6FB" w14:textId="77777777" w:rsidR="007C4455" w:rsidRPr="007C4455" w:rsidRDefault="007C4455" w:rsidP="007625F6">
      <w:pPr>
        <w:spacing w:before="0" w:after="0" w:line="269" w:lineRule="auto"/>
        <w:rPr>
          <w:lang w:val="en-NZ" w:eastAsia="en-NZ"/>
        </w:rPr>
      </w:pPr>
      <w:proofErr w:type="spellStart"/>
      <w:r w:rsidRPr="007C4455">
        <w:rPr>
          <w:lang w:val="en-NZ" w:eastAsia="en-NZ"/>
        </w:rPr>
        <w:t>InsideOUT</w:t>
      </w:r>
      <w:proofErr w:type="spellEnd"/>
      <w:r w:rsidRPr="007C4455">
        <w:rPr>
          <w:lang w:val="en-NZ" w:eastAsia="en-NZ"/>
        </w:rPr>
        <w:t xml:space="preserve"> </w:t>
      </w:r>
      <w:proofErr w:type="spellStart"/>
      <w:r w:rsidRPr="007C4455">
        <w:rPr>
          <w:lang w:val="en-NZ" w:eastAsia="en-NZ"/>
        </w:rPr>
        <w:t>Kōaro</w:t>
      </w:r>
      <w:proofErr w:type="spellEnd"/>
    </w:p>
    <w:p w14:paraId="2478D387" w14:textId="77777777" w:rsidR="007C4455" w:rsidRPr="007C4455" w:rsidRDefault="007C4455" w:rsidP="007625F6">
      <w:pPr>
        <w:spacing w:before="0" w:after="0" w:line="269" w:lineRule="auto"/>
        <w:rPr>
          <w:lang w:val="en-NZ" w:eastAsia="en-NZ"/>
        </w:rPr>
      </w:pPr>
      <w:r w:rsidRPr="007C4455">
        <w:rPr>
          <w:lang w:val="en-NZ" w:eastAsia="en-NZ"/>
        </w:rPr>
        <w:t>Loneliness New Zealand Charitable Trust</w:t>
      </w:r>
    </w:p>
    <w:p w14:paraId="4A579B70" w14:textId="6E7890F4" w:rsidR="007C4455" w:rsidRDefault="007C4455" w:rsidP="007625F6">
      <w:pPr>
        <w:spacing w:before="0" w:after="0" w:line="269" w:lineRule="auto"/>
        <w:rPr>
          <w:lang w:val="en-NZ" w:eastAsia="en-NZ"/>
        </w:rPr>
      </w:pPr>
      <w:proofErr w:type="spellStart"/>
      <w:r w:rsidRPr="007C4455">
        <w:rPr>
          <w:lang w:val="en-NZ" w:eastAsia="en-NZ"/>
        </w:rPr>
        <w:t>Maraeroa</w:t>
      </w:r>
      <w:proofErr w:type="spellEnd"/>
      <w:r w:rsidRPr="007C4455">
        <w:rPr>
          <w:lang w:val="en-NZ" w:eastAsia="en-NZ"/>
        </w:rPr>
        <w:t xml:space="preserve"> Marae Association Incorporated (</w:t>
      </w:r>
      <w:proofErr w:type="spellStart"/>
      <w:r w:rsidRPr="007C4455">
        <w:rPr>
          <w:lang w:val="en-NZ" w:eastAsia="en-NZ"/>
        </w:rPr>
        <w:t>Maraeroa</w:t>
      </w:r>
      <w:proofErr w:type="spellEnd"/>
      <w:r w:rsidRPr="007C4455">
        <w:rPr>
          <w:lang w:val="en-NZ" w:eastAsia="en-NZ"/>
        </w:rPr>
        <w:t xml:space="preserve"> Marae Health Clinic</w:t>
      </w:r>
      <w:r w:rsidR="00E63F33">
        <w:rPr>
          <w:lang w:val="en-NZ" w:eastAsia="en-NZ"/>
        </w:rPr>
        <w:t>)</w:t>
      </w:r>
    </w:p>
    <w:p w14:paraId="1DF2F6C6" w14:textId="77777777" w:rsidR="007C4455" w:rsidRPr="007C4455" w:rsidRDefault="007C4455" w:rsidP="007625F6">
      <w:pPr>
        <w:spacing w:before="0" w:after="0" w:line="269" w:lineRule="auto"/>
        <w:rPr>
          <w:lang w:val="en-NZ" w:eastAsia="en-NZ"/>
        </w:rPr>
      </w:pPr>
      <w:r w:rsidRPr="007C4455">
        <w:rPr>
          <w:lang w:val="en-NZ" w:eastAsia="en-NZ"/>
        </w:rPr>
        <w:t>Mental Health Foundation</w:t>
      </w:r>
    </w:p>
    <w:p w14:paraId="196BF13B" w14:textId="77777777" w:rsidR="00FD5A92" w:rsidRPr="00CE3717" w:rsidRDefault="00FD5A92" w:rsidP="007625F6">
      <w:pPr>
        <w:spacing w:before="0" w:after="0" w:line="269" w:lineRule="auto"/>
        <w:rPr>
          <w:lang w:val="en-NZ" w:eastAsia="en-NZ"/>
        </w:rPr>
      </w:pPr>
      <w:r w:rsidRPr="00FD5A92">
        <w:rPr>
          <w:lang w:val="en-NZ" w:eastAsia="en-NZ"/>
        </w:rPr>
        <w:t>Mental Health Nurses Section, NZNO</w:t>
      </w:r>
    </w:p>
    <w:p w14:paraId="0CF1D0AA" w14:textId="77777777" w:rsidR="007C4455" w:rsidRPr="007C4455" w:rsidRDefault="007C4455" w:rsidP="007625F6">
      <w:pPr>
        <w:spacing w:before="0" w:after="0" w:line="269" w:lineRule="auto"/>
        <w:rPr>
          <w:lang w:val="en-NZ" w:eastAsia="en-NZ"/>
        </w:rPr>
      </w:pPr>
      <w:r w:rsidRPr="007C4455">
        <w:rPr>
          <w:lang w:val="en-NZ" w:eastAsia="en-NZ"/>
        </w:rPr>
        <w:lastRenderedPageBreak/>
        <w:t>Ministry for Pacific Peoples</w:t>
      </w:r>
    </w:p>
    <w:p w14:paraId="5F911FBC" w14:textId="21E63377" w:rsidR="00CC799C" w:rsidRDefault="00CC799C" w:rsidP="007625F6">
      <w:pPr>
        <w:spacing w:before="0" w:after="0" w:line="269" w:lineRule="auto"/>
        <w:rPr>
          <w:lang w:val="en-NZ" w:eastAsia="en-NZ"/>
        </w:rPr>
      </w:pPr>
      <w:r>
        <w:rPr>
          <w:lang w:val="en-NZ" w:eastAsia="en-NZ"/>
        </w:rPr>
        <w:t xml:space="preserve">Ministry of Health </w:t>
      </w:r>
    </w:p>
    <w:p w14:paraId="53DA463E" w14:textId="0A6854FD" w:rsidR="003837A1" w:rsidRDefault="003837A1" w:rsidP="007625F6">
      <w:pPr>
        <w:spacing w:before="0" w:after="0" w:line="269" w:lineRule="auto"/>
        <w:rPr>
          <w:lang w:val="en-NZ" w:eastAsia="en-NZ"/>
        </w:rPr>
      </w:pPr>
      <w:r w:rsidRPr="007C4455">
        <w:rPr>
          <w:lang w:val="en-NZ" w:eastAsia="en-NZ"/>
        </w:rPr>
        <w:t>New Zealand</w:t>
      </w:r>
      <w:r>
        <w:t xml:space="preserve"> College of Public Health Medicine</w:t>
      </w:r>
    </w:p>
    <w:p w14:paraId="33DECF38" w14:textId="3CE5B840" w:rsidR="007C4455" w:rsidRPr="007C4455" w:rsidRDefault="007C4455" w:rsidP="007625F6">
      <w:pPr>
        <w:spacing w:before="0" w:after="0" w:line="269" w:lineRule="auto"/>
        <w:rPr>
          <w:lang w:val="en-NZ" w:eastAsia="en-NZ"/>
        </w:rPr>
      </w:pPr>
      <w:r w:rsidRPr="007C4455">
        <w:rPr>
          <w:lang w:val="en-NZ" w:eastAsia="en-NZ"/>
        </w:rPr>
        <w:t>New Zealand Psychological Society</w:t>
      </w:r>
    </w:p>
    <w:p w14:paraId="05C0596F" w14:textId="77777777" w:rsidR="007C4455" w:rsidRPr="007C4455" w:rsidRDefault="007C4455" w:rsidP="007625F6">
      <w:pPr>
        <w:spacing w:before="0" w:after="0" w:line="269" w:lineRule="auto"/>
        <w:rPr>
          <w:lang w:val="en-NZ" w:eastAsia="en-NZ"/>
        </w:rPr>
      </w:pPr>
      <w:r w:rsidRPr="007C4455">
        <w:rPr>
          <w:lang w:val="en-NZ" w:eastAsia="en-NZ"/>
        </w:rPr>
        <w:t>New Zealand Red Cross</w:t>
      </w:r>
    </w:p>
    <w:p w14:paraId="3F33B2BE" w14:textId="037F10C6" w:rsidR="007C4455" w:rsidRPr="007C4455" w:rsidRDefault="007C4455" w:rsidP="007625F6">
      <w:pPr>
        <w:spacing w:before="0" w:after="0" w:line="269" w:lineRule="auto"/>
        <w:rPr>
          <w:lang w:val="en-NZ" w:eastAsia="en-NZ"/>
        </w:rPr>
      </w:pPr>
      <w:r w:rsidRPr="007C4455">
        <w:rPr>
          <w:lang w:val="en-NZ" w:eastAsia="en-NZ"/>
        </w:rPr>
        <w:t>N</w:t>
      </w:r>
      <w:r w:rsidR="00E63F33">
        <w:rPr>
          <w:lang w:val="en-NZ" w:eastAsia="en-NZ"/>
        </w:rPr>
        <w:t xml:space="preserve">ew </w:t>
      </w:r>
      <w:r w:rsidRPr="007C4455">
        <w:rPr>
          <w:lang w:val="en-NZ" w:eastAsia="en-NZ"/>
        </w:rPr>
        <w:t>Z</w:t>
      </w:r>
      <w:r w:rsidR="00E63F33">
        <w:rPr>
          <w:lang w:val="en-NZ" w:eastAsia="en-NZ"/>
        </w:rPr>
        <w:t xml:space="preserve">ealand </w:t>
      </w:r>
      <w:r w:rsidRPr="007C4455">
        <w:rPr>
          <w:lang w:val="en-NZ" w:eastAsia="en-NZ"/>
        </w:rPr>
        <w:t>M</w:t>
      </w:r>
      <w:r w:rsidR="00E63F33">
        <w:rPr>
          <w:lang w:val="en-NZ" w:eastAsia="en-NZ"/>
        </w:rPr>
        <w:t xml:space="preserve">edical </w:t>
      </w:r>
      <w:r w:rsidRPr="007C4455">
        <w:rPr>
          <w:lang w:val="en-NZ" w:eastAsia="en-NZ"/>
        </w:rPr>
        <w:t>A</w:t>
      </w:r>
      <w:r w:rsidR="00E63F33">
        <w:rPr>
          <w:lang w:val="en-NZ" w:eastAsia="en-NZ"/>
        </w:rPr>
        <w:t>ssociation</w:t>
      </w:r>
    </w:p>
    <w:p w14:paraId="3D5CFE70" w14:textId="42D37210" w:rsidR="007C4455" w:rsidRDefault="007C4455" w:rsidP="007625F6">
      <w:pPr>
        <w:spacing w:before="0" w:after="0" w:line="269" w:lineRule="auto"/>
        <w:rPr>
          <w:lang w:val="en-NZ" w:eastAsia="en-NZ"/>
        </w:rPr>
      </w:pPr>
      <w:r w:rsidRPr="007C4455">
        <w:rPr>
          <w:lang w:val="en-NZ" w:eastAsia="en-NZ"/>
        </w:rPr>
        <w:t>Odyssey House Trust</w:t>
      </w:r>
    </w:p>
    <w:p w14:paraId="44CBB50A" w14:textId="0E3A9C1B" w:rsidR="004C7E29" w:rsidRDefault="004C7E29" w:rsidP="007625F6">
      <w:pPr>
        <w:spacing w:before="0" w:after="0" w:line="269" w:lineRule="auto"/>
        <w:rPr>
          <w:lang w:val="en-NZ" w:eastAsia="en-NZ"/>
        </w:rPr>
      </w:pPr>
      <w:r>
        <w:rPr>
          <w:lang w:val="en-NZ" w:eastAsia="en-NZ"/>
        </w:rPr>
        <w:t>Office of the Children’s Commissioner</w:t>
      </w:r>
    </w:p>
    <w:p w14:paraId="79835DB8" w14:textId="177CC47F" w:rsidR="000D4D95" w:rsidRPr="007C4455" w:rsidRDefault="000D4D95" w:rsidP="007625F6">
      <w:pPr>
        <w:spacing w:before="0" w:after="0" w:line="269" w:lineRule="auto"/>
        <w:rPr>
          <w:lang w:val="en-NZ" w:eastAsia="en-NZ"/>
        </w:rPr>
      </w:pPr>
      <w:r>
        <w:rPr>
          <w:lang w:val="en-NZ" w:eastAsia="en-NZ"/>
        </w:rPr>
        <w:t>Oranga Tamariki</w:t>
      </w:r>
    </w:p>
    <w:p w14:paraId="3399D93E" w14:textId="048C13A5" w:rsidR="007C4455" w:rsidRDefault="007C4455" w:rsidP="007625F6">
      <w:pPr>
        <w:spacing w:before="0" w:after="0" w:line="269" w:lineRule="auto"/>
        <w:rPr>
          <w:lang w:val="en-NZ" w:eastAsia="en-NZ"/>
        </w:rPr>
      </w:pPr>
      <w:r w:rsidRPr="007C4455">
        <w:rPr>
          <w:lang w:val="en-NZ" w:eastAsia="en-NZ"/>
        </w:rPr>
        <w:t>Platform Trust</w:t>
      </w:r>
    </w:p>
    <w:p w14:paraId="0CDA6701" w14:textId="720CFFBA" w:rsidR="009A1952" w:rsidRPr="007C4455" w:rsidRDefault="009A1952" w:rsidP="007625F6">
      <w:pPr>
        <w:spacing w:before="0" w:after="0" w:line="269" w:lineRule="auto"/>
        <w:rPr>
          <w:lang w:val="en-NZ" w:eastAsia="en-NZ"/>
        </w:rPr>
      </w:pPr>
      <w:r>
        <w:rPr>
          <w:lang w:val="en-NZ" w:eastAsia="en-NZ"/>
        </w:rPr>
        <w:t>Royal New Zealand College of General Practitioners</w:t>
      </w:r>
    </w:p>
    <w:p w14:paraId="302FEF19" w14:textId="77777777" w:rsidR="007C4455" w:rsidRPr="007C4455" w:rsidRDefault="007C4455" w:rsidP="007625F6">
      <w:pPr>
        <w:spacing w:before="0" w:after="0" w:line="269" w:lineRule="auto"/>
        <w:rPr>
          <w:lang w:val="en-NZ" w:eastAsia="en-NZ"/>
        </w:rPr>
      </w:pPr>
      <w:r w:rsidRPr="007C4455">
        <w:rPr>
          <w:lang w:val="en-NZ" w:eastAsia="en-NZ"/>
        </w:rPr>
        <w:t>Royal New Zealand Returned and Services Association</w:t>
      </w:r>
    </w:p>
    <w:p w14:paraId="39F4682D" w14:textId="77777777" w:rsidR="007C4455" w:rsidRPr="007C4455" w:rsidRDefault="007C4455" w:rsidP="007625F6">
      <w:pPr>
        <w:spacing w:before="0" w:after="0" w:line="269" w:lineRule="auto"/>
        <w:rPr>
          <w:lang w:val="en-NZ" w:eastAsia="en-NZ"/>
        </w:rPr>
      </w:pPr>
      <w:r w:rsidRPr="007C4455">
        <w:rPr>
          <w:lang w:val="en-NZ" w:eastAsia="en-NZ"/>
        </w:rPr>
        <w:t>South Dunedin schools cluster</w:t>
      </w:r>
    </w:p>
    <w:p w14:paraId="704D54DF" w14:textId="77777777" w:rsidR="007C4455" w:rsidRPr="007C4455" w:rsidRDefault="007C4455" w:rsidP="007625F6">
      <w:pPr>
        <w:spacing w:before="0" w:after="0" w:line="269" w:lineRule="auto"/>
        <w:rPr>
          <w:lang w:val="en-NZ" w:eastAsia="en-NZ"/>
        </w:rPr>
      </w:pPr>
      <w:r w:rsidRPr="007C4455">
        <w:rPr>
          <w:lang w:val="en-NZ" w:eastAsia="en-NZ"/>
        </w:rPr>
        <w:t>Supporting Families</w:t>
      </w:r>
    </w:p>
    <w:p w14:paraId="61BDD6A3" w14:textId="1DD71930" w:rsidR="007C4455" w:rsidRDefault="007C4455" w:rsidP="007625F6">
      <w:pPr>
        <w:spacing w:before="0" w:after="0" w:line="269" w:lineRule="auto"/>
        <w:rPr>
          <w:lang w:val="en-NZ" w:eastAsia="en-NZ"/>
        </w:rPr>
      </w:pPr>
      <w:r w:rsidRPr="007C4455">
        <w:rPr>
          <w:lang w:val="en-NZ" w:eastAsia="en-NZ"/>
        </w:rPr>
        <w:t>Talking Matters</w:t>
      </w:r>
    </w:p>
    <w:p w14:paraId="5FEE181C" w14:textId="18BDD48D" w:rsidR="00FD5A92" w:rsidRDefault="00FD5A92" w:rsidP="007625F6">
      <w:pPr>
        <w:spacing w:before="0" w:after="0" w:line="269" w:lineRule="auto"/>
        <w:rPr>
          <w:lang w:val="en-NZ" w:eastAsia="en-NZ"/>
        </w:rPr>
      </w:pPr>
      <w:r>
        <w:rPr>
          <w:lang w:val="en-NZ" w:eastAsia="en-NZ"/>
        </w:rPr>
        <w:t>Te H</w:t>
      </w:r>
      <w:r w:rsidR="004C7E29">
        <w:rPr>
          <w:lang w:val="en-NZ" w:eastAsia="en-NZ"/>
        </w:rPr>
        <w:t>ā</w:t>
      </w:r>
      <w:r>
        <w:rPr>
          <w:lang w:val="en-NZ" w:eastAsia="en-NZ"/>
        </w:rPr>
        <w:t xml:space="preserve"> Oranga</w:t>
      </w:r>
    </w:p>
    <w:p w14:paraId="7722B040" w14:textId="142AB7A9" w:rsidR="00FD5A92" w:rsidRPr="007C4455" w:rsidRDefault="00FD5A92" w:rsidP="007625F6">
      <w:pPr>
        <w:spacing w:before="0" w:after="0" w:line="269" w:lineRule="auto"/>
        <w:rPr>
          <w:lang w:val="en-NZ" w:eastAsia="en-NZ"/>
        </w:rPr>
      </w:pPr>
      <w:r w:rsidRPr="000241D9">
        <w:rPr>
          <w:lang w:val="en-NZ" w:eastAsia="en-NZ"/>
        </w:rPr>
        <w:t xml:space="preserve">Te </w:t>
      </w:r>
      <w:proofErr w:type="spellStart"/>
      <w:r w:rsidRPr="000241D9">
        <w:rPr>
          <w:lang w:val="en-NZ" w:eastAsia="en-NZ"/>
        </w:rPr>
        <w:t>Hiringa</w:t>
      </w:r>
      <w:proofErr w:type="spellEnd"/>
      <w:r w:rsidRPr="000241D9">
        <w:rPr>
          <w:lang w:val="en-NZ" w:eastAsia="en-NZ"/>
        </w:rPr>
        <w:t xml:space="preserve"> Hauora Health Promotion Agency</w:t>
      </w:r>
    </w:p>
    <w:p w14:paraId="4AE00D25" w14:textId="77777777" w:rsidR="007C4455" w:rsidRPr="007C4455" w:rsidRDefault="007C4455" w:rsidP="007625F6">
      <w:pPr>
        <w:spacing w:before="0" w:after="0" w:line="269" w:lineRule="auto"/>
        <w:rPr>
          <w:lang w:val="en-NZ" w:eastAsia="en-NZ"/>
        </w:rPr>
      </w:pPr>
      <w:r w:rsidRPr="007C4455">
        <w:rPr>
          <w:lang w:val="en-NZ" w:eastAsia="en-NZ"/>
        </w:rPr>
        <w:t>Te Pūtahitanga o Te Waipounamu</w:t>
      </w:r>
    </w:p>
    <w:p w14:paraId="10652DCB" w14:textId="77777777" w:rsidR="007C4455" w:rsidRPr="007C4455" w:rsidRDefault="007C4455" w:rsidP="007625F6">
      <w:pPr>
        <w:spacing w:before="0" w:after="0" w:line="269" w:lineRule="auto"/>
        <w:rPr>
          <w:lang w:val="en-NZ" w:eastAsia="en-NZ"/>
        </w:rPr>
      </w:pPr>
      <w:r w:rsidRPr="007C4455">
        <w:rPr>
          <w:lang w:val="en-NZ" w:eastAsia="en-NZ"/>
        </w:rPr>
        <w:t>The No Duff Charitable Trust</w:t>
      </w:r>
    </w:p>
    <w:p w14:paraId="149A8710" w14:textId="2D8F3039" w:rsidR="007C4455" w:rsidRPr="007C4455" w:rsidRDefault="007C4455" w:rsidP="007625F6">
      <w:pPr>
        <w:spacing w:before="0" w:after="0" w:line="269" w:lineRule="auto"/>
        <w:rPr>
          <w:lang w:val="en-NZ" w:eastAsia="en-NZ"/>
        </w:rPr>
      </w:pPr>
      <w:r w:rsidRPr="007C4455">
        <w:rPr>
          <w:lang w:val="en-NZ" w:eastAsia="en-NZ"/>
        </w:rPr>
        <w:t>The Royal Australian and New Zealand College of Psychiatrists</w:t>
      </w:r>
    </w:p>
    <w:p w14:paraId="2DD0A479" w14:textId="00DFE4B7" w:rsidR="00070DE0" w:rsidRPr="001356D0" w:rsidRDefault="00070DE0" w:rsidP="001356D0">
      <w:pPr>
        <w:spacing w:before="0" w:after="0" w:line="269" w:lineRule="auto"/>
        <w:ind w:left="426" w:hanging="426"/>
        <w:rPr>
          <w:lang w:val="en-NZ" w:eastAsia="en-NZ"/>
        </w:rPr>
      </w:pPr>
      <w:r>
        <w:rPr>
          <w:lang w:val="en-NZ" w:eastAsia="en-NZ"/>
        </w:rPr>
        <w:t>The Salvation Army</w:t>
      </w:r>
      <w:r w:rsidR="001356D0">
        <w:rPr>
          <w:lang w:val="en-NZ" w:eastAsia="en-NZ"/>
        </w:rPr>
        <w:t xml:space="preserve">, </w:t>
      </w:r>
      <w:r w:rsidR="001356D0" w:rsidRPr="001356D0">
        <w:rPr>
          <w:lang w:val="en-NZ" w:eastAsia="en-NZ"/>
        </w:rPr>
        <w:t xml:space="preserve">Addictions, Supportive Accommodation, Reintegration </w:t>
      </w:r>
      <w:r w:rsidR="001356D0">
        <w:rPr>
          <w:lang w:val="en-NZ" w:eastAsia="en-NZ"/>
        </w:rPr>
        <w:br/>
      </w:r>
      <w:r w:rsidR="001356D0" w:rsidRPr="001356D0">
        <w:rPr>
          <w:lang w:val="en-NZ" w:eastAsia="en-NZ"/>
        </w:rPr>
        <w:t>and Palliative Care Services</w:t>
      </w:r>
    </w:p>
    <w:p w14:paraId="073C1AC7" w14:textId="24CED511" w:rsidR="007C4455" w:rsidRPr="007C4455" w:rsidRDefault="007C4455" w:rsidP="007625F6">
      <w:pPr>
        <w:spacing w:before="0" w:after="0" w:line="269" w:lineRule="auto"/>
        <w:rPr>
          <w:lang w:val="en-NZ" w:eastAsia="en-NZ"/>
        </w:rPr>
      </w:pPr>
      <w:r w:rsidRPr="007C4455">
        <w:rPr>
          <w:lang w:val="en-NZ" w:eastAsia="en-NZ"/>
        </w:rPr>
        <w:t>The Wise Group</w:t>
      </w:r>
    </w:p>
    <w:p w14:paraId="27DBECFB" w14:textId="588A496F" w:rsidR="007C4455" w:rsidRPr="007C4455" w:rsidRDefault="007C4455" w:rsidP="007625F6">
      <w:pPr>
        <w:spacing w:before="0" w:after="0" w:line="269" w:lineRule="auto"/>
        <w:rPr>
          <w:lang w:val="en-NZ" w:eastAsia="en-NZ"/>
        </w:rPr>
      </w:pPr>
      <w:proofErr w:type="spellStart"/>
      <w:r w:rsidRPr="007C4455">
        <w:rPr>
          <w:lang w:val="en-NZ" w:eastAsia="en-NZ"/>
        </w:rPr>
        <w:t>Tōpūtanga</w:t>
      </w:r>
      <w:proofErr w:type="spellEnd"/>
      <w:r w:rsidRPr="007C4455">
        <w:rPr>
          <w:lang w:val="en-NZ" w:eastAsia="en-NZ"/>
        </w:rPr>
        <w:t xml:space="preserve"> </w:t>
      </w:r>
      <w:proofErr w:type="spellStart"/>
      <w:r w:rsidRPr="007C4455">
        <w:rPr>
          <w:lang w:val="en-NZ" w:eastAsia="en-NZ"/>
        </w:rPr>
        <w:t>Tapuhi</w:t>
      </w:r>
      <w:proofErr w:type="spellEnd"/>
      <w:r w:rsidRPr="007C4455">
        <w:rPr>
          <w:lang w:val="en-NZ" w:eastAsia="en-NZ"/>
        </w:rPr>
        <w:t xml:space="preserve"> Kaitiaki o Aotearoa New Zealand Nurses Organisation</w:t>
      </w:r>
    </w:p>
    <w:p w14:paraId="3B1F24DD" w14:textId="77777777" w:rsidR="007C4455" w:rsidRPr="007C4455" w:rsidRDefault="007C4455" w:rsidP="007625F6">
      <w:pPr>
        <w:spacing w:before="0" w:after="0" w:line="269" w:lineRule="auto"/>
        <w:rPr>
          <w:lang w:val="en-NZ" w:eastAsia="en-NZ"/>
        </w:rPr>
      </w:pPr>
      <w:r w:rsidRPr="007C4455">
        <w:rPr>
          <w:lang w:val="en-NZ" w:eastAsia="en-NZ"/>
        </w:rPr>
        <w:t>Volunteer South</w:t>
      </w:r>
    </w:p>
    <w:p w14:paraId="34D5F74C" w14:textId="655155BB" w:rsidR="007C4455" w:rsidRDefault="007C4455" w:rsidP="007625F6">
      <w:pPr>
        <w:spacing w:before="0" w:after="0" w:line="269" w:lineRule="auto"/>
        <w:rPr>
          <w:lang w:val="en-NZ" w:eastAsia="en-NZ"/>
        </w:rPr>
      </w:pPr>
      <w:r w:rsidRPr="007C4455">
        <w:rPr>
          <w:lang w:val="en-NZ" w:eastAsia="en-NZ"/>
        </w:rPr>
        <w:t xml:space="preserve">VOYCE </w:t>
      </w:r>
      <w:proofErr w:type="spellStart"/>
      <w:r w:rsidRPr="007C4455">
        <w:rPr>
          <w:lang w:val="en-NZ" w:eastAsia="en-NZ"/>
        </w:rPr>
        <w:t>Whakarongo</w:t>
      </w:r>
      <w:proofErr w:type="spellEnd"/>
      <w:r w:rsidRPr="007C4455">
        <w:rPr>
          <w:lang w:val="en-NZ" w:eastAsia="en-NZ"/>
        </w:rPr>
        <w:t xml:space="preserve"> Mai</w:t>
      </w:r>
    </w:p>
    <w:p w14:paraId="7C52D3A7" w14:textId="4C77752D" w:rsidR="00FD5A92" w:rsidRPr="007C4455" w:rsidRDefault="00FD5A92" w:rsidP="007625F6">
      <w:pPr>
        <w:spacing w:before="0" w:after="0" w:line="269" w:lineRule="auto"/>
        <w:rPr>
          <w:lang w:val="en-NZ" w:eastAsia="en-NZ"/>
        </w:rPr>
      </w:pPr>
      <w:proofErr w:type="spellStart"/>
      <w:r>
        <w:rPr>
          <w:lang w:val="en-NZ" w:eastAsia="en-NZ"/>
        </w:rPr>
        <w:t>Werry</w:t>
      </w:r>
      <w:proofErr w:type="spellEnd"/>
      <w:r>
        <w:rPr>
          <w:lang w:val="en-NZ" w:eastAsia="en-NZ"/>
        </w:rPr>
        <w:t xml:space="preserve"> Workforce</w:t>
      </w:r>
    </w:p>
    <w:p w14:paraId="0F7CDD41" w14:textId="77777777" w:rsidR="007C4455" w:rsidRPr="007C4455" w:rsidRDefault="007C4455" w:rsidP="007625F6">
      <w:pPr>
        <w:spacing w:before="0" w:after="0" w:line="269" w:lineRule="auto"/>
        <w:rPr>
          <w:lang w:val="en-NZ" w:eastAsia="en-NZ"/>
        </w:rPr>
      </w:pPr>
      <w:r w:rsidRPr="007C4455">
        <w:rPr>
          <w:lang w:val="en-NZ" w:eastAsia="en-NZ"/>
        </w:rPr>
        <w:t>Whānau Ora Commissioning Agency</w:t>
      </w:r>
    </w:p>
    <w:p w14:paraId="526A2772" w14:textId="02BD4EEF" w:rsidR="007C4455" w:rsidRDefault="007C4455" w:rsidP="0039319F">
      <w:pPr>
        <w:spacing w:before="0" w:after="0" w:line="269" w:lineRule="auto"/>
        <w:rPr>
          <w:lang w:val="en-NZ" w:eastAsia="en-NZ"/>
        </w:rPr>
      </w:pPr>
      <w:r>
        <w:rPr>
          <w:lang w:val="en-NZ" w:eastAsia="en-NZ"/>
        </w:rPr>
        <w:t xml:space="preserve">+ </w:t>
      </w:r>
      <w:r w:rsidR="00486867">
        <w:rPr>
          <w:lang w:val="en-NZ" w:eastAsia="en-NZ"/>
        </w:rPr>
        <w:t>5</w:t>
      </w:r>
      <w:r w:rsidR="00FD5A92">
        <w:rPr>
          <w:lang w:val="en-NZ" w:eastAsia="en-NZ"/>
        </w:rPr>
        <w:t xml:space="preserve"> other</w:t>
      </w:r>
      <w:r>
        <w:rPr>
          <w:lang w:val="en-NZ" w:eastAsia="en-NZ"/>
        </w:rPr>
        <w:t xml:space="preserve"> organisations that did not wish to be named</w:t>
      </w:r>
      <w:r w:rsidR="0003237C">
        <w:rPr>
          <w:lang w:val="en-NZ" w:eastAsia="en-NZ"/>
        </w:rPr>
        <w:t xml:space="preserve"> </w:t>
      </w:r>
    </w:p>
    <w:sectPr w:rsidR="007C4455" w:rsidSect="007C4455">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25A85" w14:textId="77777777" w:rsidR="001F3C94" w:rsidRDefault="001F3C94" w:rsidP="00BD7BE6">
      <w:pPr>
        <w:spacing w:after="0"/>
      </w:pPr>
      <w:r>
        <w:separator/>
      </w:r>
    </w:p>
  </w:endnote>
  <w:endnote w:type="continuationSeparator" w:id="0">
    <w:p w14:paraId="5445CF82" w14:textId="77777777" w:rsidR="001F3C94" w:rsidRDefault="001F3C94" w:rsidP="00BD7BE6">
      <w:pPr>
        <w:spacing w:after="0"/>
      </w:pPr>
      <w:r>
        <w:continuationSeparator/>
      </w:r>
    </w:p>
  </w:endnote>
  <w:endnote w:type="continuationNotice" w:id="1">
    <w:p w14:paraId="6A78CA0A" w14:textId="77777777" w:rsidR="001F3C94" w:rsidRDefault="001F3C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Basic Sans">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054349"/>
      <w:docPartObj>
        <w:docPartGallery w:val="Page Numbers (Bottom of Page)"/>
        <w:docPartUnique/>
      </w:docPartObj>
    </w:sdtPr>
    <w:sdtEndPr/>
    <w:sdtContent>
      <w:sdt>
        <w:sdtPr>
          <w:id w:val="-1705238520"/>
          <w:docPartObj>
            <w:docPartGallery w:val="Page Numbers (Top of Page)"/>
            <w:docPartUnique/>
          </w:docPartObj>
        </w:sdtPr>
        <w:sdtEndPr/>
        <w:sdtContent>
          <w:p w14:paraId="0CDD419F" w14:textId="7BB6C91F" w:rsidR="009F6753" w:rsidRDefault="009F6753" w:rsidP="008231EC">
            <w:pPr>
              <w:pStyle w:val="Footer"/>
              <w:jc w:val="right"/>
            </w:pP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1F9151" w14:textId="77777777" w:rsidR="009F6753" w:rsidRDefault="009F6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295D9" w14:textId="77777777" w:rsidR="001F3C94" w:rsidRDefault="001F3C94" w:rsidP="00BD7BE6">
      <w:pPr>
        <w:spacing w:after="0"/>
      </w:pPr>
      <w:r>
        <w:separator/>
      </w:r>
    </w:p>
  </w:footnote>
  <w:footnote w:type="continuationSeparator" w:id="0">
    <w:p w14:paraId="63C58D85" w14:textId="77777777" w:rsidR="001F3C94" w:rsidRDefault="001F3C94" w:rsidP="00BD7BE6">
      <w:pPr>
        <w:spacing w:after="0"/>
      </w:pPr>
      <w:r>
        <w:continuationSeparator/>
      </w:r>
    </w:p>
  </w:footnote>
  <w:footnote w:type="continuationNotice" w:id="1">
    <w:p w14:paraId="37449D2B" w14:textId="77777777" w:rsidR="001F3C94" w:rsidRDefault="001F3C94">
      <w:pPr>
        <w:spacing w:after="0"/>
      </w:pPr>
    </w:p>
  </w:footnote>
  <w:footnote w:id="2">
    <w:p w14:paraId="04299461" w14:textId="044F8F18" w:rsidR="009F6753" w:rsidRPr="007E043C" w:rsidRDefault="009F6753" w:rsidP="00D77FDD">
      <w:pPr>
        <w:pStyle w:val="Footnote"/>
        <w:rPr>
          <w:szCs w:val="18"/>
        </w:rPr>
      </w:pPr>
      <w:r w:rsidRPr="007E043C">
        <w:rPr>
          <w:rStyle w:val="FootnoteReference"/>
          <w:szCs w:val="18"/>
        </w:rPr>
        <w:footnoteRef/>
      </w:r>
      <w:r w:rsidRPr="007E043C">
        <w:rPr>
          <w:szCs w:val="18"/>
        </w:rPr>
        <w:t xml:space="preserve"> Report of the Government Inquiry into Mental Health and Addiction, </w:t>
      </w:r>
      <w:hyperlink r:id="rId1" w:history="1">
        <w:r w:rsidRPr="007E043C">
          <w:rPr>
            <w:rStyle w:val="Hyperlink"/>
            <w:szCs w:val="18"/>
          </w:rPr>
          <w:t>https://mentalhealth.inquiry.govt.nz/inquiry-report/he-ara-oranga/</w:t>
        </w:r>
      </w:hyperlink>
      <w:r w:rsidRPr="007E043C">
        <w:rPr>
          <w:szCs w:val="18"/>
        </w:rPr>
        <w:t xml:space="preserve"> </w:t>
      </w:r>
    </w:p>
  </w:footnote>
  <w:footnote w:id="3">
    <w:p w14:paraId="58B4655B" w14:textId="0970D957" w:rsidR="009F6753" w:rsidRPr="007E043C" w:rsidRDefault="009F6753" w:rsidP="00D77FDD">
      <w:pPr>
        <w:pStyle w:val="Footnote"/>
        <w:rPr>
          <w:szCs w:val="18"/>
        </w:rPr>
      </w:pPr>
      <w:r w:rsidRPr="007E043C">
        <w:rPr>
          <w:rStyle w:val="FootnoteReference"/>
          <w:szCs w:val="18"/>
        </w:rPr>
        <w:footnoteRef/>
      </w:r>
      <w:r w:rsidRPr="007E043C">
        <w:rPr>
          <w:szCs w:val="18"/>
        </w:rPr>
        <w:t xml:space="preserve"> The Mental Health and Wellbeing Commission Bill had its third reading in Parliament and royal assent in June 2020. This Bill specifies the Mental Health and Wellbeing Commission, an independent crown entity, will come into force by February 2021.</w:t>
      </w:r>
    </w:p>
  </w:footnote>
  <w:footnote w:id="4">
    <w:p w14:paraId="33C0461F" w14:textId="696209C6" w:rsidR="009F6753" w:rsidRPr="007E043C" w:rsidRDefault="009F6753" w:rsidP="00D77FDD">
      <w:pPr>
        <w:pStyle w:val="Footnote"/>
        <w:rPr>
          <w:szCs w:val="18"/>
        </w:rPr>
      </w:pPr>
      <w:r w:rsidRPr="007E043C">
        <w:rPr>
          <w:rStyle w:val="FootnoteReference"/>
          <w:szCs w:val="18"/>
        </w:rPr>
        <w:footnoteRef/>
      </w:r>
      <w:r w:rsidRPr="007E043C">
        <w:rPr>
          <w:szCs w:val="18"/>
        </w:rPr>
        <w:t xml:space="preserve"> A summary of what we heard from the co-define phase is available on the Commission’s website </w:t>
      </w:r>
      <w:hyperlink r:id="rId2" w:history="1">
        <w:r w:rsidRPr="007E043C">
          <w:rPr>
            <w:rStyle w:val="Hyperlink"/>
            <w:szCs w:val="18"/>
          </w:rPr>
          <w:t>https://www.mhwc.govt.nz/our-work/outcomes-framework/co-define-phase/</w:t>
        </w:r>
      </w:hyperlink>
    </w:p>
  </w:footnote>
  <w:footnote w:id="5">
    <w:p w14:paraId="5C34E45D" w14:textId="04B47987"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We had planned to circulate the consultation document from 10 August, however due to the rapidly changing circumstances with </w:t>
      </w:r>
      <w:r>
        <w:rPr>
          <w:sz w:val="18"/>
          <w:szCs w:val="18"/>
        </w:rPr>
        <w:t xml:space="preserve">COVID-19 </w:t>
      </w:r>
      <w:r w:rsidRPr="007E043C">
        <w:rPr>
          <w:sz w:val="18"/>
          <w:szCs w:val="18"/>
        </w:rPr>
        <w:t>alert level changes, we delayed the release, particularly as many stakeholders are in the Auckland region.</w:t>
      </w:r>
    </w:p>
  </w:footnote>
  <w:footnote w:id="6">
    <w:p w14:paraId="7DC6528E" w14:textId="28A89B5D"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w:t>
      </w:r>
      <w:r w:rsidRPr="007E043C">
        <w:rPr>
          <w:sz w:val="18"/>
          <w:szCs w:val="18"/>
          <w:lang w:val="en-NZ"/>
        </w:rPr>
        <w:t xml:space="preserve">Whilst 117 survey responses </w:t>
      </w:r>
      <w:r>
        <w:rPr>
          <w:sz w:val="18"/>
          <w:szCs w:val="18"/>
          <w:lang w:val="en-NZ"/>
        </w:rPr>
        <w:t>were</w:t>
      </w:r>
      <w:r w:rsidRPr="007E043C">
        <w:rPr>
          <w:sz w:val="18"/>
          <w:szCs w:val="18"/>
          <w:lang w:val="en-NZ"/>
        </w:rPr>
        <w:t xml:space="preserve"> received in total, we removed responses where the respondent exited the survey earl</w:t>
      </w:r>
      <w:r>
        <w:rPr>
          <w:sz w:val="18"/>
          <w:szCs w:val="18"/>
          <w:lang w:val="en-NZ"/>
        </w:rPr>
        <w:t>y</w:t>
      </w:r>
      <w:r w:rsidRPr="007E043C">
        <w:rPr>
          <w:sz w:val="18"/>
          <w:szCs w:val="18"/>
          <w:lang w:val="en-NZ"/>
        </w:rPr>
        <w:t xml:space="preserve"> – that is, did not answer any of the questions on the outcomes framework content after the ‘consent’ question.</w:t>
      </w:r>
    </w:p>
  </w:footnote>
  <w:footnote w:id="7">
    <w:p w14:paraId="52399CDF" w14:textId="74DDF6CA"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For people and organisations who provided their views via Zoom discussion rather than through a written submission, we did not record responses to this question.</w:t>
      </w:r>
    </w:p>
  </w:footnote>
  <w:footnote w:id="8">
    <w:p w14:paraId="17689870" w14:textId="7E6B4F68"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w:t>
      </w:r>
      <w:r w:rsidRPr="007E043C">
        <w:rPr>
          <w:sz w:val="18"/>
          <w:szCs w:val="18"/>
          <w:lang w:eastAsia="en-NZ"/>
        </w:rPr>
        <w:t>Te Atiawa, Taranaki Whānui, Ngāti Maru ki Taranaki, Ngāti Porou, Ngāti Wehi Wehi, Ngāti Tukorehe, Ngāti Raukawa, Ngāti Tūwharetoa, Te Whānau a Rongomai Wahine, Tainui, Ngāti Haunui a Pāpārangi, Ngāti Maniapoto, Ngāta Awa, Kati Mamoe, Waitaha, Tūhoe, Ngaariki Kaiputahi, Te Aitanga a Mahaki, Ngāti Mutunga o Whare Kauri and Ngāti Urban Māori o Tāmakimakaurau.</w:t>
      </w:r>
    </w:p>
  </w:footnote>
  <w:footnote w:id="9">
    <w:p w14:paraId="1B87D744" w14:textId="2EDF6A5A" w:rsidR="009F6753" w:rsidRDefault="009F6753" w:rsidP="00142603">
      <w:pPr>
        <w:pStyle w:val="Footnote"/>
      </w:pPr>
      <w:r>
        <w:rPr>
          <w:rStyle w:val="FootnoteReference"/>
        </w:rPr>
        <w:footnoteRef/>
      </w:r>
      <w:r>
        <w:t xml:space="preserve"> The non-Pacific individuals were part of the youth </w:t>
      </w:r>
      <w:r w:rsidR="005E0D36">
        <w:t>Z</w:t>
      </w:r>
      <w:r>
        <w:t>oom sessions that were held with Pacific youth as they all preferred to be interviewed together.</w:t>
      </w:r>
    </w:p>
  </w:footnote>
  <w:footnote w:id="10">
    <w:p w14:paraId="494AA43D" w14:textId="05A4822E"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w:t>
      </w:r>
      <w:r w:rsidRPr="007E043C">
        <w:rPr>
          <w:sz w:val="18"/>
          <w:szCs w:val="18"/>
          <w:lang w:val="en-NZ"/>
        </w:rPr>
        <w:t>Individual respondent</w:t>
      </w:r>
    </w:p>
  </w:footnote>
  <w:footnote w:id="11">
    <w:p w14:paraId="309F6BE8" w14:textId="2ABFEFEF"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Mental Health Nurses Section, NZNO</w:t>
      </w:r>
    </w:p>
  </w:footnote>
  <w:footnote w:id="12">
    <w:p w14:paraId="4938BFCF" w14:textId="6DED6041"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Mental Health Nurses Section, NZNO</w:t>
      </w:r>
    </w:p>
  </w:footnote>
  <w:footnote w:id="13">
    <w:p w14:paraId="62CE2041" w14:textId="26F8C920"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Organisation – did not want quotes attributed</w:t>
      </w:r>
    </w:p>
  </w:footnote>
  <w:footnote w:id="14">
    <w:p w14:paraId="4C0373D4" w14:textId="17739260"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w:t>
      </w:r>
      <w:r w:rsidRPr="007E043C">
        <w:rPr>
          <w:sz w:val="18"/>
          <w:szCs w:val="18"/>
          <w:lang w:val="en-NZ"/>
        </w:rPr>
        <w:t>Balance Aotearoa</w:t>
      </w:r>
    </w:p>
  </w:footnote>
  <w:footnote w:id="15">
    <w:p w14:paraId="74C70D2A" w14:textId="4996949A"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w:t>
      </w:r>
      <w:r w:rsidRPr="007E043C">
        <w:rPr>
          <w:sz w:val="18"/>
          <w:szCs w:val="18"/>
          <w:lang w:val="en-NZ"/>
        </w:rPr>
        <w:t>Organisation – did not consent to quotes being attributed</w:t>
      </w:r>
    </w:p>
  </w:footnote>
  <w:footnote w:id="16">
    <w:p w14:paraId="0D63FC12" w14:textId="2AD25376"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w:t>
      </w:r>
      <w:r w:rsidRPr="007E043C">
        <w:rPr>
          <w:sz w:val="18"/>
          <w:szCs w:val="18"/>
          <w:lang w:val="en-NZ"/>
        </w:rPr>
        <w:t>Asian Family Services</w:t>
      </w:r>
    </w:p>
  </w:footnote>
  <w:footnote w:id="17">
    <w:p w14:paraId="326C9B2C" w14:textId="3B45A4C4"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w:t>
      </w:r>
      <w:r w:rsidRPr="007E043C">
        <w:rPr>
          <w:sz w:val="18"/>
          <w:szCs w:val="18"/>
          <w:lang w:val="en-NZ"/>
        </w:rPr>
        <w:t>Individual respondent</w:t>
      </w:r>
    </w:p>
  </w:footnote>
  <w:footnote w:id="18">
    <w:p w14:paraId="4BBB0E5F" w14:textId="2064D7E0"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w:t>
      </w:r>
      <w:r w:rsidRPr="007E043C">
        <w:rPr>
          <w:sz w:val="18"/>
          <w:szCs w:val="18"/>
          <w:lang w:val="en-NZ"/>
        </w:rPr>
        <w:t>Whānau Ora Commissioning Agency</w:t>
      </w:r>
    </w:p>
  </w:footnote>
  <w:footnote w:id="19">
    <w:p w14:paraId="18B4B4DF" w14:textId="345B90BA" w:rsidR="009F6753" w:rsidRPr="003971EF" w:rsidRDefault="009F6753" w:rsidP="003971EF">
      <w:pPr>
        <w:pStyle w:val="Footnote"/>
      </w:pPr>
      <w:r>
        <w:rPr>
          <w:rStyle w:val="FootnoteReference"/>
        </w:rPr>
        <w:footnoteRef/>
      </w:r>
      <w:r>
        <w:t xml:space="preserve"> </w:t>
      </w:r>
      <w:r w:rsidRPr="003971EF">
        <w:t>Organisation</w:t>
      </w:r>
      <w:r>
        <w:t xml:space="preserve"> – did not consent </w:t>
      </w:r>
      <w:r w:rsidRPr="007E043C">
        <w:rPr>
          <w:szCs w:val="18"/>
        </w:rPr>
        <w:t>to quotes being attributed</w:t>
      </w:r>
    </w:p>
  </w:footnote>
  <w:footnote w:id="20">
    <w:p w14:paraId="288B898D" w14:textId="77777777" w:rsidR="009F6753" w:rsidRDefault="009F6753" w:rsidP="00142603">
      <w:pPr>
        <w:pStyle w:val="Footnote"/>
      </w:pPr>
      <w:r>
        <w:rPr>
          <w:rStyle w:val="FootnoteReference"/>
        </w:rPr>
        <w:footnoteRef/>
      </w:r>
      <w:r>
        <w:t xml:space="preserve"> </w:t>
      </w:r>
      <w:r w:rsidRPr="00DE6F17">
        <w:t xml:space="preserve">Pulotu-Endemann, F. K., &amp; Tuʼitahi, S. (2009). </w:t>
      </w:r>
      <w:r w:rsidRPr="00DE6F17">
        <w:rPr>
          <w:i/>
          <w:iCs/>
        </w:rPr>
        <w:t>Fonofale: Model of health</w:t>
      </w:r>
      <w:r w:rsidRPr="00DE6F17">
        <w:t>. Fuimaono Karl Pulotu-Endemann.</w:t>
      </w:r>
    </w:p>
  </w:footnote>
  <w:footnote w:id="21">
    <w:p w14:paraId="1E9CF4B3" w14:textId="699E3383" w:rsidR="009F6753" w:rsidRPr="00380974" w:rsidRDefault="009F6753" w:rsidP="00380974">
      <w:pPr>
        <w:pStyle w:val="Footnote"/>
      </w:pPr>
      <w:r>
        <w:rPr>
          <w:rStyle w:val="FootnoteReference"/>
        </w:rPr>
        <w:footnoteRef/>
      </w:r>
      <w:r>
        <w:t xml:space="preserve"> Salvation army</w:t>
      </w:r>
    </w:p>
  </w:footnote>
  <w:footnote w:id="22">
    <w:p w14:paraId="43B83097" w14:textId="4036CC91" w:rsidR="009F6753" w:rsidRPr="00F43A33" w:rsidRDefault="009F6753" w:rsidP="00142603">
      <w:pPr>
        <w:pStyle w:val="Footnote"/>
      </w:pPr>
      <w:r w:rsidRPr="00F43A33">
        <w:rPr>
          <w:rStyle w:val="FootnoteReference"/>
          <w:szCs w:val="18"/>
        </w:rPr>
        <w:footnoteRef/>
      </w:r>
      <w:r w:rsidRPr="00F43A33">
        <w:t xml:space="preserve"> Ara Poutama Aotearoa, Department of Corrections</w:t>
      </w:r>
    </w:p>
  </w:footnote>
  <w:footnote w:id="23">
    <w:p w14:paraId="6545D2F9" w14:textId="77777777" w:rsidR="009F6753" w:rsidRPr="007E043C" w:rsidRDefault="009F6753" w:rsidP="008E63D3">
      <w:pPr>
        <w:pStyle w:val="FootnoteText"/>
        <w:spacing w:before="0"/>
        <w:rPr>
          <w:sz w:val="18"/>
          <w:szCs w:val="18"/>
          <w:lang w:val="en-NZ"/>
        </w:rPr>
      </w:pPr>
      <w:r w:rsidRPr="007E043C">
        <w:rPr>
          <w:rStyle w:val="FootnoteReference"/>
          <w:sz w:val="18"/>
          <w:szCs w:val="18"/>
        </w:rPr>
        <w:footnoteRef/>
      </w:r>
      <w:r w:rsidRPr="007E043C">
        <w:rPr>
          <w:sz w:val="18"/>
          <w:szCs w:val="18"/>
        </w:rPr>
        <w:t xml:space="preserve"> New Zealand Psychological Society</w:t>
      </w:r>
    </w:p>
  </w:footnote>
  <w:footnote w:id="24">
    <w:p w14:paraId="70CB0D97" w14:textId="54482C8B" w:rsidR="009F6753" w:rsidRPr="007E043C" w:rsidRDefault="009F6753" w:rsidP="00D77FDD">
      <w:pPr>
        <w:pStyle w:val="Footnote"/>
        <w:rPr>
          <w:szCs w:val="18"/>
        </w:rPr>
      </w:pPr>
      <w:r w:rsidRPr="007E043C">
        <w:rPr>
          <w:rStyle w:val="FootnoteReference"/>
          <w:szCs w:val="18"/>
        </w:rPr>
        <w:footnoteRef/>
      </w:r>
      <w:r w:rsidRPr="007E043C">
        <w:rPr>
          <w:szCs w:val="18"/>
        </w:rPr>
        <w:t xml:space="preserve"> Individual respondent</w:t>
      </w:r>
    </w:p>
  </w:footnote>
  <w:footnote w:id="25">
    <w:p w14:paraId="2EB26C88" w14:textId="429A97E2" w:rsidR="009F6753" w:rsidRPr="00CF239E" w:rsidRDefault="009F6753" w:rsidP="00D77FDD">
      <w:pPr>
        <w:pStyle w:val="FootnoteText"/>
        <w:spacing w:before="0"/>
        <w:rPr>
          <w:sz w:val="18"/>
          <w:szCs w:val="18"/>
          <w:lang w:val="en-NZ"/>
        </w:rPr>
      </w:pPr>
      <w:r w:rsidRPr="00CF239E">
        <w:rPr>
          <w:rStyle w:val="FootnoteReference"/>
          <w:sz w:val="18"/>
          <w:szCs w:val="18"/>
        </w:rPr>
        <w:footnoteRef/>
      </w:r>
      <w:r w:rsidRPr="00CF239E">
        <w:rPr>
          <w:sz w:val="18"/>
          <w:szCs w:val="18"/>
        </w:rPr>
        <w:t xml:space="preserve"> </w:t>
      </w:r>
      <w:r w:rsidRPr="00CF239E">
        <w:rPr>
          <w:sz w:val="18"/>
          <w:szCs w:val="18"/>
          <w:lang w:val="en-NZ"/>
        </w:rPr>
        <w:t>Organisation via discussion</w:t>
      </w:r>
    </w:p>
  </w:footnote>
  <w:footnote w:id="26">
    <w:p w14:paraId="481DAD8A" w14:textId="05215901" w:rsidR="009F6753" w:rsidRPr="00127C1A" w:rsidRDefault="009F6753" w:rsidP="00127C1A">
      <w:pPr>
        <w:pStyle w:val="Footnote"/>
      </w:pPr>
      <w:r>
        <w:rPr>
          <w:rStyle w:val="FootnoteReference"/>
        </w:rPr>
        <w:footnoteRef/>
      </w:r>
      <w:r>
        <w:t xml:space="preserve"> Lived experience focus group</w:t>
      </w:r>
    </w:p>
  </w:footnote>
  <w:footnote w:id="27">
    <w:p w14:paraId="6C24A090" w14:textId="15D68B0E" w:rsidR="009F6753" w:rsidRPr="007E043C" w:rsidRDefault="009F6753" w:rsidP="00D77FDD">
      <w:pPr>
        <w:pStyle w:val="Footnote"/>
        <w:rPr>
          <w:szCs w:val="18"/>
        </w:rPr>
      </w:pPr>
      <w:r w:rsidRPr="007E043C">
        <w:rPr>
          <w:rStyle w:val="FootnoteReference"/>
          <w:szCs w:val="18"/>
        </w:rPr>
        <w:footnoteRef/>
      </w:r>
      <w:r w:rsidRPr="007E043C">
        <w:rPr>
          <w:szCs w:val="18"/>
        </w:rPr>
        <w:t xml:space="preserve"> Australasian College for Emergency Medicine</w:t>
      </w:r>
    </w:p>
  </w:footnote>
  <w:footnote w:id="28">
    <w:p w14:paraId="6EDF8380" w14:textId="20A3684B" w:rsidR="009F6753" w:rsidRPr="007D7939" w:rsidRDefault="009F6753" w:rsidP="007D7939">
      <w:pPr>
        <w:pStyle w:val="Footnote"/>
      </w:pPr>
      <w:r>
        <w:rPr>
          <w:rStyle w:val="FootnoteReference"/>
        </w:rPr>
        <w:footnoteRef/>
      </w:r>
      <w:r>
        <w:t xml:space="preserve"> Individual respondent</w:t>
      </w:r>
    </w:p>
  </w:footnote>
  <w:footnote w:id="29">
    <w:p w14:paraId="0430E448" w14:textId="59D2AA4F" w:rsidR="009F6753" w:rsidRPr="004253C9" w:rsidRDefault="009F6753" w:rsidP="00030F7A">
      <w:pPr>
        <w:pStyle w:val="Footnote"/>
      </w:pPr>
      <w:r>
        <w:rPr>
          <w:rStyle w:val="FootnoteReference"/>
        </w:rPr>
        <w:footnoteRef/>
      </w:r>
      <w:r>
        <w:t xml:space="preserve"> Mental Health </w:t>
      </w:r>
      <w:r w:rsidRPr="00030F7A">
        <w:t>Nurses</w:t>
      </w:r>
      <w:r>
        <w:t xml:space="preserve"> Section, NZNO</w:t>
      </w:r>
    </w:p>
  </w:footnote>
  <w:footnote w:id="30">
    <w:p w14:paraId="492A4AC2" w14:textId="77777777" w:rsidR="009F6753" w:rsidRPr="00030F7A" w:rsidRDefault="009F6753" w:rsidP="00146709">
      <w:pPr>
        <w:pStyle w:val="Footnote"/>
      </w:pPr>
      <w:r>
        <w:rPr>
          <w:rStyle w:val="FootnoteReference"/>
        </w:rPr>
        <w:footnoteRef/>
      </w:r>
      <w:r>
        <w:t xml:space="preserve"> Individual respondent</w:t>
      </w:r>
    </w:p>
  </w:footnote>
  <w:footnote w:id="31">
    <w:p w14:paraId="64FA1208" w14:textId="5BA1D609" w:rsidR="009F6753" w:rsidRPr="007E043C" w:rsidRDefault="009F6753" w:rsidP="00030F7A">
      <w:pPr>
        <w:pStyle w:val="Footnote"/>
      </w:pPr>
      <w:r w:rsidRPr="007E043C">
        <w:rPr>
          <w:rStyle w:val="FootnoteReference"/>
          <w:szCs w:val="18"/>
        </w:rPr>
        <w:footnoteRef/>
      </w:r>
      <w:r w:rsidRPr="007E043C">
        <w:t xml:space="preserve"> </w:t>
      </w:r>
      <w:r w:rsidRPr="0071593A">
        <w:t>Addiction Consumer Leadership Group (Te Pou)</w:t>
      </w:r>
    </w:p>
  </w:footnote>
  <w:footnote w:id="32">
    <w:p w14:paraId="0E618E65" w14:textId="38718CDC" w:rsidR="009F6753" w:rsidRPr="00B62A16" w:rsidRDefault="009F6753" w:rsidP="009F6753">
      <w:pPr>
        <w:pStyle w:val="Footnote"/>
      </w:pPr>
      <w:r>
        <w:rPr>
          <w:rStyle w:val="FootnoteReference"/>
        </w:rPr>
        <w:footnoteRef/>
      </w:r>
      <w:r>
        <w:t xml:space="preserve"> </w:t>
      </w:r>
      <w:r w:rsidRPr="00711190">
        <w:rPr>
          <w:lang w:eastAsia="en-GB"/>
        </w:rPr>
        <w:t>Infant Mental Health Association Aotearoa New Zealand</w:t>
      </w:r>
    </w:p>
  </w:footnote>
  <w:footnote w:id="33">
    <w:p w14:paraId="22BB765D" w14:textId="67B25C70" w:rsidR="009F6753" w:rsidRPr="007E043C" w:rsidRDefault="009F6753" w:rsidP="009F6753">
      <w:pPr>
        <w:pStyle w:val="Footnote"/>
      </w:pPr>
      <w:r w:rsidRPr="007E043C">
        <w:rPr>
          <w:rStyle w:val="FootnoteReference"/>
          <w:szCs w:val="18"/>
        </w:rPr>
        <w:footnoteRef/>
      </w:r>
      <w:r w:rsidRPr="007E043C">
        <w:t xml:space="preserve"> </w:t>
      </w:r>
      <w:r w:rsidRPr="00A51CBB">
        <w:t>Offic</w:t>
      </w:r>
      <w:r>
        <w:t>e of the Children’s Commissioner</w:t>
      </w:r>
    </w:p>
  </w:footnote>
  <w:footnote w:id="34">
    <w:p w14:paraId="7F40A1DF" w14:textId="1B75BCC5"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w:t>
      </w:r>
      <w:r w:rsidRPr="007E043C">
        <w:rPr>
          <w:sz w:val="18"/>
          <w:szCs w:val="18"/>
          <w:lang w:val="en-NZ"/>
        </w:rPr>
        <w:t>Platform Trust</w:t>
      </w:r>
    </w:p>
  </w:footnote>
  <w:footnote w:id="35">
    <w:p w14:paraId="595EA2BB" w14:textId="235D0521"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w:t>
      </w:r>
      <w:r>
        <w:rPr>
          <w:sz w:val="18"/>
          <w:szCs w:val="18"/>
          <w:lang w:val="en-NZ"/>
        </w:rPr>
        <w:t>Organisation via discussion</w:t>
      </w:r>
    </w:p>
  </w:footnote>
  <w:footnote w:id="36">
    <w:p w14:paraId="4804B0EF" w14:textId="7AF5645C"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w:t>
      </w:r>
      <w:r w:rsidRPr="00D77FDD">
        <w:rPr>
          <w:sz w:val="18"/>
          <w:szCs w:val="18"/>
          <w:lang w:val="en-NZ"/>
        </w:rPr>
        <w:t>Office</w:t>
      </w:r>
      <w:r>
        <w:rPr>
          <w:sz w:val="18"/>
          <w:szCs w:val="18"/>
          <w:lang w:val="en-NZ"/>
        </w:rPr>
        <w:t xml:space="preserve"> of the Children’s Commissioner</w:t>
      </w:r>
    </w:p>
  </w:footnote>
  <w:footnote w:id="37">
    <w:p w14:paraId="67DA9F91" w14:textId="77777777"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Individual respondent</w:t>
      </w:r>
    </w:p>
  </w:footnote>
  <w:footnote w:id="38">
    <w:p w14:paraId="49286A8C" w14:textId="77777777"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Individual respondent</w:t>
      </w:r>
    </w:p>
  </w:footnote>
  <w:footnote w:id="39">
    <w:p w14:paraId="16939E71" w14:textId="52EDF457"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New Zealand Psychological Society</w:t>
      </w:r>
    </w:p>
  </w:footnote>
  <w:footnote w:id="40">
    <w:p w14:paraId="49567BB5" w14:textId="573BFBCD" w:rsidR="009F6753" w:rsidRPr="00140E7A" w:rsidRDefault="009F6753" w:rsidP="00140E7A">
      <w:pPr>
        <w:pStyle w:val="Footnote"/>
      </w:pPr>
      <w:r>
        <w:rPr>
          <w:rStyle w:val="FootnoteReference"/>
        </w:rPr>
        <w:footnoteRef/>
      </w:r>
      <w:r>
        <w:t xml:space="preserve"> Platform Trust</w:t>
      </w:r>
    </w:p>
  </w:footnote>
  <w:footnote w:id="41">
    <w:p w14:paraId="4276185A" w14:textId="1ACC9153" w:rsidR="009F6753" w:rsidRPr="00F80A32" w:rsidRDefault="009F6753" w:rsidP="00F80A32">
      <w:pPr>
        <w:pStyle w:val="Footnote"/>
      </w:pPr>
      <w:r>
        <w:rPr>
          <w:rStyle w:val="FootnoteReference"/>
        </w:rPr>
        <w:footnoteRef/>
      </w:r>
      <w:r>
        <w:t xml:space="preserve"> ‘A</w:t>
      </w:r>
      <w:r w:rsidRPr="00F80A32">
        <w:t xml:space="preserve"> person's </w:t>
      </w:r>
      <w:hyperlink r:id="rId3" w:tooltip="desire" w:history="1">
        <w:r w:rsidRPr="00F80A32">
          <w:t>desire</w:t>
        </w:r>
      </w:hyperlink>
      <w:r w:rsidRPr="00F80A32">
        <w:t> to use all </w:t>
      </w:r>
      <w:hyperlink r:id="rId4" w:tooltip="their" w:history="1">
        <w:r w:rsidRPr="00F80A32">
          <w:t>their</w:t>
        </w:r>
      </w:hyperlink>
      <w:r w:rsidRPr="00F80A32">
        <w:t> </w:t>
      </w:r>
      <w:hyperlink r:id="rId5" w:tooltip="abilities" w:history="1">
        <w:r w:rsidRPr="00F80A32">
          <w:t>abilities</w:t>
        </w:r>
      </w:hyperlink>
      <w:r w:rsidRPr="00F80A32">
        <w:t> to </w:t>
      </w:r>
      <w:hyperlink r:id="rId6" w:tooltip="achieve" w:history="1">
        <w:r w:rsidRPr="00F80A32">
          <w:t>achieve</w:t>
        </w:r>
      </w:hyperlink>
      <w:r w:rsidRPr="00F80A32">
        <w:t> and be everything that they </w:t>
      </w:r>
      <w:hyperlink r:id="rId7" w:tooltip="possibly" w:history="1">
        <w:r w:rsidRPr="00F80A32">
          <w:t>possibly</w:t>
        </w:r>
      </w:hyperlink>
      <w:r w:rsidRPr="00F80A32">
        <w:t> can. The </w:t>
      </w:r>
      <w:hyperlink r:id="rId8" w:tooltip="expression" w:history="1">
        <w:r w:rsidRPr="00F80A32">
          <w:t>expression</w:t>
        </w:r>
      </w:hyperlink>
      <w:r w:rsidRPr="00F80A32">
        <w:t> is used by Maslow in his </w:t>
      </w:r>
      <w:hyperlink r:id="rId9" w:tooltip="theory" w:history="1">
        <w:r w:rsidRPr="00F80A32">
          <w:t>theory</w:t>
        </w:r>
      </w:hyperlink>
      <w:r w:rsidRPr="00F80A32">
        <w:t> of </w:t>
      </w:r>
      <w:hyperlink r:id="rId10" w:tooltip="human" w:history="1">
        <w:r w:rsidRPr="00F80A32">
          <w:t>human</w:t>
        </w:r>
      </w:hyperlink>
      <w:r w:rsidRPr="00F80A32">
        <w:t> </w:t>
      </w:r>
      <w:hyperlink r:id="rId11" w:tooltip="motivation" w:history="1">
        <w:r w:rsidRPr="00F80A32">
          <w:t>motivation</w:t>
        </w:r>
      </w:hyperlink>
      <w:r>
        <w:t xml:space="preserve">.’ </w:t>
      </w:r>
      <w:r w:rsidRPr="00F80A32">
        <w:t>https://dictionary.cambridge.org/dictionary/english/self-actualization</w:t>
      </w:r>
    </w:p>
  </w:footnote>
  <w:footnote w:id="42">
    <w:p w14:paraId="66117389" w14:textId="4BEE3349"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w:t>
      </w:r>
      <w:r w:rsidRPr="007E043C">
        <w:rPr>
          <w:sz w:val="18"/>
          <w:szCs w:val="18"/>
          <w:lang w:val="en-NZ"/>
        </w:rPr>
        <w:t>Lived experience focus group</w:t>
      </w:r>
    </w:p>
  </w:footnote>
  <w:footnote w:id="43">
    <w:p w14:paraId="7D4524FE" w14:textId="2A4344EF"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w:t>
      </w:r>
      <w:r w:rsidRPr="007E043C">
        <w:rPr>
          <w:sz w:val="18"/>
          <w:szCs w:val="18"/>
          <w:lang w:val="en-NZ"/>
        </w:rPr>
        <w:t>Organisation – did not consent to quotes being attributed</w:t>
      </w:r>
    </w:p>
  </w:footnote>
  <w:footnote w:id="44">
    <w:p w14:paraId="18A6168D" w14:textId="3B948291" w:rsidR="009F6753" w:rsidRPr="00F80A32" w:rsidRDefault="009F6753" w:rsidP="00F80A32">
      <w:pPr>
        <w:pStyle w:val="Footnote"/>
      </w:pPr>
      <w:r>
        <w:rPr>
          <w:rStyle w:val="FootnoteReference"/>
        </w:rPr>
        <w:footnoteRef/>
      </w:r>
      <w:r>
        <w:t xml:space="preserve"> </w:t>
      </w:r>
      <w:r w:rsidRPr="000967E6">
        <w:t xml:space="preserve">Organisation – </w:t>
      </w:r>
      <w:r>
        <w:t>did not consent to quotes being attributed</w:t>
      </w:r>
    </w:p>
  </w:footnote>
  <w:footnote w:id="45">
    <w:p w14:paraId="2DD59112" w14:textId="326989C7"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w:t>
      </w:r>
      <w:r w:rsidRPr="007E043C">
        <w:rPr>
          <w:sz w:val="18"/>
          <w:szCs w:val="18"/>
          <w:lang w:val="en-NZ"/>
        </w:rPr>
        <w:t>InsideOUT Kōaro</w:t>
      </w:r>
    </w:p>
  </w:footnote>
  <w:footnote w:id="46">
    <w:p w14:paraId="788B04AF" w14:textId="77777777" w:rsidR="009F6753" w:rsidRPr="00FE333B" w:rsidRDefault="009F6753" w:rsidP="008717F5">
      <w:pPr>
        <w:pStyle w:val="Footnote"/>
      </w:pPr>
      <w:r>
        <w:rPr>
          <w:rStyle w:val="FootnoteReference"/>
        </w:rPr>
        <w:footnoteRef/>
      </w:r>
      <w:r>
        <w:t xml:space="preserve"> Feedback from the Pacific engagement.</w:t>
      </w:r>
    </w:p>
  </w:footnote>
  <w:footnote w:id="47">
    <w:p w14:paraId="5604A100" w14:textId="5A9356D8" w:rsidR="009F6753" w:rsidRPr="008717F5" w:rsidRDefault="009F6753" w:rsidP="008717F5">
      <w:pPr>
        <w:pStyle w:val="Footnote"/>
      </w:pPr>
      <w:r>
        <w:rPr>
          <w:rStyle w:val="FootnoteReference"/>
        </w:rPr>
        <w:footnoteRef/>
      </w:r>
      <w:r>
        <w:t xml:space="preserve"> Individual respondent</w:t>
      </w:r>
    </w:p>
  </w:footnote>
  <w:footnote w:id="48">
    <w:p w14:paraId="531FC8C1" w14:textId="491A312C"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w:t>
      </w:r>
      <w:r w:rsidRPr="007E043C">
        <w:rPr>
          <w:sz w:val="18"/>
          <w:szCs w:val="18"/>
          <w:lang w:val="en-NZ"/>
        </w:rPr>
        <w:t>Organisation – did not consent to quotes being attributed</w:t>
      </w:r>
    </w:p>
  </w:footnote>
  <w:footnote w:id="49">
    <w:p w14:paraId="4542FDED" w14:textId="12B71598"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w:t>
      </w:r>
      <w:r w:rsidRPr="007E043C">
        <w:rPr>
          <w:sz w:val="18"/>
          <w:szCs w:val="18"/>
          <w:lang w:val="en-NZ"/>
        </w:rPr>
        <w:t>Canterbury District Health Board</w:t>
      </w:r>
    </w:p>
  </w:footnote>
  <w:footnote w:id="50">
    <w:p w14:paraId="27909D95" w14:textId="3E54858C" w:rsidR="009F6753" w:rsidRPr="007E043C" w:rsidRDefault="009F6753" w:rsidP="002621C2">
      <w:pPr>
        <w:pStyle w:val="Footnote"/>
      </w:pPr>
      <w:r w:rsidRPr="007E043C">
        <w:rPr>
          <w:rStyle w:val="FootnoteReference"/>
          <w:szCs w:val="18"/>
        </w:rPr>
        <w:footnoteRef/>
      </w:r>
      <w:r w:rsidRPr="007E043C">
        <w:t xml:space="preserve"> </w:t>
      </w:r>
      <w:r w:rsidRPr="007E043C">
        <w:rPr>
          <w:lang w:eastAsia="en-GB"/>
        </w:rPr>
        <w:t>Asian Family Services</w:t>
      </w:r>
    </w:p>
  </w:footnote>
  <w:footnote w:id="51">
    <w:p w14:paraId="3A5109A6" w14:textId="77777777" w:rsidR="009F6753" w:rsidRPr="007E043C" w:rsidRDefault="009F6753" w:rsidP="002621C2">
      <w:pPr>
        <w:pStyle w:val="Footnote"/>
      </w:pPr>
      <w:r w:rsidRPr="007E043C">
        <w:rPr>
          <w:rStyle w:val="FootnoteReference"/>
          <w:szCs w:val="18"/>
        </w:rPr>
        <w:footnoteRef/>
      </w:r>
      <w:r w:rsidRPr="007E043C">
        <w:t xml:space="preserve"> </w:t>
      </w:r>
      <w:r w:rsidRPr="002621C2">
        <w:t>Australasian</w:t>
      </w:r>
      <w:r w:rsidRPr="007E043C">
        <w:t xml:space="preserve"> College for Emergency Medicine</w:t>
      </w:r>
    </w:p>
  </w:footnote>
  <w:footnote w:id="52">
    <w:p w14:paraId="2E545191" w14:textId="374B5DE5" w:rsidR="009F6753" w:rsidRPr="002621C2" w:rsidRDefault="009F6753" w:rsidP="002621C2">
      <w:pPr>
        <w:pStyle w:val="Footnote"/>
      </w:pPr>
      <w:r>
        <w:rPr>
          <w:rStyle w:val="FootnoteReference"/>
        </w:rPr>
        <w:footnoteRef/>
      </w:r>
      <w:r>
        <w:t xml:space="preserve"> </w:t>
      </w:r>
      <w:r w:rsidRPr="002621C2">
        <w:t>Individual</w:t>
      </w:r>
      <w:r>
        <w:t xml:space="preserve"> respondent</w:t>
      </w:r>
    </w:p>
  </w:footnote>
  <w:footnote w:id="53">
    <w:p w14:paraId="39F58A7C" w14:textId="0509540A" w:rsidR="009F6753" w:rsidRPr="007E043C" w:rsidRDefault="009F6753" w:rsidP="002621C2">
      <w:pPr>
        <w:pStyle w:val="Footnote"/>
      </w:pPr>
      <w:r w:rsidRPr="007E043C">
        <w:rPr>
          <w:rStyle w:val="FootnoteReference"/>
          <w:szCs w:val="18"/>
        </w:rPr>
        <w:footnoteRef/>
      </w:r>
      <w:r w:rsidRPr="007E043C">
        <w:t xml:space="preserve"> Changing Minds</w:t>
      </w:r>
    </w:p>
  </w:footnote>
  <w:footnote w:id="54">
    <w:p w14:paraId="1E283204" w14:textId="07B5396E"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w:t>
      </w:r>
      <w:r w:rsidRPr="007E043C">
        <w:rPr>
          <w:sz w:val="18"/>
          <w:szCs w:val="18"/>
          <w:lang w:val="en-NZ"/>
        </w:rPr>
        <w:t>Mental Health Foundation</w:t>
      </w:r>
    </w:p>
  </w:footnote>
  <w:footnote w:id="55">
    <w:p w14:paraId="2950D123" w14:textId="5CB3E95D"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Addiction Consumer Leadership Group (Te Pou)</w:t>
      </w:r>
    </w:p>
  </w:footnote>
  <w:footnote w:id="56">
    <w:p w14:paraId="63CFEE3B" w14:textId="0F22485E"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Tōpūtanga Tapuhi Kaitiaki o Aotearoa New Zealand Nurses Organisation </w:t>
      </w:r>
    </w:p>
  </w:footnote>
  <w:footnote w:id="57">
    <w:p w14:paraId="00263C36" w14:textId="5C99767A" w:rsidR="009F6753" w:rsidRPr="0088767B" w:rsidRDefault="009F6753" w:rsidP="0088767B">
      <w:pPr>
        <w:pStyle w:val="FootnoteText"/>
        <w:spacing w:before="0"/>
        <w:rPr>
          <w:lang w:val="en-NZ"/>
        </w:rPr>
      </w:pPr>
      <w:r w:rsidRPr="0088767B">
        <w:rPr>
          <w:rStyle w:val="FootnoteReference"/>
          <w:sz w:val="18"/>
        </w:rPr>
        <w:footnoteRef/>
      </w:r>
      <w:r w:rsidRPr="0088767B">
        <w:rPr>
          <w:sz w:val="18"/>
        </w:rPr>
        <w:t xml:space="preserve"> </w:t>
      </w:r>
      <w:r w:rsidRPr="0088767B">
        <w:rPr>
          <w:sz w:val="18"/>
          <w:lang w:val="en-NZ"/>
        </w:rPr>
        <w:t>Organisation, did not provide consent to attribute quotes.</w:t>
      </w:r>
    </w:p>
  </w:footnote>
  <w:footnote w:id="58">
    <w:p w14:paraId="57331D44" w14:textId="77777777" w:rsidR="009F6753" w:rsidRPr="007E043C" w:rsidRDefault="009F6753" w:rsidP="000E75DA">
      <w:pPr>
        <w:pStyle w:val="FootnoteText"/>
        <w:spacing w:before="0"/>
        <w:rPr>
          <w:sz w:val="18"/>
          <w:szCs w:val="18"/>
          <w:lang w:val="en-NZ"/>
        </w:rPr>
      </w:pPr>
      <w:r w:rsidRPr="007E043C">
        <w:rPr>
          <w:rStyle w:val="FootnoteReference"/>
          <w:sz w:val="18"/>
          <w:szCs w:val="18"/>
        </w:rPr>
        <w:footnoteRef/>
      </w:r>
      <w:r w:rsidRPr="007E043C">
        <w:rPr>
          <w:sz w:val="18"/>
          <w:szCs w:val="18"/>
        </w:rPr>
        <w:t xml:space="preserve"> </w:t>
      </w:r>
      <w:r w:rsidRPr="007E043C">
        <w:rPr>
          <w:sz w:val="18"/>
          <w:szCs w:val="18"/>
          <w:lang w:val="en-NZ"/>
        </w:rPr>
        <w:t>Balance Aotearoa</w:t>
      </w:r>
    </w:p>
  </w:footnote>
  <w:footnote w:id="59">
    <w:p w14:paraId="5A6E82B2" w14:textId="6F75C927"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w:t>
      </w:r>
      <w:r w:rsidRPr="007E043C">
        <w:rPr>
          <w:sz w:val="18"/>
          <w:szCs w:val="18"/>
          <w:lang w:val="en-NZ"/>
        </w:rPr>
        <w:t>Asian Family Services</w:t>
      </w:r>
    </w:p>
  </w:footnote>
  <w:footnote w:id="60">
    <w:p w14:paraId="1E98573D" w14:textId="7F9B3015" w:rsidR="009F6753" w:rsidRPr="00A46919" w:rsidRDefault="009F6753" w:rsidP="00A46919">
      <w:pPr>
        <w:pStyle w:val="Footnote"/>
      </w:pPr>
      <w:r>
        <w:rPr>
          <w:rStyle w:val="FootnoteReference"/>
        </w:rPr>
        <w:footnoteRef/>
      </w:r>
      <w:r>
        <w:t xml:space="preserve"> Mental Health Foundation</w:t>
      </w:r>
    </w:p>
  </w:footnote>
  <w:footnote w:id="61">
    <w:p w14:paraId="79DE47FE" w14:textId="77777777"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w:t>
      </w:r>
      <w:r w:rsidRPr="007E043C">
        <w:rPr>
          <w:sz w:val="18"/>
          <w:szCs w:val="18"/>
          <w:lang w:val="en-NZ"/>
        </w:rPr>
        <w:t>Organisation – did not consent to quotes being attributed</w:t>
      </w:r>
    </w:p>
  </w:footnote>
  <w:footnote w:id="62">
    <w:p w14:paraId="6B49872E" w14:textId="51B1EE7D" w:rsidR="009F6753" w:rsidRPr="000E75DA" w:rsidRDefault="009F6753" w:rsidP="000E75DA">
      <w:pPr>
        <w:pStyle w:val="Footnote"/>
      </w:pPr>
      <w:r>
        <w:rPr>
          <w:rStyle w:val="FootnoteReference"/>
        </w:rPr>
        <w:footnoteRef/>
      </w:r>
      <w:r>
        <w:t xml:space="preserve"> </w:t>
      </w:r>
      <w:r>
        <w:rPr>
          <w:lang w:eastAsia="en-NZ"/>
        </w:rPr>
        <w:t xml:space="preserve">The descriptor reads </w:t>
      </w:r>
      <w:r w:rsidRPr="00D209F3">
        <w:t xml:space="preserve">‘Taonga Māori are </w:t>
      </w:r>
      <w:r w:rsidRPr="000E75DA">
        <w:t>restored</w:t>
      </w:r>
      <w:r w:rsidRPr="00D209F3">
        <w:t xml:space="preserve"> and Māori have a unique relationship and spiritual connection to the </w:t>
      </w:r>
      <w:proofErr w:type="spellStart"/>
      <w:r w:rsidRPr="00D209F3">
        <w:t>taiao</w:t>
      </w:r>
      <w:proofErr w:type="spellEnd"/>
      <w:r w:rsidRPr="00D209F3">
        <w:t xml:space="preserve"> (environment), their whenua (land), whakapapa (genealogy) and whānau</w:t>
      </w:r>
      <w:r>
        <w:t>.</w:t>
      </w:r>
    </w:p>
  </w:footnote>
  <w:footnote w:id="63">
    <w:p w14:paraId="2A57F2E4" w14:textId="3EB65F8D" w:rsidR="009F6753" w:rsidRPr="00A7734D" w:rsidRDefault="009F6753" w:rsidP="00A7734D">
      <w:pPr>
        <w:pStyle w:val="Footnote"/>
      </w:pPr>
      <w:r>
        <w:rPr>
          <w:rStyle w:val="FootnoteReference"/>
        </w:rPr>
        <w:footnoteRef/>
      </w:r>
      <w:r>
        <w:t xml:space="preserve"> </w:t>
      </w:r>
      <w:r w:rsidRPr="005C32A5">
        <w:t xml:space="preserve">Te </w:t>
      </w:r>
      <w:proofErr w:type="spellStart"/>
      <w:r w:rsidRPr="005C32A5">
        <w:t>Hiringa</w:t>
      </w:r>
      <w:proofErr w:type="spellEnd"/>
      <w:r w:rsidRPr="005C32A5">
        <w:t xml:space="preserve"> </w:t>
      </w:r>
      <w:proofErr w:type="spellStart"/>
      <w:r w:rsidRPr="005C32A5">
        <w:t>Haurora</w:t>
      </w:r>
      <w:proofErr w:type="spellEnd"/>
      <w:r>
        <w:t xml:space="preserve"> Health Promotion Agency</w:t>
      </w:r>
    </w:p>
  </w:footnote>
  <w:footnote w:id="64">
    <w:p w14:paraId="65A581AC" w14:textId="73038449" w:rsidR="009F6753" w:rsidRPr="00646839" w:rsidRDefault="009F6753" w:rsidP="00646839">
      <w:pPr>
        <w:pStyle w:val="Footnote"/>
      </w:pPr>
      <w:r>
        <w:rPr>
          <w:rStyle w:val="FootnoteReference"/>
        </w:rPr>
        <w:footnoteRef/>
      </w:r>
      <w:r>
        <w:t xml:space="preserve"> Lived experience focus group</w:t>
      </w:r>
    </w:p>
  </w:footnote>
  <w:footnote w:id="65">
    <w:p w14:paraId="615F1F26" w14:textId="35B369FB" w:rsidR="009F6753" w:rsidRPr="00C84E58" w:rsidRDefault="009F6753" w:rsidP="00C84E58">
      <w:pPr>
        <w:pStyle w:val="Footnote"/>
      </w:pPr>
      <w:r>
        <w:rPr>
          <w:rStyle w:val="FootnoteReference"/>
        </w:rPr>
        <w:footnoteRef/>
      </w:r>
      <w:r>
        <w:t xml:space="preserve"> </w:t>
      </w:r>
      <w:r>
        <w:rPr>
          <w:color w:val="000000" w:themeColor="text1"/>
        </w:rPr>
        <w:t>In relation to the statement in the framework ‘</w:t>
      </w:r>
      <w:r w:rsidRPr="007E447A">
        <w:t>Pacific peoples and families lead interdependent lives with one another and their communities in Aotearoa and across the ‘sea of islands’</w:t>
      </w:r>
      <w:r>
        <w:t>.’</w:t>
      </w:r>
    </w:p>
  </w:footnote>
  <w:footnote w:id="66">
    <w:p w14:paraId="01DFD090" w14:textId="27E4AD04" w:rsidR="009F6753" w:rsidRPr="00DA3FDF" w:rsidRDefault="009F6753" w:rsidP="00C84E58">
      <w:pPr>
        <w:pStyle w:val="Footnote"/>
      </w:pPr>
      <w:r w:rsidRPr="00DA3FDF">
        <w:rPr>
          <w:rStyle w:val="FootnoteReference"/>
          <w:szCs w:val="18"/>
        </w:rPr>
        <w:footnoteRef/>
      </w:r>
      <w:r w:rsidRPr="00DA3FDF">
        <w:t xml:space="preserve"> Office of the Children’s Commissioner</w:t>
      </w:r>
    </w:p>
  </w:footnote>
  <w:footnote w:id="67">
    <w:p w14:paraId="759F1CF4" w14:textId="34CFA2FF" w:rsidR="009F6753" w:rsidRPr="007A7E5D" w:rsidRDefault="009F6753" w:rsidP="007A7E5D">
      <w:pPr>
        <w:pStyle w:val="Footnote"/>
      </w:pPr>
      <w:r>
        <w:rPr>
          <w:rStyle w:val="FootnoteReference"/>
        </w:rPr>
        <w:footnoteRef/>
      </w:r>
      <w:r>
        <w:t xml:space="preserve"> </w:t>
      </w:r>
      <w:r w:rsidRPr="000F542C">
        <w:t>Addiction Consumer Leadership Group (Te Pou)</w:t>
      </w:r>
    </w:p>
  </w:footnote>
  <w:footnote w:id="68">
    <w:p w14:paraId="50BEBBA5" w14:textId="1CE8F634" w:rsidR="009F6753" w:rsidRPr="007E043C" w:rsidRDefault="009F6753" w:rsidP="00D77FDD">
      <w:pPr>
        <w:pStyle w:val="FootnoteText"/>
        <w:spacing w:before="0"/>
        <w:rPr>
          <w:sz w:val="18"/>
          <w:szCs w:val="18"/>
          <w:lang w:val="en-NZ"/>
        </w:rPr>
      </w:pPr>
      <w:r w:rsidRPr="007E043C">
        <w:rPr>
          <w:rStyle w:val="FootnoteReference"/>
          <w:sz w:val="18"/>
          <w:szCs w:val="18"/>
        </w:rPr>
        <w:footnoteRef/>
      </w:r>
      <w:r w:rsidRPr="007E043C">
        <w:rPr>
          <w:sz w:val="18"/>
          <w:szCs w:val="18"/>
        </w:rPr>
        <w:t xml:space="preserve"> Organisation – did not consent to quotes being attributed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6FE50" w14:textId="79E562B0" w:rsidR="009F6753" w:rsidRDefault="009F6753" w:rsidP="007E043C">
    <w:pPr>
      <w:pStyle w:val="Header"/>
      <w:jc w:val="center"/>
    </w:pPr>
    <w:r>
      <w:rPr>
        <w:noProof/>
        <w:lang w:val="en-NZ" w:eastAsia="en-NZ"/>
      </w:rPr>
      <w:drawing>
        <wp:inline distT="0" distB="0" distL="0" distR="0" wp14:anchorId="1A600AA3" wp14:editId="7A06C4BE">
          <wp:extent cx="4290060" cy="12799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6930" cy="12939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B60"/>
    <w:multiLevelType w:val="hybridMultilevel"/>
    <w:tmpl w:val="117C1BE2"/>
    <w:lvl w:ilvl="0" w:tplc="14090001">
      <w:start w:val="1"/>
      <w:numFmt w:val="bullet"/>
      <w:lvlText w:val=""/>
      <w:lvlJc w:val="left"/>
      <w:pPr>
        <w:ind w:left="901" w:hanging="360"/>
      </w:pPr>
      <w:rPr>
        <w:rFonts w:ascii="Symbol" w:hAnsi="Symbol" w:hint="default"/>
      </w:rPr>
    </w:lvl>
    <w:lvl w:ilvl="1" w:tplc="14090003" w:tentative="1">
      <w:start w:val="1"/>
      <w:numFmt w:val="bullet"/>
      <w:lvlText w:val="o"/>
      <w:lvlJc w:val="left"/>
      <w:pPr>
        <w:ind w:left="1621" w:hanging="360"/>
      </w:pPr>
      <w:rPr>
        <w:rFonts w:ascii="Courier New" w:hAnsi="Courier New" w:cs="Courier New" w:hint="default"/>
      </w:rPr>
    </w:lvl>
    <w:lvl w:ilvl="2" w:tplc="14090005" w:tentative="1">
      <w:start w:val="1"/>
      <w:numFmt w:val="bullet"/>
      <w:lvlText w:val=""/>
      <w:lvlJc w:val="left"/>
      <w:pPr>
        <w:ind w:left="2341" w:hanging="360"/>
      </w:pPr>
      <w:rPr>
        <w:rFonts w:ascii="Wingdings" w:hAnsi="Wingdings" w:hint="default"/>
      </w:rPr>
    </w:lvl>
    <w:lvl w:ilvl="3" w:tplc="14090001" w:tentative="1">
      <w:start w:val="1"/>
      <w:numFmt w:val="bullet"/>
      <w:lvlText w:val=""/>
      <w:lvlJc w:val="left"/>
      <w:pPr>
        <w:ind w:left="3061" w:hanging="360"/>
      </w:pPr>
      <w:rPr>
        <w:rFonts w:ascii="Symbol" w:hAnsi="Symbol" w:hint="default"/>
      </w:rPr>
    </w:lvl>
    <w:lvl w:ilvl="4" w:tplc="14090003" w:tentative="1">
      <w:start w:val="1"/>
      <w:numFmt w:val="bullet"/>
      <w:lvlText w:val="o"/>
      <w:lvlJc w:val="left"/>
      <w:pPr>
        <w:ind w:left="3781" w:hanging="360"/>
      </w:pPr>
      <w:rPr>
        <w:rFonts w:ascii="Courier New" w:hAnsi="Courier New" w:cs="Courier New" w:hint="default"/>
      </w:rPr>
    </w:lvl>
    <w:lvl w:ilvl="5" w:tplc="14090005" w:tentative="1">
      <w:start w:val="1"/>
      <w:numFmt w:val="bullet"/>
      <w:lvlText w:val=""/>
      <w:lvlJc w:val="left"/>
      <w:pPr>
        <w:ind w:left="4501" w:hanging="360"/>
      </w:pPr>
      <w:rPr>
        <w:rFonts w:ascii="Wingdings" w:hAnsi="Wingdings" w:hint="default"/>
      </w:rPr>
    </w:lvl>
    <w:lvl w:ilvl="6" w:tplc="14090001" w:tentative="1">
      <w:start w:val="1"/>
      <w:numFmt w:val="bullet"/>
      <w:lvlText w:val=""/>
      <w:lvlJc w:val="left"/>
      <w:pPr>
        <w:ind w:left="5221" w:hanging="360"/>
      </w:pPr>
      <w:rPr>
        <w:rFonts w:ascii="Symbol" w:hAnsi="Symbol" w:hint="default"/>
      </w:rPr>
    </w:lvl>
    <w:lvl w:ilvl="7" w:tplc="14090003" w:tentative="1">
      <w:start w:val="1"/>
      <w:numFmt w:val="bullet"/>
      <w:lvlText w:val="o"/>
      <w:lvlJc w:val="left"/>
      <w:pPr>
        <w:ind w:left="5941" w:hanging="360"/>
      </w:pPr>
      <w:rPr>
        <w:rFonts w:ascii="Courier New" w:hAnsi="Courier New" w:cs="Courier New" w:hint="default"/>
      </w:rPr>
    </w:lvl>
    <w:lvl w:ilvl="8" w:tplc="14090005" w:tentative="1">
      <w:start w:val="1"/>
      <w:numFmt w:val="bullet"/>
      <w:lvlText w:val=""/>
      <w:lvlJc w:val="left"/>
      <w:pPr>
        <w:ind w:left="6661" w:hanging="360"/>
      </w:pPr>
      <w:rPr>
        <w:rFonts w:ascii="Wingdings" w:hAnsi="Wingdings" w:hint="default"/>
      </w:rPr>
    </w:lvl>
  </w:abstractNum>
  <w:abstractNum w:abstractNumId="1" w15:restartNumberingAfterBreak="0">
    <w:nsid w:val="00D93CBC"/>
    <w:multiLevelType w:val="hybridMultilevel"/>
    <w:tmpl w:val="619AEAD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 w15:restartNumberingAfterBreak="0">
    <w:nsid w:val="026E66F8"/>
    <w:multiLevelType w:val="hybridMultilevel"/>
    <w:tmpl w:val="076AC8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3A75B6B"/>
    <w:multiLevelType w:val="hybridMultilevel"/>
    <w:tmpl w:val="C682EF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3B97CCB"/>
    <w:multiLevelType w:val="hybridMultilevel"/>
    <w:tmpl w:val="9EAA80FA"/>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36376EA"/>
    <w:multiLevelType w:val="hybridMultilevel"/>
    <w:tmpl w:val="848C8B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65152A6"/>
    <w:multiLevelType w:val="hybridMultilevel"/>
    <w:tmpl w:val="D8967446"/>
    <w:lvl w:ilvl="0" w:tplc="EFDEE0EE">
      <w:start w:val="1"/>
      <w:numFmt w:val="bullet"/>
      <w:lvlText w:val=""/>
      <w:lvlJc w:val="left"/>
      <w:pPr>
        <w:ind w:left="901" w:hanging="360"/>
      </w:pPr>
      <w:rPr>
        <w:rFonts w:ascii="Symbol" w:hAnsi="Symbol" w:hint="default"/>
      </w:rPr>
    </w:lvl>
    <w:lvl w:ilvl="1" w:tplc="14090003" w:tentative="1">
      <w:start w:val="1"/>
      <w:numFmt w:val="bullet"/>
      <w:lvlText w:val="o"/>
      <w:lvlJc w:val="left"/>
      <w:pPr>
        <w:ind w:left="1621" w:hanging="360"/>
      </w:pPr>
      <w:rPr>
        <w:rFonts w:ascii="Courier New" w:hAnsi="Courier New" w:cs="Courier New" w:hint="default"/>
      </w:rPr>
    </w:lvl>
    <w:lvl w:ilvl="2" w:tplc="14090005" w:tentative="1">
      <w:start w:val="1"/>
      <w:numFmt w:val="bullet"/>
      <w:lvlText w:val=""/>
      <w:lvlJc w:val="left"/>
      <w:pPr>
        <w:ind w:left="2341" w:hanging="360"/>
      </w:pPr>
      <w:rPr>
        <w:rFonts w:ascii="Wingdings" w:hAnsi="Wingdings" w:hint="default"/>
      </w:rPr>
    </w:lvl>
    <w:lvl w:ilvl="3" w:tplc="14090001" w:tentative="1">
      <w:start w:val="1"/>
      <w:numFmt w:val="bullet"/>
      <w:lvlText w:val=""/>
      <w:lvlJc w:val="left"/>
      <w:pPr>
        <w:ind w:left="3061" w:hanging="360"/>
      </w:pPr>
      <w:rPr>
        <w:rFonts w:ascii="Symbol" w:hAnsi="Symbol" w:hint="default"/>
      </w:rPr>
    </w:lvl>
    <w:lvl w:ilvl="4" w:tplc="14090003" w:tentative="1">
      <w:start w:val="1"/>
      <w:numFmt w:val="bullet"/>
      <w:lvlText w:val="o"/>
      <w:lvlJc w:val="left"/>
      <w:pPr>
        <w:ind w:left="3781" w:hanging="360"/>
      </w:pPr>
      <w:rPr>
        <w:rFonts w:ascii="Courier New" w:hAnsi="Courier New" w:cs="Courier New" w:hint="default"/>
      </w:rPr>
    </w:lvl>
    <w:lvl w:ilvl="5" w:tplc="14090005" w:tentative="1">
      <w:start w:val="1"/>
      <w:numFmt w:val="bullet"/>
      <w:lvlText w:val=""/>
      <w:lvlJc w:val="left"/>
      <w:pPr>
        <w:ind w:left="4501" w:hanging="360"/>
      </w:pPr>
      <w:rPr>
        <w:rFonts w:ascii="Wingdings" w:hAnsi="Wingdings" w:hint="default"/>
      </w:rPr>
    </w:lvl>
    <w:lvl w:ilvl="6" w:tplc="14090001" w:tentative="1">
      <w:start w:val="1"/>
      <w:numFmt w:val="bullet"/>
      <w:lvlText w:val=""/>
      <w:lvlJc w:val="left"/>
      <w:pPr>
        <w:ind w:left="5221" w:hanging="360"/>
      </w:pPr>
      <w:rPr>
        <w:rFonts w:ascii="Symbol" w:hAnsi="Symbol" w:hint="default"/>
      </w:rPr>
    </w:lvl>
    <w:lvl w:ilvl="7" w:tplc="14090003" w:tentative="1">
      <w:start w:val="1"/>
      <w:numFmt w:val="bullet"/>
      <w:lvlText w:val="o"/>
      <w:lvlJc w:val="left"/>
      <w:pPr>
        <w:ind w:left="5941" w:hanging="360"/>
      </w:pPr>
      <w:rPr>
        <w:rFonts w:ascii="Courier New" w:hAnsi="Courier New" w:cs="Courier New" w:hint="default"/>
      </w:rPr>
    </w:lvl>
    <w:lvl w:ilvl="8" w:tplc="14090005" w:tentative="1">
      <w:start w:val="1"/>
      <w:numFmt w:val="bullet"/>
      <w:lvlText w:val=""/>
      <w:lvlJc w:val="left"/>
      <w:pPr>
        <w:ind w:left="6661" w:hanging="360"/>
      </w:pPr>
      <w:rPr>
        <w:rFonts w:ascii="Wingdings" w:hAnsi="Wingdings" w:hint="default"/>
      </w:rPr>
    </w:lvl>
  </w:abstractNum>
  <w:abstractNum w:abstractNumId="7" w15:restartNumberingAfterBreak="0">
    <w:nsid w:val="172C16B5"/>
    <w:multiLevelType w:val="hybridMultilevel"/>
    <w:tmpl w:val="959AAF3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19E40064"/>
    <w:multiLevelType w:val="hybridMultilevel"/>
    <w:tmpl w:val="3732D0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B996600"/>
    <w:multiLevelType w:val="hybridMultilevel"/>
    <w:tmpl w:val="48BEF1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BD869F5"/>
    <w:multiLevelType w:val="hybridMultilevel"/>
    <w:tmpl w:val="41FA63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EA72291"/>
    <w:multiLevelType w:val="hybridMultilevel"/>
    <w:tmpl w:val="A7748E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18F1C0F"/>
    <w:multiLevelType w:val="hybridMultilevel"/>
    <w:tmpl w:val="4F6EC2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43F478F"/>
    <w:multiLevelType w:val="hybridMultilevel"/>
    <w:tmpl w:val="1B3A02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560259"/>
    <w:multiLevelType w:val="hybridMultilevel"/>
    <w:tmpl w:val="74044D1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CCF4094"/>
    <w:multiLevelType w:val="hybridMultilevel"/>
    <w:tmpl w:val="3D6A79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9B4718"/>
    <w:multiLevelType w:val="hybridMultilevel"/>
    <w:tmpl w:val="4CBC29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6A3DDE"/>
    <w:multiLevelType w:val="hybridMultilevel"/>
    <w:tmpl w:val="EA02E4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A7B4DB1"/>
    <w:multiLevelType w:val="hybridMultilevel"/>
    <w:tmpl w:val="7108D6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D1E6206"/>
    <w:multiLevelType w:val="hybridMultilevel"/>
    <w:tmpl w:val="7BBC38A8"/>
    <w:lvl w:ilvl="0" w:tplc="EFDEE0EE">
      <w:start w:val="1"/>
      <w:numFmt w:val="bullet"/>
      <w:lvlText w:val=""/>
      <w:lvlJc w:val="left"/>
      <w:pPr>
        <w:ind w:left="901" w:hanging="360"/>
      </w:pPr>
      <w:rPr>
        <w:rFonts w:ascii="Symbol" w:hAnsi="Symbol" w:hint="default"/>
      </w:rPr>
    </w:lvl>
    <w:lvl w:ilvl="1" w:tplc="14090003" w:tentative="1">
      <w:start w:val="1"/>
      <w:numFmt w:val="bullet"/>
      <w:lvlText w:val="o"/>
      <w:lvlJc w:val="left"/>
      <w:pPr>
        <w:ind w:left="1621" w:hanging="360"/>
      </w:pPr>
      <w:rPr>
        <w:rFonts w:ascii="Courier New" w:hAnsi="Courier New" w:cs="Courier New" w:hint="default"/>
      </w:rPr>
    </w:lvl>
    <w:lvl w:ilvl="2" w:tplc="14090005" w:tentative="1">
      <w:start w:val="1"/>
      <w:numFmt w:val="bullet"/>
      <w:lvlText w:val=""/>
      <w:lvlJc w:val="left"/>
      <w:pPr>
        <w:ind w:left="2341" w:hanging="360"/>
      </w:pPr>
      <w:rPr>
        <w:rFonts w:ascii="Wingdings" w:hAnsi="Wingdings" w:hint="default"/>
      </w:rPr>
    </w:lvl>
    <w:lvl w:ilvl="3" w:tplc="14090001" w:tentative="1">
      <w:start w:val="1"/>
      <w:numFmt w:val="bullet"/>
      <w:lvlText w:val=""/>
      <w:lvlJc w:val="left"/>
      <w:pPr>
        <w:ind w:left="3061" w:hanging="360"/>
      </w:pPr>
      <w:rPr>
        <w:rFonts w:ascii="Symbol" w:hAnsi="Symbol" w:hint="default"/>
      </w:rPr>
    </w:lvl>
    <w:lvl w:ilvl="4" w:tplc="14090003" w:tentative="1">
      <w:start w:val="1"/>
      <w:numFmt w:val="bullet"/>
      <w:lvlText w:val="o"/>
      <w:lvlJc w:val="left"/>
      <w:pPr>
        <w:ind w:left="3781" w:hanging="360"/>
      </w:pPr>
      <w:rPr>
        <w:rFonts w:ascii="Courier New" w:hAnsi="Courier New" w:cs="Courier New" w:hint="default"/>
      </w:rPr>
    </w:lvl>
    <w:lvl w:ilvl="5" w:tplc="14090005" w:tentative="1">
      <w:start w:val="1"/>
      <w:numFmt w:val="bullet"/>
      <w:lvlText w:val=""/>
      <w:lvlJc w:val="left"/>
      <w:pPr>
        <w:ind w:left="4501" w:hanging="360"/>
      </w:pPr>
      <w:rPr>
        <w:rFonts w:ascii="Wingdings" w:hAnsi="Wingdings" w:hint="default"/>
      </w:rPr>
    </w:lvl>
    <w:lvl w:ilvl="6" w:tplc="14090001" w:tentative="1">
      <w:start w:val="1"/>
      <w:numFmt w:val="bullet"/>
      <w:lvlText w:val=""/>
      <w:lvlJc w:val="left"/>
      <w:pPr>
        <w:ind w:left="5221" w:hanging="360"/>
      </w:pPr>
      <w:rPr>
        <w:rFonts w:ascii="Symbol" w:hAnsi="Symbol" w:hint="default"/>
      </w:rPr>
    </w:lvl>
    <w:lvl w:ilvl="7" w:tplc="14090003" w:tentative="1">
      <w:start w:val="1"/>
      <w:numFmt w:val="bullet"/>
      <w:lvlText w:val="o"/>
      <w:lvlJc w:val="left"/>
      <w:pPr>
        <w:ind w:left="5941" w:hanging="360"/>
      </w:pPr>
      <w:rPr>
        <w:rFonts w:ascii="Courier New" w:hAnsi="Courier New" w:cs="Courier New" w:hint="default"/>
      </w:rPr>
    </w:lvl>
    <w:lvl w:ilvl="8" w:tplc="14090005" w:tentative="1">
      <w:start w:val="1"/>
      <w:numFmt w:val="bullet"/>
      <w:lvlText w:val=""/>
      <w:lvlJc w:val="left"/>
      <w:pPr>
        <w:ind w:left="6661" w:hanging="360"/>
      </w:pPr>
      <w:rPr>
        <w:rFonts w:ascii="Wingdings" w:hAnsi="Wingdings" w:hint="default"/>
      </w:rPr>
    </w:lvl>
  </w:abstractNum>
  <w:abstractNum w:abstractNumId="20" w15:restartNumberingAfterBreak="0">
    <w:nsid w:val="495210B8"/>
    <w:multiLevelType w:val="hybridMultilevel"/>
    <w:tmpl w:val="28E2F3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BE96A7D"/>
    <w:multiLevelType w:val="hybridMultilevel"/>
    <w:tmpl w:val="08BC5494"/>
    <w:lvl w:ilvl="0" w:tplc="4D3EA874">
      <w:start w:val="1"/>
      <w:numFmt w:val="bullet"/>
      <w:lvlText w:val="•"/>
      <w:lvlJc w:val="left"/>
      <w:pPr>
        <w:tabs>
          <w:tab w:val="num" w:pos="720"/>
        </w:tabs>
        <w:ind w:left="720" w:hanging="360"/>
      </w:pPr>
      <w:rPr>
        <w:rFonts w:ascii="Arial" w:hAnsi="Arial" w:hint="default"/>
      </w:rPr>
    </w:lvl>
    <w:lvl w:ilvl="1" w:tplc="E6C0F612">
      <w:start w:val="270"/>
      <w:numFmt w:val="bullet"/>
      <w:lvlText w:val="•"/>
      <w:lvlJc w:val="left"/>
      <w:pPr>
        <w:tabs>
          <w:tab w:val="num" w:pos="1440"/>
        </w:tabs>
        <w:ind w:left="1440" w:hanging="360"/>
      </w:pPr>
      <w:rPr>
        <w:rFonts w:ascii="Arial" w:hAnsi="Arial" w:hint="default"/>
      </w:rPr>
    </w:lvl>
    <w:lvl w:ilvl="2" w:tplc="C8B8B9CE" w:tentative="1">
      <w:start w:val="1"/>
      <w:numFmt w:val="bullet"/>
      <w:lvlText w:val="•"/>
      <w:lvlJc w:val="left"/>
      <w:pPr>
        <w:tabs>
          <w:tab w:val="num" w:pos="2160"/>
        </w:tabs>
        <w:ind w:left="2160" w:hanging="360"/>
      </w:pPr>
      <w:rPr>
        <w:rFonts w:ascii="Arial" w:hAnsi="Arial" w:hint="default"/>
      </w:rPr>
    </w:lvl>
    <w:lvl w:ilvl="3" w:tplc="B57E3D72" w:tentative="1">
      <w:start w:val="1"/>
      <w:numFmt w:val="bullet"/>
      <w:lvlText w:val="•"/>
      <w:lvlJc w:val="left"/>
      <w:pPr>
        <w:tabs>
          <w:tab w:val="num" w:pos="2880"/>
        </w:tabs>
        <w:ind w:left="2880" w:hanging="360"/>
      </w:pPr>
      <w:rPr>
        <w:rFonts w:ascii="Arial" w:hAnsi="Arial" w:hint="default"/>
      </w:rPr>
    </w:lvl>
    <w:lvl w:ilvl="4" w:tplc="BD3C159C" w:tentative="1">
      <w:start w:val="1"/>
      <w:numFmt w:val="bullet"/>
      <w:lvlText w:val="•"/>
      <w:lvlJc w:val="left"/>
      <w:pPr>
        <w:tabs>
          <w:tab w:val="num" w:pos="3600"/>
        </w:tabs>
        <w:ind w:left="3600" w:hanging="360"/>
      </w:pPr>
      <w:rPr>
        <w:rFonts w:ascii="Arial" w:hAnsi="Arial" w:hint="default"/>
      </w:rPr>
    </w:lvl>
    <w:lvl w:ilvl="5" w:tplc="7CA2EDBC" w:tentative="1">
      <w:start w:val="1"/>
      <w:numFmt w:val="bullet"/>
      <w:lvlText w:val="•"/>
      <w:lvlJc w:val="left"/>
      <w:pPr>
        <w:tabs>
          <w:tab w:val="num" w:pos="4320"/>
        </w:tabs>
        <w:ind w:left="4320" w:hanging="360"/>
      </w:pPr>
      <w:rPr>
        <w:rFonts w:ascii="Arial" w:hAnsi="Arial" w:hint="default"/>
      </w:rPr>
    </w:lvl>
    <w:lvl w:ilvl="6" w:tplc="DEF85578" w:tentative="1">
      <w:start w:val="1"/>
      <w:numFmt w:val="bullet"/>
      <w:lvlText w:val="•"/>
      <w:lvlJc w:val="left"/>
      <w:pPr>
        <w:tabs>
          <w:tab w:val="num" w:pos="5040"/>
        </w:tabs>
        <w:ind w:left="5040" w:hanging="360"/>
      </w:pPr>
      <w:rPr>
        <w:rFonts w:ascii="Arial" w:hAnsi="Arial" w:hint="default"/>
      </w:rPr>
    </w:lvl>
    <w:lvl w:ilvl="7" w:tplc="442A4E5A" w:tentative="1">
      <w:start w:val="1"/>
      <w:numFmt w:val="bullet"/>
      <w:lvlText w:val="•"/>
      <w:lvlJc w:val="left"/>
      <w:pPr>
        <w:tabs>
          <w:tab w:val="num" w:pos="5760"/>
        </w:tabs>
        <w:ind w:left="5760" w:hanging="360"/>
      </w:pPr>
      <w:rPr>
        <w:rFonts w:ascii="Arial" w:hAnsi="Arial" w:hint="default"/>
      </w:rPr>
    </w:lvl>
    <w:lvl w:ilvl="8" w:tplc="5936ED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5F6912"/>
    <w:multiLevelType w:val="hybridMultilevel"/>
    <w:tmpl w:val="B6E62324"/>
    <w:lvl w:ilvl="0" w:tplc="44A03234">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47D09B4"/>
    <w:multiLevelType w:val="hybridMultilevel"/>
    <w:tmpl w:val="E8300D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ACE496A"/>
    <w:multiLevelType w:val="hybridMultilevel"/>
    <w:tmpl w:val="5AEEF32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E8C67B9"/>
    <w:multiLevelType w:val="hybridMultilevel"/>
    <w:tmpl w:val="C4601B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EE96E10"/>
    <w:multiLevelType w:val="hybridMultilevel"/>
    <w:tmpl w:val="365E02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57A5057"/>
    <w:multiLevelType w:val="hybridMultilevel"/>
    <w:tmpl w:val="72AE0F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9DA199C"/>
    <w:multiLevelType w:val="hybridMultilevel"/>
    <w:tmpl w:val="4B4E48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28"/>
  </w:num>
  <w:num w:numId="4">
    <w:abstractNumId w:val="15"/>
  </w:num>
  <w:num w:numId="5">
    <w:abstractNumId w:val="9"/>
  </w:num>
  <w:num w:numId="6">
    <w:abstractNumId w:val="2"/>
  </w:num>
  <w:num w:numId="7">
    <w:abstractNumId w:val="11"/>
  </w:num>
  <w:num w:numId="8">
    <w:abstractNumId w:val="4"/>
  </w:num>
  <w:num w:numId="9">
    <w:abstractNumId w:val="23"/>
  </w:num>
  <w:num w:numId="10">
    <w:abstractNumId w:val="0"/>
  </w:num>
  <w:num w:numId="11">
    <w:abstractNumId w:val="18"/>
  </w:num>
  <w:num w:numId="12">
    <w:abstractNumId w:val="24"/>
  </w:num>
  <w:num w:numId="13">
    <w:abstractNumId w:val="21"/>
  </w:num>
  <w:num w:numId="14">
    <w:abstractNumId w:val="19"/>
  </w:num>
  <w:num w:numId="15">
    <w:abstractNumId w:val="6"/>
  </w:num>
  <w:num w:numId="16">
    <w:abstractNumId w:val="12"/>
  </w:num>
  <w:num w:numId="17">
    <w:abstractNumId w:val="17"/>
  </w:num>
  <w:num w:numId="18">
    <w:abstractNumId w:val="16"/>
  </w:num>
  <w:num w:numId="19">
    <w:abstractNumId w:val="14"/>
  </w:num>
  <w:num w:numId="20">
    <w:abstractNumId w:val="8"/>
  </w:num>
  <w:num w:numId="21">
    <w:abstractNumId w:val="22"/>
  </w:num>
  <w:num w:numId="22">
    <w:abstractNumId w:val="3"/>
  </w:num>
  <w:num w:numId="23">
    <w:abstractNumId w:val="13"/>
  </w:num>
  <w:num w:numId="24">
    <w:abstractNumId w:val="5"/>
  </w:num>
  <w:num w:numId="25">
    <w:abstractNumId w:val="25"/>
  </w:num>
  <w:num w:numId="26">
    <w:abstractNumId w:val="1"/>
  </w:num>
  <w:num w:numId="27">
    <w:abstractNumId w:val="26"/>
  </w:num>
  <w:num w:numId="28">
    <w:abstractNumId w:val="20"/>
  </w:num>
  <w:num w:numId="29">
    <w:abstractNumId w:val="7"/>
  </w:num>
  <w:num w:numId="30">
    <w:abstractNumId w:val="10"/>
  </w:num>
  <w:num w:numId="31">
    <w:abstractNumId w:val="22"/>
  </w:num>
  <w:num w:numId="32">
    <w:abstractNumId w:val="5"/>
  </w:num>
  <w:num w:numId="3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62"/>
    <w:rsid w:val="00002909"/>
    <w:rsid w:val="00003789"/>
    <w:rsid w:val="00004359"/>
    <w:rsid w:val="00004369"/>
    <w:rsid w:val="000052D8"/>
    <w:rsid w:val="00006F4A"/>
    <w:rsid w:val="00007D86"/>
    <w:rsid w:val="000121F4"/>
    <w:rsid w:val="00013BD3"/>
    <w:rsid w:val="00014EF6"/>
    <w:rsid w:val="00015946"/>
    <w:rsid w:val="000175D3"/>
    <w:rsid w:val="0002323C"/>
    <w:rsid w:val="00023A80"/>
    <w:rsid w:val="00024119"/>
    <w:rsid w:val="000241D9"/>
    <w:rsid w:val="00030F7A"/>
    <w:rsid w:val="000312CA"/>
    <w:rsid w:val="00032177"/>
    <w:rsid w:val="0003237C"/>
    <w:rsid w:val="0003415B"/>
    <w:rsid w:val="00034620"/>
    <w:rsid w:val="0003465B"/>
    <w:rsid w:val="00034D5E"/>
    <w:rsid w:val="00035A59"/>
    <w:rsid w:val="00037026"/>
    <w:rsid w:val="00037074"/>
    <w:rsid w:val="00037CE4"/>
    <w:rsid w:val="00037D15"/>
    <w:rsid w:val="0004173E"/>
    <w:rsid w:val="000426B2"/>
    <w:rsid w:val="00050130"/>
    <w:rsid w:val="00050805"/>
    <w:rsid w:val="00052FA7"/>
    <w:rsid w:val="000535AF"/>
    <w:rsid w:val="00055273"/>
    <w:rsid w:val="000571B6"/>
    <w:rsid w:val="0006035D"/>
    <w:rsid w:val="0006084D"/>
    <w:rsid w:val="00062C7E"/>
    <w:rsid w:val="000639A6"/>
    <w:rsid w:val="00064444"/>
    <w:rsid w:val="00065567"/>
    <w:rsid w:val="0006655B"/>
    <w:rsid w:val="00066B6B"/>
    <w:rsid w:val="00067AB6"/>
    <w:rsid w:val="00067EE0"/>
    <w:rsid w:val="00070DE0"/>
    <w:rsid w:val="000731AA"/>
    <w:rsid w:val="00075B6B"/>
    <w:rsid w:val="000767F1"/>
    <w:rsid w:val="00076D34"/>
    <w:rsid w:val="00077183"/>
    <w:rsid w:val="00081C8E"/>
    <w:rsid w:val="00083BD8"/>
    <w:rsid w:val="000847EE"/>
    <w:rsid w:val="00087D3F"/>
    <w:rsid w:val="00090827"/>
    <w:rsid w:val="0009333B"/>
    <w:rsid w:val="000967E6"/>
    <w:rsid w:val="000A0583"/>
    <w:rsid w:val="000A1F45"/>
    <w:rsid w:val="000A3AC5"/>
    <w:rsid w:val="000A3D30"/>
    <w:rsid w:val="000A4C12"/>
    <w:rsid w:val="000A5D11"/>
    <w:rsid w:val="000A6AD3"/>
    <w:rsid w:val="000B209D"/>
    <w:rsid w:val="000B2A15"/>
    <w:rsid w:val="000B3D5D"/>
    <w:rsid w:val="000B409C"/>
    <w:rsid w:val="000B7A5A"/>
    <w:rsid w:val="000C2657"/>
    <w:rsid w:val="000C37B9"/>
    <w:rsid w:val="000C570C"/>
    <w:rsid w:val="000C6F0B"/>
    <w:rsid w:val="000D0674"/>
    <w:rsid w:val="000D13D4"/>
    <w:rsid w:val="000D4D95"/>
    <w:rsid w:val="000D55AE"/>
    <w:rsid w:val="000D71F5"/>
    <w:rsid w:val="000D776D"/>
    <w:rsid w:val="000D7FA2"/>
    <w:rsid w:val="000E1B70"/>
    <w:rsid w:val="000E1C04"/>
    <w:rsid w:val="000E2291"/>
    <w:rsid w:val="000E385F"/>
    <w:rsid w:val="000E3D58"/>
    <w:rsid w:val="000E49AC"/>
    <w:rsid w:val="000E5A16"/>
    <w:rsid w:val="000E619B"/>
    <w:rsid w:val="000E75DA"/>
    <w:rsid w:val="000E7EEA"/>
    <w:rsid w:val="000F15D7"/>
    <w:rsid w:val="000F25F1"/>
    <w:rsid w:val="000F3603"/>
    <w:rsid w:val="000F542C"/>
    <w:rsid w:val="000F65E7"/>
    <w:rsid w:val="000F7DF1"/>
    <w:rsid w:val="00100178"/>
    <w:rsid w:val="00100C1A"/>
    <w:rsid w:val="001020A3"/>
    <w:rsid w:val="001033A8"/>
    <w:rsid w:val="00103B2E"/>
    <w:rsid w:val="001043AD"/>
    <w:rsid w:val="00104F31"/>
    <w:rsid w:val="00110026"/>
    <w:rsid w:val="00110AD2"/>
    <w:rsid w:val="00112AE9"/>
    <w:rsid w:val="00113AEC"/>
    <w:rsid w:val="00113D2D"/>
    <w:rsid w:val="00113E0C"/>
    <w:rsid w:val="00113E28"/>
    <w:rsid w:val="001151E2"/>
    <w:rsid w:val="00115417"/>
    <w:rsid w:val="0011569A"/>
    <w:rsid w:val="00115AEE"/>
    <w:rsid w:val="00117A91"/>
    <w:rsid w:val="00121C95"/>
    <w:rsid w:val="00123111"/>
    <w:rsid w:val="00125178"/>
    <w:rsid w:val="001270C0"/>
    <w:rsid w:val="00127156"/>
    <w:rsid w:val="00127164"/>
    <w:rsid w:val="0012720E"/>
    <w:rsid w:val="001276F6"/>
    <w:rsid w:val="00127C1A"/>
    <w:rsid w:val="00131F66"/>
    <w:rsid w:val="0013233A"/>
    <w:rsid w:val="00132794"/>
    <w:rsid w:val="001338A2"/>
    <w:rsid w:val="00133B50"/>
    <w:rsid w:val="00134638"/>
    <w:rsid w:val="001351FC"/>
    <w:rsid w:val="001356D0"/>
    <w:rsid w:val="00135B2E"/>
    <w:rsid w:val="00135F12"/>
    <w:rsid w:val="00136A49"/>
    <w:rsid w:val="00137FAB"/>
    <w:rsid w:val="00140E7A"/>
    <w:rsid w:val="00141257"/>
    <w:rsid w:val="00142603"/>
    <w:rsid w:val="00143CD3"/>
    <w:rsid w:val="0014458B"/>
    <w:rsid w:val="0014620A"/>
    <w:rsid w:val="00146709"/>
    <w:rsid w:val="00146B4D"/>
    <w:rsid w:val="001470A2"/>
    <w:rsid w:val="00153B71"/>
    <w:rsid w:val="001545E5"/>
    <w:rsid w:val="0015675F"/>
    <w:rsid w:val="0016082C"/>
    <w:rsid w:val="001619DE"/>
    <w:rsid w:val="00161AB5"/>
    <w:rsid w:val="001624B5"/>
    <w:rsid w:val="0016385E"/>
    <w:rsid w:val="0016589B"/>
    <w:rsid w:val="00166F1F"/>
    <w:rsid w:val="0016797D"/>
    <w:rsid w:val="00170201"/>
    <w:rsid w:val="00170B22"/>
    <w:rsid w:val="00170D8D"/>
    <w:rsid w:val="00171FEC"/>
    <w:rsid w:val="001721F9"/>
    <w:rsid w:val="00172279"/>
    <w:rsid w:val="00174E0E"/>
    <w:rsid w:val="001772AC"/>
    <w:rsid w:val="00182EC4"/>
    <w:rsid w:val="00183345"/>
    <w:rsid w:val="0018560B"/>
    <w:rsid w:val="00186926"/>
    <w:rsid w:val="00190050"/>
    <w:rsid w:val="00190A79"/>
    <w:rsid w:val="00191743"/>
    <w:rsid w:val="00193667"/>
    <w:rsid w:val="001937A3"/>
    <w:rsid w:val="00194958"/>
    <w:rsid w:val="001957B3"/>
    <w:rsid w:val="001A0534"/>
    <w:rsid w:val="001A0BC5"/>
    <w:rsid w:val="001A2EF2"/>
    <w:rsid w:val="001A4023"/>
    <w:rsid w:val="001A448B"/>
    <w:rsid w:val="001A4B65"/>
    <w:rsid w:val="001B1E1C"/>
    <w:rsid w:val="001B2AA2"/>
    <w:rsid w:val="001B3B7A"/>
    <w:rsid w:val="001B6326"/>
    <w:rsid w:val="001C4A79"/>
    <w:rsid w:val="001C7B1A"/>
    <w:rsid w:val="001D7C24"/>
    <w:rsid w:val="001E07EA"/>
    <w:rsid w:val="001E0B53"/>
    <w:rsid w:val="001E28AA"/>
    <w:rsid w:val="001E2A68"/>
    <w:rsid w:val="001E35B3"/>
    <w:rsid w:val="001E50D6"/>
    <w:rsid w:val="001F1183"/>
    <w:rsid w:val="001F38BC"/>
    <w:rsid w:val="001F3C94"/>
    <w:rsid w:val="001F4397"/>
    <w:rsid w:val="001F7CDF"/>
    <w:rsid w:val="00200765"/>
    <w:rsid w:val="0020165D"/>
    <w:rsid w:val="00202B99"/>
    <w:rsid w:val="002030FB"/>
    <w:rsid w:val="002033E8"/>
    <w:rsid w:val="00203DDD"/>
    <w:rsid w:val="00207A6F"/>
    <w:rsid w:val="00207DC6"/>
    <w:rsid w:val="00211674"/>
    <w:rsid w:val="002126C1"/>
    <w:rsid w:val="002128A9"/>
    <w:rsid w:val="00213691"/>
    <w:rsid w:val="00217483"/>
    <w:rsid w:val="002200C2"/>
    <w:rsid w:val="0022059E"/>
    <w:rsid w:val="002212F8"/>
    <w:rsid w:val="0022338D"/>
    <w:rsid w:val="002236EC"/>
    <w:rsid w:val="002236EF"/>
    <w:rsid w:val="00223C9F"/>
    <w:rsid w:val="00224C81"/>
    <w:rsid w:val="00225007"/>
    <w:rsid w:val="0022532C"/>
    <w:rsid w:val="002334BC"/>
    <w:rsid w:val="00234BF9"/>
    <w:rsid w:val="00235DB8"/>
    <w:rsid w:val="0023606A"/>
    <w:rsid w:val="002375F3"/>
    <w:rsid w:val="002378D3"/>
    <w:rsid w:val="00237ECC"/>
    <w:rsid w:val="002420D3"/>
    <w:rsid w:val="00242A19"/>
    <w:rsid w:val="00242FBC"/>
    <w:rsid w:val="00243D78"/>
    <w:rsid w:val="002445ED"/>
    <w:rsid w:val="00245DE8"/>
    <w:rsid w:val="0024627D"/>
    <w:rsid w:val="0024671A"/>
    <w:rsid w:val="002512BA"/>
    <w:rsid w:val="00252299"/>
    <w:rsid w:val="00255360"/>
    <w:rsid w:val="00256738"/>
    <w:rsid w:val="00256B91"/>
    <w:rsid w:val="00257405"/>
    <w:rsid w:val="00261C40"/>
    <w:rsid w:val="00261EA5"/>
    <w:rsid w:val="002621C2"/>
    <w:rsid w:val="00262694"/>
    <w:rsid w:val="00265571"/>
    <w:rsid w:val="00266836"/>
    <w:rsid w:val="002709AD"/>
    <w:rsid w:val="002729D2"/>
    <w:rsid w:val="002732A2"/>
    <w:rsid w:val="002734ED"/>
    <w:rsid w:val="00274DF2"/>
    <w:rsid w:val="002754E2"/>
    <w:rsid w:val="00276877"/>
    <w:rsid w:val="00276DDD"/>
    <w:rsid w:val="00277944"/>
    <w:rsid w:val="002812D5"/>
    <w:rsid w:val="00281CF7"/>
    <w:rsid w:val="00284A0D"/>
    <w:rsid w:val="0028573E"/>
    <w:rsid w:val="00287D8F"/>
    <w:rsid w:val="00290036"/>
    <w:rsid w:val="0029005C"/>
    <w:rsid w:val="002905AC"/>
    <w:rsid w:val="00290C5C"/>
    <w:rsid w:val="00295698"/>
    <w:rsid w:val="002965DA"/>
    <w:rsid w:val="002A1666"/>
    <w:rsid w:val="002A3ADD"/>
    <w:rsid w:val="002A4C70"/>
    <w:rsid w:val="002A54DC"/>
    <w:rsid w:val="002B099F"/>
    <w:rsid w:val="002B14EE"/>
    <w:rsid w:val="002B2F7F"/>
    <w:rsid w:val="002B35E8"/>
    <w:rsid w:val="002B49E2"/>
    <w:rsid w:val="002B6150"/>
    <w:rsid w:val="002B6DB8"/>
    <w:rsid w:val="002B76BF"/>
    <w:rsid w:val="002C03A5"/>
    <w:rsid w:val="002C059D"/>
    <w:rsid w:val="002C1F11"/>
    <w:rsid w:val="002C3A43"/>
    <w:rsid w:val="002C3FD3"/>
    <w:rsid w:val="002C4180"/>
    <w:rsid w:val="002C57E4"/>
    <w:rsid w:val="002C58D8"/>
    <w:rsid w:val="002C598B"/>
    <w:rsid w:val="002C6157"/>
    <w:rsid w:val="002C6BCA"/>
    <w:rsid w:val="002D4053"/>
    <w:rsid w:val="002D504A"/>
    <w:rsid w:val="002D6A4B"/>
    <w:rsid w:val="002D6AB9"/>
    <w:rsid w:val="002D7F69"/>
    <w:rsid w:val="002D7FC3"/>
    <w:rsid w:val="002E25BE"/>
    <w:rsid w:val="002E2603"/>
    <w:rsid w:val="002E4F6E"/>
    <w:rsid w:val="002E573B"/>
    <w:rsid w:val="002E6C85"/>
    <w:rsid w:val="002F07A4"/>
    <w:rsid w:val="002F0819"/>
    <w:rsid w:val="002F163A"/>
    <w:rsid w:val="002F19B7"/>
    <w:rsid w:val="002F334B"/>
    <w:rsid w:val="002F3C64"/>
    <w:rsid w:val="002F4F05"/>
    <w:rsid w:val="002F5C0D"/>
    <w:rsid w:val="002F60C3"/>
    <w:rsid w:val="002F7DB1"/>
    <w:rsid w:val="00301B8A"/>
    <w:rsid w:val="0030315C"/>
    <w:rsid w:val="00303970"/>
    <w:rsid w:val="00307777"/>
    <w:rsid w:val="00310D99"/>
    <w:rsid w:val="003116EC"/>
    <w:rsid w:val="003119D0"/>
    <w:rsid w:val="00311FB2"/>
    <w:rsid w:val="0031563F"/>
    <w:rsid w:val="0031661D"/>
    <w:rsid w:val="00316C8E"/>
    <w:rsid w:val="003205B8"/>
    <w:rsid w:val="003208F3"/>
    <w:rsid w:val="0032287D"/>
    <w:rsid w:val="00324ADE"/>
    <w:rsid w:val="00325238"/>
    <w:rsid w:val="003257DD"/>
    <w:rsid w:val="00327C89"/>
    <w:rsid w:val="0033193F"/>
    <w:rsid w:val="00331F23"/>
    <w:rsid w:val="00332408"/>
    <w:rsid w:val="00332844"/>
    <w:rsid w:val="00333AC9"/>
    <w:rsid w:val="0033420D"/>
    <w:rsid w:val="003359DD"/>
    <w:rsid w:val="0033651B"/>
    <w:rsid w:val="00340C16"/>
    <w:rsid w:val="00340EF1"/>
    <w:rsid w:val="003510DE"/>
    <w:rsid w:val="0035263D"/>
    <w:rsid w:val="003530C8"/>
    <w:rsid w:val="003542B9"/>
    <w:rsid w:val="00355B3D"/>
    <w:rsid w:val="00357895"/>
    <w:rsid w:val="00360B5F"/>
    <w:rsid w:val="00361FCC"/>
    <w:rsid w:val="003622CE"/>
    <w:rsid w:val="00365260"/>
    <w:rsid w:val="00367AB8"/>
    <w:rsid w:val="00367FE3"/>
    <w:rsid w:val="00372175"/>
    <w:rsid w:val="00373029"/>
    <w:rsid w:val="00375A13"/>
    <w:rsid w:val="00376851"/>
    <w:rsid w:val="00377F71"/>
    <w:rsid w:val="00380974"/>
    <w:rsid w:val="0038120B"/>
    <w:rsid w:val="0038197D"/>
    <w:rsid w:val="00381A38"/>
    <w:rsid w:val="003837A1"/>
    <w:rsid w:val="00384965"/>
    <w:rsid w:val="00387041"/>
    <w:rsid w:val="00387EF5"/>
    <w:rsid w:val="0039170B"/>
    <w:rsid w:val="00391AF2"/>
    <w:rsid w:val="0039319F"/>
    <w:rsid w:val="00393C38"/>
    <w:rsid w:val="00393C97"/>
    <w:rsid w:val="003944D9"/>
    <w:rsid w:val="00396A18"/>
    <w:rsid w:val="003971EF"/>
    <w:rsid w:val="003A03B0"/>
    <w:rsid w:val="003A082D"/>
    <w:rsid w:val="003A1387"/>
    <w:rsid w:val="003A274C"/>
    <w:rsid w:val="003B0C39"/>
    <w:rsid w:val="003B0FE3"/>
    <w:rsid w:val="003B14A6"/>
    <w:rsid w:val="003B194E"/>
    <w:rsid w:val="003B2150"/>
    <w:rsid w:val="003B48E3"/>
    <w:rsid w:val="003B5DDE"/>
    <w:rsid w:val="003B61E0"/>
    <w:rsid w:val="003B676C"/>
    <w:rsid w:val="003B7ED2"/>
    <w:rsid w:val="003C2666"/>
    <w:rsid w:val="003C3CEF"/>
    <w:rsid w:val="003C3E08"/>
    <w:rsid w:val="003C4B34"/>
    <w:rsid w:val="003D11D6"/>
    <w:rsid w:val="003D254E"/>
    <w:rsid w:val="003D34AD"/>
    <w:rsid w:val="003D3D20"/>
    <w:rsid w:val="003D41F2"/>
    <w:rsid w:val="003E1604"/>
    <w:rsid w:val="003E1885"/>
    <w:rsid w:val="003E3476"/>
    <w:rsid w:val="003E4141"/>
    <w:rsid w:val="003E512E"/>
    <w:rsid w:val="003F18E3"/>
    <w:rsid w:val="003F2044"/>
    <w:rsid w:val="003F306C"/>
    <w:rsid w:val="003F4460"/>
    <w:rsid w:val="003F4DF0"/>
    <w:rsid w:val="003F68CC"/>
    <w:rsid w:val="003F7185"/>
    <w:rsid w:val="003F74EE"/>
    <w:rsid w:val="003F7D70"/>
    <w:rsid w:val="00400063"/>
    <w:rsid w:val="00401AF6"/>
    <w:rsid w:val="00406586"/>
    <w:rsid w:val="00406875"/>
    <w:rsid w:val="00410377"/>
    <w:rsid w:val="00410409"/>
    <w:rsid w:val="0041094E"/>
    <w:rsid w:val="004116A8"/>
    <w:rsid w:val="0041310B"/>
    <w:rsid w:val="0041479E"/>
    <w:rsid w:val="00422521"/>
    <w:rsid w:val="00424B0D"/>
    <w:rsid w:val="004253C9"/>
    <w:rsid w:val="00425F4A"/>
    <w:rsid w:val="004315A7"/>
    <w:rsid w:val="00431DA9"/>
    <w:rsid w:val="0043319E"/>
    <w:rsid w:val="00436C1D"/>
    <w:rsid w:val="00436D1D"/>
    <w:rsid w:val="004412B9"/>
    <w:rsid w:val="00441974"/>
    <w:rsid w:val="0044245A"/>
    <w:rsid w:val="00447429"/>
    <w:rsid w:val="00451875"/>
    <w:rsid w:val="00451C3C"/>
    <w:rsid w:val="0045291C"/>
    <w:rsid w:val="00452937"/>
    <w:rsid w:val="00456797"/>
    <w:rsid w:val="004571C0"/>
    <w:rsid w:val="004601C1"/>
    <w:rsid w:val="004626D6"/>
    <w:rsid w:val="004627A1"/>
    <w:rsid w:val="0046662D"/>
    <w:rsid w:val="004667F2"/>
    <w:rsid w:val="004704B4"/>
    <w:rsid w:val="00471880"/>
    <w:rsid w:val="00472579"/>
    <w:rsid w:val="004739CF"/>
    <w:rsid w:val="00474D50"/>
    <w:rsid w:val="0047532D"/>
    <w:rsid w:val="00475457"/>
    <w:rsid w:val="004761B9"/>
    <w:rsid w:val="00476409"/>
    <w:rsid w:val="00476ED6"/>
    <w:rsid w:val="004820A3"/>
    <w:rsid w:val="00482DFB"/>
    <w:rsid w:val="00483317"/>
    <w:rsid w:val="0048466D"/>
    <w:rsid w:val="00484A78"/>
    <w:rsid w:val="00484E1E"/>
    <w:rsid w:val="004853FE"/>
    <w:rsid w:val="004861A8"/>
    <w:rsid w:val="00486867"/>
    <w:rsid w:val="004871F8"/>
    <w:rsid w:val="0048770A"/>
    <w:rsid w:val="00490EDF"/>
    <w:rsid w:val="0049194B"/>
    <w:rsid w:val="00494FFC"/>
    <w:rsid w:val="0049563F"/>
    <w:rsid w:val="00495D16"/>
    <w:rsid w:val="00495F5A"/>
    <w:rsid w:val="00497219"/>
    <w:rsid w:val="0049784A"/>
    <w:rsid w:val="004A0B0C"/>
    <w:rsid w:val="004A5073"/>
    <w:rsid w:val="004A6BC1"/>
    <w:rsid w:val="004B1420"/>
    <w:rsid w:val="004B30E1"/>
    <w:rsid w:val="004B529B"/>
    <w:rsid w:val="004B74A8"/>
    <w:rsid w:val="004C055A"/>
    <w:rsid w:val="004C0BB7"/>
    <w:rsid w:val="004C142F"/>
    <w:rsid w:val="004C1462"/>
    <w:rsid w:val="004C1888"/>
    <w:rsid w:val="004C317E"/>
    <w:rsid w:val="004C7246"/>
    <w:rsid w:val="004C7E29"/>
    <w:rsid w:val="004D09E1"/>
    <w:rsid w:val="004D0A44"/>
    <w:rsid w:val="004D10F1"/>
    <w:rsid w:val="004D25A8"/>
    <w:rsid w:val="004D35CD"/>
    <w:rsid w:val="004D3A86"/>
    <w:rsid w:val="004D4D7F"/>
    <w:rsid w:val="004D4F90"/>
    <w:rsid w:val="004D5060"/>
    <w:rsid w:val="004D55C8"/>
    <w:rsid w:val="004D589B"/>
    <w:rsid w:val="004D5EF1"/>
    <w:rsid w:val="004D6885"/>
    <w:rsid w:val="004D716B"/>
    <w:rsid w:val="004E027D"/>
    <w:rsid w:val="004E1ECB"/>
    <w:rsid w:val="004E2D54"/>
    <w:rsid w:val="004E346C"/>
    <w:rsid w:val="004E4060"/>
    <w:rsid w:val="004E47A4"/>
    <w:rsid w:val="004E5A19"/>
    <w:rsid w:val="004E746A"/>
    <w:rsid w:val="004E7C13"/>
    <w:rsid w:val="004F016A"/>
    <w:rsid w:val="004F2758"/>
    <w:rsid w:val="004F2DF2"/>
    <w:rsid w:val="004F47B4"/>
    <w:rsid w:val="004F6A28"/>
    <w:rsid w:val="004F7631"/>
    <w:rsid w:val="00501AF9"/>
    <w:rsid w:val="00502F2A"/>
    <w:rsid w:val="005044F4"/>
    <w:rsid w:val="0050514F"/>
    <w:rsid w:val="005051A1"/>
    <w:rsid w:val="0050639B"/>
    <w:rsid w:val="0051010D"/>
    <w:rsid w:val="005103FA"/>
    <w:rsid w:val="0051042C"/>
    <w:rsid w:val="00511915"/>
    <w:rsid w:val="00511D89"/>
    <w:rsid w:val="00511E95"/>
    <w:rsid w:val="00512DC6"/>
    <w:rsid w:val="0051404C"/>
    <w:rsid w:val="00517079"/>
    <w:rsid w:val="00520025"/>
    <w:rsid w:val="00521BA9"/>
    <w:rsid w:val="005309A0"/>
    <w:rsid w:val="005310C7"/>
    <w:rsid w:val="00531453"/>
    <w:rsid w:val="00532138"/>
    <w:rsid w:val="00533E81"/>
    <w:rsid w:val="00534049"/>
    <w:rsid w:val="00535528"/>
    <w:rsid w:val="0053597F"/>
    <w:rsid w:val="00536009"/>
    <w:rsid w:val="00536441"/>
    <w:rsid w:val="005403B9"/>
    <w:rsid w:val="0054200E"/>
    <w:rsid w:val="0054265A"/>
    <w:rsid w:val="0054313F"/>
    <w:rsid w:val="005443F0"/>
    <w:rsid w:val="0054674B"/>
    <w:rsid w:val="00553998"/>
    <w:rsid w:val="00557F9A"/>
    <w:rsid w:val="00560594"/>
    <w:rsid w:val="00560E60"/>
    <w:rsid w:val="00561F44"/>
    <w:rsid w:val="005620E3"/>
    <w:rsid w:val="005659BF"/>
    <w:rsid w:val="00565FCD"/>
    <w:rsid w:val="00566E7A"/>
    <w:rsid w:val="00566EDD"/>
    <w:rsid w:val="0057065C"/>
    <w:rsid w:val="00570D0E"/>
    <w:rsid w:val="00571FC8"/>
    <w:rsid w:val="0057417B"/>
    <w:rsid w:val="00575DD1"/>
    <w:rsid w:val="00577D08"/>
    <w:rsid w:val="00580A16"/>
    <w:rsid w:val="00580E78"/>
    <w:rsid w:val="00580F17"/>
    <w:rsid w:val="00581DC2"/>
    <w:rsid w:val="00584C59"/>
    <w:rsid w:val="00595A71"/>
    <w:rsid w:val="00597404"/>
    <w:rsid w:val="005A09C3"/>
    <w:rsid w:val="005A13F6"/>
    <w:rsid w:val="005A1BF4"/>
    <w:rsid w:val="005A344B"/>
    <w:rsid w:val="005A4A5C"/>
    <w:rsid w:val="005A4DA6"/>
    <w:rsid w:val="005A552F"/>
    <w:rsid w:val="005A75E8"/>
    <w:rsid w:val="005A76EB"/>
    <w:rsid w:val="005B0153"/>
    <w:rsid w:val="005B05A1"/>
    <w:rsid w:val="005B2956"/>
    <w:rsid w:val="005B688E"/>
    <w:rsid w:val="005B6BBC"/>
    <w:rsid w:val="005B7DBD"/>
    <w:rsid w:val="005C0DE6"/>
    <w:rsid w:val="005C2959"/>
    <w:rsid w:val="005C3185"/>
    <w:rsid w:val="005C32A5"/>
    <w:rsid w:val="005C33FE"/>
    <w:rsid w:val="005C362C"/>
    <w:rsid w:val="005C5A8F"/>
    <w:rsid w:val="005D17B7"/>
    <w:rsid w:val="005D1E92"/>
    <w:rsid w:val="005D2F08"/>
    <w:rsid w:val="005D5176"/>
    <w:rsid w:val="005D747C"/>
    <w:rsid w:val="005E0D36"/>
    <w:rsid w:val="005E73DA"/>
    <w:rsid w:val="005F0E24"/>
    <w:rsid w:val="005F119E"/>
    <w:rsid w:val="005F350E"/>
    <w:rsid w:val="005F388D"/>
    <w:rsid w:val="005F49DC"/>
    <w:rsid w:val="005F5168"/>
    <w:rsid w:val="005F5A02"/>
    <w:rsid w:val="00602CD2"/>
    <w:rsid w:val="006049A4"/>
    <w:rsid w:val="0060520E"/>
    <w:rsid w:val="006059D3"/>
    <w:rsid w:val="0060678B"/>
    <w:rsid w:val="00606A55"/>
    <w:rsid w:val="00607616"/>
    <w:rsid w:val="006116CD"/>
    <w:rsid w:val="00613B05"/>
    <w:rsid w:val="0061513F"/>
    <w:rsid w:val="006155F8"/>
    <w:rsid w:val="006164AC"/>
    <w:rsid w:val="006232CF"/>
    <w:rsid w:val="006238F1"/>
    <w:rsid w:val="006239D7"/>
    <w:rsid w:val="00623AE5"/>
    <w:rsid w:val="00624E26"/>
    <w:rsid w:val="006262FA"/>
    <w:rsid w:val="00630A22"/>
    <w:rsid w:val="006323B2"/>
    <w:rsid w:val="00633D8E"/>
    <w:rsid w:val="00634E8B"/>
    <w:rsid w:val="00635E98"/>
    <w:rsid w:val="00636F78"/>
    <w:rsid w:val="00637BFB"/>
    <w:rsid w:val="00640E55"/>
    <w:rsid w:val="006427D0"/>
    <w:rsid w:val="006433F8"/>
    <w:rsid w:val="00643455"/>
    <w:rsid w:val="00643A18"/>
    <w:rsid w:val="00646839"/>
    <w:rsid w:val="00647947"/>
    <w:rsid w:val="00650761"/>
    <w:rsid w:val="006537B5"/>
    <w:rsid w:val="00654D22"/>
    <w:rsid w:val="006551CC"/>
    <w:rsid w:val="00660589"/>
    <w:rsid w:val="00662C18"/>
    <w:rsid w:val="00662C5A"/>
    <w:rsid w:val="00662E6E"/>
    <w:rsid w:val="00662FD1"/>
    <w:rsid w:val="00665C7D"/>
    <w:rsid w:val="00665E52"/>
    <w:rsid w:val="006679AA"/>
    <w:rsid w:val="006703DD"/>
    <w:rsid w:val="00670C3C"/>
    <w:rsid w:val="00671012"/>
    <w:rsid w:val="00671EDD"/>
    <w:rsid w:val="00672CAA"/>
    <w:rsid w:val="00680832"/>
    <w:rsid w:val="00680F1C"/>
    <w:rsid w:val="00681C03"/>
    <w:rsid w:val="00682030"/>
    <w:rsid w:val="0068504B"/>
    <w:rsid w:val="006858D1"/>
    <w:rsid w:val="00685B38"/>
    <w:rsid w:val="006862D8"/>
    <w:rsid w:val="006875C2"/>
    <w:rsid w:val="0068763B"/>
    <w:rsid w:val="006877DA"/>
    <w:rsid w:val="006908DD"/>
    <w:rsid w:val="00690988"/>
    <w:rsid w:val="006920C5"/>
    <w:rsid w:val="006925AB"/>
    <w:rsid w:val="006932A2"/>
    <w:rsid w:val="00695B9F"/>
    <w:rsid w:val="00695C92"/>
    <w:rsid w:val="006970F8"/>
    <w:rsid w:val="00697D7B"/>
    <w:rsid w:val="006A0109"/>
    <w:rsid w:val="006A04B4"/>
    <w:rsid w:val="006A0588"/>
    <w:rsid w:val="006A06E6"/>
    <w:rsid w:val="006A0B12"/>
    <w:rsid w:val="006A212D"/>
    <w:rsid w:val="006A2E02"/>
    <w:rsid w:val="006A4801"/>
    <w:rsid w:val="006B0DA4"/>
    <w:rsid w:val="006B2235"/>
    <w:rsid w:val="006B2359"/>
    <w:rsid w:val="006B3EB9"/>
    <w:rsid w:val="006B43CB"/>
    <w:rsid w:val="006B4EF7"/>
    <w:rsid w:val="006C1FB9"/>
    <w:rsid w:val="006C3D93"/>
    <w:rsid w:val="006C423B"/>
    <w:rsid w:val="006C5430"/>
    <w:rsid w:val="006C7840"/>
    <w:rsid w:val="006C7CDD"/>
    <w:rsid w:val="006D0401"/>
    <w:rsid w:val="006D1FAB"/>
    <w:rsid w:val="006D2419"/>
    <w:rsid w:val="006D3753"/>
    <w:rsid w:val="006D384B"/>
    <w:rsid w:val="006D3E49"/>
    <w:rsid w:val="006D4586"/>
    <w:rsid w:val="006D5DE3"/>
    <w:rsid w:val="006D69BF"/>
    <w:rsid w:val="006D76AB"/>
    <w:rsid w:val="006E004B"/>
    <w:rsid w:val="006E22A6"/>
    <w:rsid w:val="006E36DC"/>
    <w:rsid w:val="006E4084"/>
    <w:rsid w:val="006E6B61"/>
    <w:rsid w:val="006E7299"/>
    <w:rsid w:val="006F298B"/>
    <w:rsid w:val="006F38BA"/>
    <w:rsid w:val="006F5636"/>
    <w:rsid w:val="006F58D6"/>
    <w:rsid w:val="006F6B12"/>
    <w:rsid w:val="006F7977"/>
    <w:rsid w:val="00701364"/>
    <w:rsid w:val="00702203"/>
    <w:rsid w:val="00702AD1"/>
    <w:rsid w:val="00703827"/>
    <w:rsid w:val="007043AD"/>
    <w:rsid w:val="007049A5"/>
    <w:rsid w:val="00706E24"/>
    <w:rsid w:val="007070B6"/>
    <w:rsid w:val="007107B8"/>
    <w:rsid w:val="00711190"/>
    <w:rsid w:val="00712808"/>
    <w:rsid w:val="00714233"/>
    <w:rsid w:val="00714CD8"/>
    <w:rsid w:val="0071593A"/>
    <w:rsid w:val="00716519"/>
    <w:rsid w:val="00720591"/>
    <w:rsid w:val="00720AD9"/>
    <w:rsid w:val="00722041"/>
    <w:rsid w:val="007247B2"/>
    <w:rsid w:val="0072489D"/>
    <w:rsid w:val="00725EFE"/>
    <w:rsid w:val="00726F19"/>
    <w:rsid w:val="007309EE"/>
    <w:rsid w:val="00732486"/>
    <w:rsid w:val="00733E52"/>
    <w:rsid w:val="00735227"/>
    <w:rsid w:val="007368BC"/>
    <w:rsid w:val="0073696C"/>
    <w:rsid w:val="0074031D"/>
    <w:rsid w:val="007434C9"/>
    <w:rsid w:val="00744990"/>
    <w:rsid w:val="0074522D"/>
    <w:rsid w:val="00746334"/>
    <w:rsid w:val="00747200"/>
    <w:rsid w:val="00751C03"/>
    <w:rsid w:val="00751DC1"/>
    <w:rsid w:val="00751F03"/>
    <w:rsid w:val="00753CE0"/>
    <w:rsid w:val="007549B0"/>
    <w:rsid w:val="00754DBF"/>
    <w:rsid w:val="0075535F"/>
    <w:rsid w:val="00757531"/>
    <w:rsid w:val="007609C0"/>
    <w:rsid w:val="0076199E"/>
    <w:rsid w:val="00761A55"/>
    <w:rsid w:val="007625F6"/>
    <w:rsid w:val="00763356"/>
    <w:rsid w:val="00763542"/>
    <w:rsid w:val="0076471C"/>
    <w:rsid w:val="0076635E"/>
    <w:rsid w:val="007716FC"/>
    <w:rsid w:val="007717F7"/>
    <w:rsid w:val="00771ABB"/>
    <w:rsid w:val="00771B2B"/>
    <w:rsid w:val="00772C31"/>
    <w:rsid w:val="007739DE"/>
    <w:rsid w:val="00773A9D"/>
    <w:rsid w:val="00773BE2"/>
    <w:rsid w:val="00776E32"/>
    <w:rsid w:val="007852F0"/>
    <w:rsid w:val="007859D2"/>
    <w:rsid w:val="007874D1"/>
    <w:rsid w:val="00787D4E"/>
    <w:rsid w:val="00790589"/>
    <w:rsid w:val="00790638"/>
    <w:rsid w:val="00793C60"/>
    <w:rsid w:val="00796BDB"/>
    <w:rsid w:val="00796F97"/>
    <w:rsid w:val="00797B86"/>
    <w:rsid w:val="007A0A58"/>
    <w:rsid w:val="007A1C0E"/>
    <w:rsid w:val="007A1D0A"/>
    <w:rsid w:val="007A2C92"/>
    <w:rsid w:val="007A4EAB"/>
    <w:rsid w:val="007A583A"/>
    <w:rsid w:val="007A6F2E"/>
    <w:rsid w:val="007A7161"/>
    <w:rsid w:val="007A7DCF"/>
    <w:rsid w:val="007A7E5D"/>
    <w:rsid w:val="007B3229"/>
    <w:rsid w:val="007B5861"/>
    <w:rsid w:val="007B6967"/>
    <w:rsid w:val="007B699F"/>
    <w:rsid w:val="007C0B9C"/>
    <w:rsid w:val="007C4455"/>
    <w:rsid w:val="007C4ED8"/>
    <w:rsid w:val="007D3E9E"/>
    <w:rsid w:val="007D71F4"/>
    <w:rsid w:val="007D7939"/>
    <w:rsid w:val="007D7DCE"/>
    <w:rsid w:val="007D7DEE"/>
    <w:rsid w:val="007E0366"/>
    <w:rsid w:val="007E043C"/>
    <w:rsid w:val="007E1197"/>
    <w:rsid w:val="007E4BED"/>
    <w:rsid w:val="007E5F38"/>
    <w:rsid w:val="007E77E7"/>
    <w:rsid w:val="007F07EE"/>
    <w:rsid w:val="007F11AB"/>
    <w:rsid w:val="007F37B6"/>
    <w:rsid w:val="007F50B8"/>
    <w:rsid w:val="007F62F9"/>
    <w:rsid w:val="007F75F3"/>
    <w:rsid w:val="00800208"/>
    <w:rsid w:val="00801CF4"/>
    <w:rsid w:val="0080284E"/>
    <w:rsid w:val="00802E65"/>
    <w:rsid w:val="008038F4"/>
    <w:rsid w:val="00810510"/>
    <w:rsid w:val="00811C92"/>
    <w:rsid w:val="00811D24"/>
    <w:rsid w:val="008124B1"/>
    <w:rsid w:val="00816EBF"/>
    <w:rsid w:val="00821017"/>
    <w:rsid w:val="008227DF"/>
    <w:rsid w:val="008229CD"/>
    <w:rsid w:val="008231EC"/>
    <w:rsid w:val="0082485C"/>
    <w:rsid w:val="00825776"/>
    <w:rsid w:val="00825910"/>
    <w:rsid w:val="00825F79"/>
    <w:rsid w:val="008268CA"/>
    <w:rsid w:val="00827A67"/>
    <w:rsid w:val="008303D2"/>
    <w:rsid w:val="00832DAA"/>
    <w:rsid w:val="008331EA"/>
    <w:rsid w:val="00835363"/>
    <w:rsid w:val="00836E08"/>
    <w:rsid w:val="00837F86"/>
    <w:rsid w:val="00840252"/>
    <w:rsid w:val="00840365"/>
    <w:rsid w:val="00841E98"/>
    <w:rsid w:val="00844862"/>
    <w:rsid w:val="00845831"/>
    <w:rsid w:val="00846BD8"/>
    <w:rsid w:val="00847578"/>
    <w:rsid w:val="00851DCC"/>
    <w:rsid w:val="0085284B"/>
    <w:rsid w:val="00852A03"/>
    <w:rsid w:val="00852B64"/>
    <w:rsid w:val="00852DD2"/>
    <w:rsid w:val="00857961"/>
    <w:rsid w:val="008614A0"/>
    <w:rsid w:val="008614FC"/>
    <w:rsid w:val="00862281"/>
    <w:rsid w:val="008625D8"/>
    <w:rsid w:val="0086262F"/>
    <w:rsid w:val="00862753"/>
    <w:rsid w:val="00862924"/>
    <w:rsid w:val="00862F07"/>
    <w:rsid w:val="00863221"/>
    <w:rsid w:val="00863453"/>
    <w:rsid w:val="00864152"/>
    <w:rsid w:val="00865428"/>
    <w:rsid w:val="00865908"/>
    <w:rsid w:val="008673E5"/>
    <w:rsid w:val="008677A0"/>
    <w:rsid w:val="008717F5"/>
    <w:rsid w:val="0087489C"/>
    <w:rsid w:val="0087550F"/>
    <w:rsid w:val="00875E9D"/>
    <w:rsid w:val="00876CC2"/>
    <w:rsid w:val="008836A6"/>
    <w:rsid w:val="00883BED"/>
    <w:rsid w:val="008852F2"/>
    <w:rsid w:val="0088555A"/>
    <w:rsid w:val="008866F4"/>
    <w:rsid w:val="0088688A"/>
    <w:rsid w:val="00886F79"/>
    <w:rsid w:val="0088767B"/>
    <w:rsid w:val="00890DB6"/>
    <w:rsid w:val="0089192D"/>
    <w:rsid w:val="00892647"/>
    <w:rsid w:val="008962FB"/>
    <w:rsid w:val="0089673A"/>
    <w:rsid w:val="008969E1"/>
    <w:rsid w:val="008973EA"/>
    <w:rsid w:val="008A0923"/>
    <w:rsid w:val="008A1FE1"/>
    <w:rsid w:val="008A37B3"/>
    <w:rsid w:val="008A3ADE"/>
    <w:rsid w:val="008A3C22"/>
    <w:rsid w:val="008A40CE"/>
    <w:rsid w:val="008A4D71"/>
    <w:rsid w:val="008B02D4"/>
    <w:rsid w:val="008B1267"/>
    <w:rsid w:val="008B2EC9"/>
    <w:rsid w:val="008B6EFA"/>
    <w:rsid w:val="008B7177"/>
    <w:rsid w:val="008B7DCA"/>
    <w:rsid w:val="008C015F"/>
    <w:rsid w:val="008C08F1"/>
    <w:rsid w:val="008C34A0"/>
    <w:rsid w:val="008C5229"/>
    <w:rsid w:val="008C578A"/>
    <w:rsid w:val="008C58D4"/>
    <w:rsid w:val="008C71FB"/>
    <w:rsid w:val="008C7326"/>
    <w:rsid w:val="008C7B23"/>
    <w:rsid w:val="008C7C10"/>
    <w:rsid w:val="008C7F26"/>
    <w:rsid w:val="008D184C"/>
    <w:rsid w:val="008D2CD5"/>
    <w:rsid w:val="008D3867"/>
    <w:rsid w:val="008D40D9"/>
    <w:rsid w:val="008D477D"/>
    <w:rsid w:val="008D5216"/>
    <w:rsid w:val="008D524A"/>
    <w:rsid w:val="008D64B4"/>
    <w:rsid w:val="008D72C7"/>
    <w:rsid w:val="008E2596"/>
    <w:rsid w:val="008E2BA4"/>
    <w:rsid w:val="008E383B"/>
    <w:rsid w:val="008E3938"/>
    <w:rsid w:val="008E4D43"/>
    <w:rsid w:val="008E5105"/>
    <w:rsid w:val="008E52AC"/>
    <w:rsid w:val="008E58B7"/>
    <w:rsid w:val="008E5906"/>
    <w:rsid w:val="008E63D3"/>
    <w:rsid w:val="008E710B"/>
    <w:rsid w:val="008F1416"/>
    <w:rsid w:val="008F1B15"/>
    <w:rsid w:val="008F3C5B"/>
    <w:rsid w:val="008F546E"/>
    <w:rsid w:val="008F5DBE"/>
    <w:rsid w:val="008F7438"/>
    <w:rsid w:val="00901D1F"/>
    <w:rsid w:val="00902E28"/>
    <w:rsid w:val="009048FD"/>
    <w:rsid w:val="00905D8A"/>
    <w:rsid w:val="00907054"/>
    <w:rsid w:val="00912A94"/>
    <w:rsid w:val="009137A2"/>
    <w:rsid w:val="00914391"/>
    <w:rsid w:val="009148CB"/>
    <w:rsid w:val="0091510E"/>
    <w:rsid w:val="00916624"/>
    <w:rsid w:val="00916DEE"/>
    <w:rsid w:val="00917D8B"/>
    <w:rsid w:val="00923D16"/>
    <w:rsid w:val="00925261"/>
    <w:rsid w:val="0092615E"/>
    <w:rsid w:val="00930C0E"/>
    <w:rsid w:val="009313AB"/>
    <w:rsid w:val="00932A16"/>
    <w:rsid w:val="00934252"/>
    <w:rsid w:val="00934AA1"/>
    <w:rsid w:val="0093579C"/>
    <w:rsid w:val="00936FCB"/>
    <w:rsid w:val="00937978"/>
    <w:rsid w:val="0094058E"/>
    <w:rsid w:val="00940930"/>
    <w:rsid w:val="009442A4"/>
    <w:rsid w:val="00945FD9"/>
    <w:rsid w:val="00947541"/>
    <w:rsid w:val="00947F60"/>
    <w:rsid w:val="00950668"/>
    <w:rsid w:val="00952126"/>
    <w:rsid w:val="0095404F"/>
    <w:rsid w:val="0095686E"/>
    <w:rsid w:val="009573DE"/>
    <w:rsid w:val="00961774"/>
    <w:rsid w:val="009621D0"/>
    <w:rsid w:val="00962AAE"/>
    <w:rsid w:val="009632D0"/>
    <w:rsid w:val="00963412"/>
    <w:rsid w:val="00963ACA"/>
    <w:rsid w:val="00964B17"/>
    <w:rsid w:val="00965759"/>
    <w:rsid w:val="0096589A"/>
    <w:rsid w:val="00965904"/>
    <w:rsid w:val="00967D7C"/>
    <w:rsid w:val="00971752"/>
    <w:rsid w:val="0097315F"/>
    <w:rsid w:val="00973BCF"/>
    <w:rsid w:val="00974086"/>
    <w:rsid w:val="00975C13"/>
    <w:rsid w:val="00976C4A"/>
    <w:rsid w:val="00976DAA"/>
    <w:rsid w:val="00980690"/>
    <w:rsid w:val="009861B6"/>
    <w:rsid w:val="009908EE"/>
    <w:rsid w:val="00991018"/>
    <w:rsid w:val="009935D8"/>
    <w:rsid w:val="009949A8"/>
    <w:rsid w:val="009A04D4"/>
    <w:rsid w:val="009A0ACA"/>
    <w:rsid w:val="009A1952"/>
    <w:rsid w:val="009A5500"/>
    <w:rsid w:val="009A70F0"/>
    <w:rsid w:val="009B03B0"/>
    <w:rsid w:val="009B26DB"/>
    <w:rsid w:val="009B2C32"/>
    <w:rsid w:val="009B3CB4"/>
    <w:rsid w:val="009B3F38"/>
    <w:rsid w:val="009B46D9"/>
    <w:rsid w:val="009C02C8"/>
    <w:rsid w:val="009C0531"/>
    <w:rsid w:val="009C0BF7"/>
    <w:rsid w:val="009C220B"/>
    <w:rsid w:val="009C2846"/>
    <w:rsid w:val="009C3D08"/>
    <w:rsid w:val="009C4C9D"/>
    <w:rsid w:val="009C572D"/>
    <w:rsid w:val="009C5C14"/>
    <w:rsid w:val="009D01A9"/>
    <w:rsid w:val="009D0911"/>
    <w:rsid w:val="009D0C55"/>
    <w:rsid w:val="009D0DF2"/>
    <w:rsid w:val="009D20EC"/>
    <w:rsid w:val="009D26F1"/>
    <w:rsid w:val="009E0C5D"/>
    <w:rsid w:val="009E1F66"/>
    <w:rsid w:val="009E2778"/>
    <w:rsid w:val="009E2785"/>
    <w:rsid w:val="009E53F1"/>
    <w:rsid w:val="009F0376"/>
    <w:rsid w:val="009F155C"/>
    <w:rsid w:val="009F215A"/>
    <w:rsid w:val="009F3569"/>
    <w:rsid w:val="009F3716"/>
    <w:rsid w:val="009F4CEC"/>
    <w:rsid w:val="009F6753"/>
    <w:rsid w:val="00A01C5E"/>
    <w:rsid w:val="00A01E25"/>
    <w:rsid w:val="00A02E4C"/>
    <w:rsid w:val="00A04BCE"/>
    <w:rsid w:val="00A04DC6"/>
    <w:rsid w:val="00A04F09"/>
    <w:rsid w:val="00A0538D"/>
    <w:rsid w:val="00A06660"/>
    <w:rsid w:val="00A13771"/>
    <w:rsid w:val="00A14C43"/>
    <w:rsid w:val="00A17F7C"/>
    <w:rsid w:val="00A210CF"/>
    <w:rsid w:val="00A21CC3"/>
    <w:rsid w:val="00A23106"/>
    <w:rsid w:val="00A2355B"/>
    <w:rsid w:val="00A2395D"/>
    <w:rsid w:val="00A24D2B"/>
    <w:rsid w:val="00A26BAB"/>
    <w:rsid w:val="00A27FC7"/>
    <w:rsid w:val="00A31163"/>
    <w:rsid w:val="00A32D0A"/>
    <w:rsid w:val="00A33212"/>
    <w:rsid w:val="00A33CA2"/>
    <w:rsid w:val="00A34AD5"/>
    <w:rsid w:val="00A409D1"/>
    <w:rsid w:val="00A40DEE"/>
    <w:rsid w:val="00A42AFB"/>
    <w:rsid w:val="00A42E42"/>
    <w:rsid w:val="00A435C1"/>
    <w:rsid w:val="00A46919"/>
    <w:rsid w:val="00A47DD0"/>
    <w:rsid w:val="00A51CBB"/>
    <w:rsid w:val="00A5213B"/>
    <w:rsid w:val="00A5241C"/>
    <w:rsid w:val="00A5414B"/>
    <w:rsid w:val="00A56A58"/>
    <w:rsid w:val="00A64981"/>
    <w:rsid w:val="00A71B88"/>
    <w:rsid w:val="00A72110"/>
    <w:rsid w:val="00A741B4"/>
    <w:rsid w:val="00A7701C"/>
    <w:rsid w:val="00A7734D"/>
    <w:rsid w:val="00A776BC"/>
    <w:rsid w:val="00A776EF"/>
    <w:rsid w:val="00A85698"/>
    <w:rsid w:val="00A9078A"/>
    <w:rsid w:val="00A91F2A"/>
    <w:rsid w:val="00A92FC5"/>
    <w:rsid w:val="00A94F9B"/>
    <w:rsid w:val="00A959BC"/>
    <w:rsid w:val="00A962B5"/>
    <w:rsid w:val="00AA319E"/>
    <w:rsid w:val="00AA3B78"/>
    <w:rsid w:val="00AA414C"/>
    <w:rsid w:val="00AA5648"/>
    <w:rsid w:val="00AA59D8"/>
    <w:rsid w:val="00AA6229"/>
    <w:rsid w:val="00AA6C3D"/>
    <w:rsid w:val="00AA7375"/>
    <w:rsid w:val="00AB4302"/>
    <w:rsid w:val="00AB4448"/>
    <w:rsid w:val="00AB5F77"/>
    <w:rsid w:val="00AC1343"/>
    <w:rsid w:val="00AC2F60"/>
    <w:rsid w:val="00AC422A"/>
    <w:rsid w:val="00AD22D6"/>
    <w:rsid w:val="00AD2C6D"/>
    <w:rsid w:val="00AD3F0F"/>
    <w:rsid w:val="00AD5B3A"/>
    <w:rsid w:val="00AE2CE7"/>
    <w:rsid w:val="00AF25C3"/>
    <w:rsid w:val="00AF3493"/>
    <w:rsid w:val="00AF3E06"/>
    <w:rsid w:val="00AF498C"/>
    <w:rsid w:val="00AF50C2"/>
    <w:rsid w:val="00B015EC"/>
    <w:rsid w:val="00B02866"/>
    <w:rsid w:val="00B03B81"/>
    <w:rsid w:val="00B03FA2"/>
    <w:rsid w:val="00B04041"/>
    <w:rsid w:val="00B04CCE"/>
    <w:rsid w:val="00B06257"/>
    <w:rsid w:val="00B0667F"/>
    <w:rsid w:val="00B0697E"/>
    <w:rsid w:val="00B13956"/>
    <w:rsid w:val="00B1485C"/>
    <w:rsid w:val="00B15F56"/>
    <w:rsid w:val="00B16AF0"/>
    <w:rsid w:val="00B20864"/>
    <w:rsid w:val="00B21865"/>
    <w:rsid w:val="00B21F97"/>
    <w:rsid w:val="00B22290"/>
    <w:rsid w:val="00B2307C"/>
    <w:rsid w:val="00B24342"/>
    <w:rsid w:val="00B2471E"/>
    <w:rsid w:val="00B25597"/>
    <w:rsid w:val="00B25F2D"/>
    <w:rsid w:val="00B2620B"/>
    <w:rsid w:val="00B27F9A"/>
    <w:rsid w:val="00B33A1E"/>
    <w:rsid w:val="00B34E46"/>
    <w:rsid w:val="00B3723B"/>
    <w:rsid w:val="00B37A91"/>
    <w:rsid w:val="00B40663"/>
    <w:rsid w:val="00B4142F"/>
    <w:rsid w:val="00B41E06"/>
    <w:rsid w:val="00B428DE"/>
    <w:rsid w:val="00B42E5E"/>
    <w:rsid w:val="00B448FD"/>
    <w:rsid w:val="00B51E4E"/>
    <w:rsid w:val="00B52F77"/>
    <w:rsid w:val="00B53179"/>
    <w:rsid w:val="00B542B5"/>
    <w:rsid w:val="00B55E13"/>
    <w:rsid w:val="00B565EB"/>
    <w:rsid w:val="00B61AD4"/>
    <w:rsid w:val="00B6235E"/>
    <w:rsid w:val="00B62A16"/>
    <w:rsid w:val="00B63AF9"/>
    <w:rsid w:val="00B64C5B"/>
    <w:rsid w:val="00B67F8A"/>
    <w:rsid w:val="00B71504"/>
    <w:rsid w:val="00B72B60"/>
    <w:rsid w:val="00B740A9"/>
    <w:rsid w:val="00B743FD"/>
    <w:rsid w:val="00B74D67"/>
    <w:rsid w:val="00B77481"/>
    <w:rsid w:val="00B80E18"/>
    <w:rsid w:val="00B828D0"/>
    <w:rsid w:val="00B83091"/>
    <w:rsid w:val="00B84F4E"/>
    <w:rsid w:val="00B86B8F"/>
    <w:rsid w:val="00B9149E"/>
    <w:rsid w:val="00B948F7"/>
    <w:rsid w:val="00B95FA7"/>
    <w:rsid w:val="00B962A9"/>
    <w:rsid w:val="00B9631F"/>
    <w:rsid w:val="00BA1C34"/>
    <w:rsid w:val="00BA4825"/>
    <w:rsid w:val="00BA49DA"/>
    <w:rsid w:val="00BA653C"/>
    <w:rsid w:val="00BA674D"/>
    <w:rsid w:val="00BA6F22"/>
    <w:rsid w:val="00BA78D1"/>
    <w:rsid w:val="00BB0C27"/>
    <w:rsid w:val="00BB54C2"/>
    <w:rsid w:val="00BB6F98"/>
    <w:rsid w:val="00BC0B36"/>
    <w:rsid w:val="00BC27D9"/>
    <w:rsid w:val="00BC322B"/>
    <w:rsid w:val="00BC4966"/>
    <w:rsid w:val="00BC49D7"/>
    <w:rsid w:val="00BC4CDF"/>
    <w:rsid w:val="00BC50F3"/>
    <w:rsid w:val="00BC5A56"/>
    <w:rsid w:val="00BC63E8"/>
    <w:rsid w:val="00BC65E5"/>
    <w:rsid w:val="00BD01ED"/>
    <w:rsid w:val="00BD2A4B"/>
    <w:rsid w:val="00BD2BDC"/>
    <w:rsid w:val="00BD48B5"/>
    <w:rsid w:val="00BD6063"/>
    <w:rsid w:val="00BD69D2"/>
    <w:rsid w:val="00BD79B3"/>
    <w:rsid w:val="00BD7BE6"/>
    <w:rsid w:val="00BE0DFE"/>
    <w:rsid w:val="00BE2018"/>
    <w:rsid w:val="00BE2DF8"/>
    <w:rsid w:val="00BE3FC5"/>
    <w:rsid w:val="00BE49A3"/>
    <w:rsid w:val="00BF071E"/>
    <w:rsid w:val="00BF0952"/>
    <w:rsid w:val="00BF1191"/>
    <w:rsid w:val="00BF1683"/>
    <w:rsid w:val="00BF4A0F"/>
    <w:rsid w:val="00BF583B"/>
    <w:rsid w:val="00BF59F0"/>
    <w:rsid w:val="00BF5F92"/>
    <w:rsid w:val="00BF68E0"/>
    <w:rsid w:val="00BF6D7E"/>
    <w:rsid w:val="00C003F9"/>
    <w:rsid w:val="00C011F4"/>
    <w:rsid w:val="00C01272"/>
    <w:rsid w:val="00C01455"/>
    <w:rsid w:val="00C0207F"/>
    <w:rsid w:val="00C0256A"/>
    <w:rsid w:val="00C02ECA"/>
    <w:rsid w:val="00C033C0"/>
    <w:rsid w:val="00C0368D"/>
    <w:rsid w:val="00C048DB"/>
    <w:rsid w:val="00C0507A"/>
    <w:rsid w:val="00C059B1"/>
    <w:rsid w:val="00C10546"/>
    <w:rsid w:val="00C10828"/>
    <w:rsid w:val="00C13271"/>
    <w:rsid w:val="00C149B8"/>
    <w:rsid w:val="00C16864"/>
    <w:rsid w:val="00C214E6"/>
    <w:rsid w:val="00C22EE8"/>
    <w:rsid w:val="00C2350C"/>
    <w:rsid w:val="00C23F6E"/>
    <w:rsid w:val="00C275DC"/>
    <w:rsid w:val="00C30F20"/>
    <w:rsid w:val="00C312DE"/>
    <w:rsid w:val="00C36212"/>
    <w:rsid w:val="00C4112A"/>
    <w:rsid w:val="00C42027"/>
    <w:rsid w:val="00C457FB"/>
    <w:rsid w:val="00C46418"/>
    <w:rsid w:val="00C47004"/>
    <w:rsid w:val="00C50043"/>
    <w:rsid w:val="00C5075B"/>
    <w:rsid w:val="00C5080B"/>
    <w:rsid w:val="00C527CC"/>
    <w:rsid w:val="00C52BE1"/>
    <w:rsid w:val="00C52FF2"/>
    <w:rsid w:val="00C53A4C"/>
    <w:rsid w:val="00C5765C"/>
    <w:rsid w:val="00C618B8"/>
    <w:rsid w:val="00C62450"/>
    <w:rsid w:val="00C65CF0"/>
    <w:rsid w:val="00C65FD7"/>
    <w:rsid w:val="00C669B1"/>
    <w:rsid w:val="00C670AA"/>
    <w:rsid w:val="00C70A68"/>
    <w:rsid w:val="00C70B68"/>
    <w:rsid w:val="00C72A92"/>
    <w:rsid w:val="00C72C5B"/>
    <w:rsid w:val="00C73ADD"/>
    <w:rsid w:val="00C73B71"/>
    <w:rsid w:val="00C74655"/>
    <w:rsid w:val="00C7493E"/>
    <w:rsid w:val="00C772DD"/>
    <w:rsid w:val="00C7785E"/>
    <w:rsid w:val="00C8031A"/>
    <w:rsid w:val="00C809BB"/>
    <w:rsid w:val="00C81490"/>
    <w:rsid w:val="00C82DE0"/>
    <w:rsid w:val="00C84025"/>
    <w:rsid w:val="00C84E58"/>
    <w:rsid w:val="00C92037"/>
    <w:rsid w:val="00C942A3"/>
    <w:rsid w:val="00C95BC2"/>
    <w:rsid w:val="00C95F94"/>
    <w:rsid w:val="00C9728D"/>
    <w:rsid w:val="00CA1579"/>
    <w:rsid w:val="00CA3A19"/>
    <w:rsid w:val="00CA3C4C"/>
    <w:rsid w:val="00CA4C12"/>
    <w:rsid w:val="00CA6FB1"/>
    <w:rsid w:val="00CA78E6"/>
    <w:rsid w:val="00CB1349"/>
    <w:rsid w:val="00CB154E"/>
    <w:rsid w:val="00CB1E73"/>
    <w:rsid w:val="00CB4BF4"/>
    <w:rsid w:val="00CB5AC5"/>
    <w:rsid w:val="00CB684F"/>
    <w:rsid w:val="00CB77DB"/>
    <w:rsid w:val="00CC36B4"/>
    <w:rsid w:val="00CC4102"/>
    <w:rsid w:val="00CC688E"/>
    <w:rsid w:val="00CC6BAB"/>
    <w:rsid w:val="00CC799C"/>
    <w:rsid w:val="00CD0CC0"/>
    <w:rsid w:val="00CD1441"/>
    <w:rsid w:val="00CD1EEC"/>
    <w:rsid w:val="00CD2290"/>
    <w:rsid w:val="00CD3BE4"/>
    <w:rsid w:val="00CD6775"/>
    <w:rsid w:val="00CE0391"/>
    <w:rsid w:val="00CE051B"/>
    <w:rsid w:val="00CE0BC8"/>
    <w:rsid w:val="00CE2368"/>
    <w:rsid w:val="00CE3123"/>
    <w:rsid w:val="00CE3717"/>
    <w:rsid w:val="00CE396A"/>
    <w:rsid w:val="00CE3F43"/>
    <w:rsid w:val="00CE4B63"/>
    <w:rsid w:val="00CE50FE"/>
    <w:rsid w:val="00CF00E7"/>
    <w:rsid w:val="00CF1244"/>
    <w:rsid w:val="00CF1695"/>
    <w:rsid w:val="00CF239E"/>
    <w:rsid w:val="00CF2F10"/>
    <w:rsid w:val="00CF3DB6"/>
    <w:rsid w:val="00CF4183"/>
    <w:rsid w:val="00CF4F42"/>
    <w:rsid w:val="00CF6C7A"/>
    <w:rsid w:val="00D0058C"/>
    <w:rsid w:val="00D00EC2"/>
    <w:rsid w:val="00D0344B"/>
    <w:rsid w:val="00D03564"/>
    <w:rsid w:val="00D0478E"/>
    <w:rsid w:val="00D0659B"/>
    <w:rsid w:val="00D0712E"/>
    <w:rsid w:val="00D07F90"/>
    <w:rsid w:val="00D10034"/>
    <w:rsid w:val="00D108B4"/>
    <w:rsid w:val="00D11FC9"/>
    <w:rsid w:val="00D12635"/>
    <w:rsid w:val="00D16B3C"/>
    <w:rsid w:val="00D17A84"/>
    <w:rsid w:val="00D202C6"/>
    <w:rsid w:val="00D2074D"/>
    <w:rsid w:val="00D209F3"/>
    <w:rsid w:val="00D216CA"/>
    <w:rsid w:val="00D21F88"/>
    <w:rsid w:val="00D24DDE"/>
    <w:rsid w:val="00D24F79"/>
    <w:rsid w:val="00D25D72"/>
    <w:rsid w:val="00D26F42"/>
    <w:rsid w:val="00D27EFC"/>
    <w:rsid w:val="00D30B6D"/>
    <w:rsid w:val="00D34185"/>
    <w:rsid w:val="00D3544A"/>
    <w:rsid w:val="00D36BDE"/>
    <w:rsid w:val="00D36EE8"/>
    <w:rsid w:val="00D377B8"/>
    <w:rsid w:val="00D41F19"/>
    <w:rsid w:val="00D42783"/>
    <w:rsid w:val="00D43983"/>
    <w:rsid w:val="00D44448"/>
    <w:rsid w:val="00D44670"/>
    <w:rsid w:val="00D45DB4"/>
    <w:rsid w:val="00D474EC"/>
    <w:rsid w:val="00D47850"/>
    <w:rsid w:val="00D47C81"/>
    <w:rsid w:val="00D5146A"/>
    <w:rsid w:val="00D52D08"/>
    <w:rsid w:val="00D5324D"/>
    <w:rsid w:val="00D54EA6"/>
    <w:rsid w:val="00D552F1"/>
    <w:rsid w:val="00D553B8"/>
    <w:rsid w:val="00D62836"/>
    <w:rsid w:val="00D6369F"/>
    <w:rsid w:val="00D64AEE"/>
    <w:rsid w:val="00D64E8F"/>
    <w:rsid w:val="00D65790"/>
    <w:rsid w:val="00D65A4B"/>
    <w:rsid w:val="00D67BF9"/>
    <w:rsid w:val="00D67EBE"/>
    <w:rsid w:val="00D705B6"/>
    <w:rsid w:val="00D707A0"/>
    <w:rsid w:val="00D748D3"/>
    <w:rsid w:val="00D761A0"/>
    <w:rsid w:val="00D76AC7"/>
    <w:rsid w:val="00D76B22"/>
    <w:rsid w:val="00D77421"/>
    <w:rsid w:val="00D77CC8"/>
    <w:rsid w:val="00D77FDD"/>
    <w:rsid w:val="00D8080C"/>
    <w:rsid w:val="00D80930"/>
    <w:rsid w:val="00D80D50"/>
    <w:rsid w:val="00D8144E"/>
    <w:rsid w:val="00D82317"/>
    <w:rsid w:val="00D84F9D"/>
    <w:rsid w:val="00D873F9"/>
    <w:rsid w:val="00D901CC"/>
    <w:rsid w:val="00D91ADC"/>
    <w:rsid w:val="00D938E4"/>
    <w:rsid w:val="00D95997"/>
    <w:rsid w:val="00D9704D"/>
    <w:rsid w:val="00D97563"/>
    <w:rsid w:val="00D97845"/>
    <w:rsid w:val="00D97B2C"/>
    <w:rsid w:val="00DA022B"/>
    <w:rsid w:val="00DA0693"/>
    <w:rsid w:val="00DA07C4"/>
    <w:rsid w:val="00DA1B3E"/>
    <w:rsid w:val="00DA36C6"/>
    <w:rsid w:val="00DA3FDF"/>
    <w:rsid w:val="00DB0CAE"/>
    <w:rsid w:val="00DB1EC6"/>
    <w:rsid w:val="00DB3EF6"/>
    <w:rsid w:val="00DB4491"/>
    <w:rsid w:val="00DB462C"/>
    <w:rsid w:val="00DB47CA"/>
    <w:rsid w:val="00DB66C3"/>
    <w:rsid w:val="00DC02DF"/>
    <w:rsid w:val="00DC1228"/>
    <w:rsid w:val="00DC2473"/>
    <w:rsid w:val="00DC259C"/>
    <w:rsid w:val="00DC396C"/>
    <w:rsid w:val="00DC3A37"/>
    <w:rsid w:val="00DC47D0"/>
    <w:rsid w:val="00DC5176"/>
    <w:rsid w:val="00DC5DCC"/>
    <w:rsid w:val="00DC6CC9"/>
    <w:rsid w:val="00DC7270"/>
    <w:rsid w:val="00DC74C5"/>
    <w:rsid w:val="00DC7E58"/>
    <w:rsid w:val="00DC7E80"/>
    <w:rsid w:val="00DC7FF0"/>
    <w:rsid w:val="00DD166C"/>
    <w:rsid w:val="00DD1E59"/>
    <w:rsid w:val="00DD3FA2"/>
    <w:rsid w:val="00DD47D1"/>
    <w:rsid w:val="00DD599F"/>
    <w:rsid w:val="00DD5B85"/>
    <w:rsid w:val="00DD72DC"/>
    <w:rsid w:val="00DE2369"/>
    <w:rsid w:val="00DE386F"/>
    <w:rsid w:val="00DE4217"/>
    <w:rsid w:val="00DE4AAC"/>
    <w:rsid w:val="00DE7F8F"/>
    <w:rsid w:val="00DF0DD1"/>
    <w:rsid w:val="00DF1B21"/>
    <w:rsid w:val="00DF7503"/>
    <w:rsid w:val="00E00EFF"/>
    <w:rsid w:val="00E0371D"/>
    <w:rsid w:val="00E061C5"/>
    <w:rsid w:val="00E12962"/>
    <w:rsid w:val="00E130DB"/>
    <w:rsid w:val="00E13D1D"/>
    <w:rsid w:val="00E15818"/>
    <w:rsid w:val="00E1627E"/>
    <w:rsid w:val="00E2008B"/>
    <w:rsid w:val="00E201C9"/>
    <w:rsid w:val="00E20B25"/>
    <w:rsid w:val="00E2315A"/>
    <w:rsid w:val="00E254F2"/>
    <w:rsid w:val="00E25BBB"/>
    <w:rsid w:val="00E26FF9"/>
    <w:rsid w:val="00E30284"/>
    <w:rsid w:val="00E309D5"/>
    <w:rsid w:val="00E34A06"/>
    <w:rsid w:val="00E353E7"/>
    <w:rsid w:val="00E35439"/>
    <w:rsid w:val="00E35D7C"/>
    <w:rsid w:val="00E37EBF"/>
    <w:rsid w:val="00E42D00"/>
    <w:rsid w:val="00E43184"/>
    <w:rsid w:val="00E4334B"/>
    <w:rsid w:val="00E43F15"/>
    <w:rsid w:val="00E44B32"/>
    <w:rsid w:val="00E508C6"/>
    <w:rsid w:val="00E50922"/>
    <w:rsid w:val="00E51A8E"/>
    <w:rsid w:val="00E533E1"/>
    <w:rsid w:val="00E539D6"/>
    <w:rsid w:val="00E56704"/>
    <w:rsid w:val="00E62040"/>
    <w:rsid w:val="00E638A0"/>
    <w:rsid w:val="00E63F33"/>
    <w:rsid w:val="00E64830"/>
    <w:rsid w:val="00E66617"/>
    <w:rsid w:val="00E67434"/>
    <w:rsid w:val="00E679E2"/>
    <w:rsid w:val="00E67F53"/>
    <w:rsid w:val="00E70DFA"/>
    <w:rsid w:val="00E718AC"/>
    <w:rsid w:val="00E724C4"/>
    <w:rsid w:val="00E729AC"/>
    <w:rsid w:val="00E73306"/>
    <w:rsid w:val="00E75656"/>
    <w:rsid w:val="00E7672B"/>
    <w:rsid w:val="00E768F4"/>
    <w:rsid w:val="00E769D8"/>
    <w:rsid w:val="00E76D39"/>
    <w:rsid w:val="00E77F0A"/>
    <w:rsid w:val="00E8000D"/>
    <w:rsid w:val="00E823F3"/>
    <w:rsid w:val="00E843A8"/>
    <w:rsid w:val="00E86A1E"/>
    <w:rsid w:val="00E9086B"/>
    <w:rsid w:val="00E911EC"/>
    <w:rsid w:val="00E95631"/>
    <w:rsid w:val="00E972C9"/>
    <w:rsid w:val="00E97687"/>
    <w:rsid w:val="00EA2AAF"/>
    <w:rsid w:val="00EA578A"/>
    <w:rsid w:val="00EA69F8"/>
    <w:rsid w:val="00EB1225"/>
    <w:rsid w:val="00EB1476"/>
    <w:rsid w:val="00EB1823"/>
    <w:rsid w:val="00EB3CDC"/>
    <w:rsid w:val="00EB4796"/>
    <w:rsid w:val="00EB604C"/>
    <w:rsid w:val="00EB78E7"/>
    <w:rsid w:val="00EC169C"/>
    <w:rsid w:val="00ED057E"/>
    <w:rsid w:val="00ED194A"/>
    <w:rsid w:val="00ED5208"/>
    <w:rsid w:val="00ED7656"/>
    <w:rsid w:val="00ED784C"/>
    <w:rsid w:val="00EE0B99"/>
    <w:rsid w:val="00EE10BA"/>
    <w:rsid w:val="00EE3401"/>
    <w:rsid w:val="00EF0D58"/>
    <w:rsid w:val="00EF18F9"/>
    <w:rsid w:val="00EF1CC0"/>
    <w:rsid w:val="00EF23C7"/>
    <w:rsid w:val="00EF296C"/>
    <w:rsid w:val="00EF4CEC"/>
    <w:rsid w:val="00EF58E2"/>
    <w:rsid w:val="00EF76D4"/>
    <w:rsid w:val="00F0265A"/>
    <w:rsid w:val="00F04791"/>
    <w:rsid w:val="00F069F5"/>
    <w:rsid w:val="00F0715B"/>
    <w:rsid w:val="00F07546"/>
    <w:rsid w:val="00F0755E"/>
    <w:rsid w:val="00F1065E"/>
    <w:rsid w:val="00F118D2"/>
    <w:rsid w:val="00F11A95"/>
    <w:rsid w:val="00F11CFA"/>
    <w:rsid w:val="00F1226F"/>
    <w:rsid w:val="00F132A7"/>
    <w:rsid w:val="00F15F8D"/>
    <w:rsid w:val="00F16690"/>
    <w:rsid w:val="00F166BD"/>
    <w:rsid w:val="00F20A14"/>
    <w:rsid w:val="00F21560"/>
    <w:rsid w:val="00F22242"/>
    <w:rsid w:val="00F23FBB"/>
    <w:rsid w:val="00F24A1C"/>
    <w:rsid w:val="00F25B4A"/>
    <w:rsid w:val="00F25F79"/>
    <w:rsid w:val="00F26B49"/>
    <w:rsid w:val="00F26C1D"/>
    <w:rsid w:val="00F27432"/>
    <w:rsid w:val="00F318B2"/>
    <w:rsid w:val="00F34F10"/>
    <w:rsid w:val="00F352DA"/>
    <w:rsid w:val="00F35E31"/>
    <w:rsid w:val="00F3667C"/>
    <w:rsid w:val="00F37E8F"/>
    <w:rsid w:val="00F40C20"/>
    <w:rsid w:val="00F425C0"/>
    <w:rsid w:val="00F43A33"/>
    <w:rsid w:val="00F46EB8"/>
    <w:rsid w:val="00F5294C"/>
    <w:rsid w:val="00F536EF"/>
    <w:rsid w:val="00F546F6"/>
    <w:rsid w:val="00F55D14"/>
    <w:rsid w:val="00F56092"/>
    <w:rsid w:val="00F56E6F"/>
    <w:rsid w:val="00F57862"/>
    <w:rsid w:val="00F61F8F"/>
    <w:rsid w:val="00F6440E"/>
    <w:rsid w:val="00F7025C"/>
    <w:rsid w:val="00F70CC6"/>
    <w:rsid w:val="00F71394"/>
    <w:rsid w:val="00F723B0"/>
    <w:rsid w:val="00F72DE7"/>
    <w:rsid w:val="00F730D7"/>
    <w:rsid w:val="00F734FA"/>
    <w:rsid w:val="00F74CC9"/>
    <w:rsid w:val="00F74D2F"/>
    <w:rsid w:val="00F75493"/>
    <w:rsid w:val="00F760A1"/>
    <w:rsid w:val="00F775BC"/>
    <w:rsid w:val="00F7772B"/>
    <w:rsid w:val="00F80A32"/>
    <w:rsid w:val="00F81F86"/>
    <w:rsid w:val="00F820C4"/>
    <w:rsid w:val="00F82529"/>
    <w:rsid w:val="00F86F53"/>
    <w:rsid w:val="00F91985"/>
    <w:rsid w:val="00F9227E"/>
    <w:rsid w:val="00F943A5"/>
    <w:rsid w:val="00F963DB"/>
    <w:rsid w:val="00F97BAC"/>
    <w:rsid w:val="00FA0E18"/>
    <w:rsid w:val="00FA0E6A"/>
    <w:rsid w:val="00FA14E8"/>
    <w:rsid w:val="00FA166E"/>
    <w:rsid w:val="00FA1A48"/>
    <w:rsid w:val="00FA2846"/>
    <w:rsid w:val="00FA2E1A"/>
    <w:rsid w:val="00FA59E6"/>
    <w:rsid w:val="00FB01A0"/>
    <w:rsid w:val="00FB10F7"/>
    <w:rsid w:val="00FB369C"/>
    <w:rsid w:val="00FB39CC"/>
    <w:rsid w:val="00FB4966"/>
    <w:rsid w:val="00FB51EC"/>
    <w:rsid w:val="00FB672D"/>
    <w:rsid w:val="00FB68D8"/>
    <w:rsid w:val="00FC2FDC"/>
    <w:rsid w:val="00FC53B8"/>
    <w:rsid w:val="00FC6E70"/>
    <w:rsid w:val="00FD020F"/>
    <w:rsid w:val="00FD51F9"/>
    <w:rsid w:val="00FD556B"/>
    <w:rsid w:val="00FD5A92"/>
    <w:rsid w:val="00FD73F0"/>
    <w:rsid w:val="00FD7B0E"/>
    <w:rsid w:val="00FE0712"/>
    <w:rsid w:val="00FE1034"/>
    <w:rsid w:val="00FE1AA4"/>
    <w:rsid w:val="00FE1DFB"/>
    <w:rsid w:val="00FE1EF9"/>
    <w:rsid w:val="00FE26AD"/>
    <w:rsid w:val="00FE2903"/>
    <w:rsid w:val="00FE3030"/>
    <w:rsid w:val="00FE3520"/>
    <w:rsid w:val="00FE362E"/>
    <w:rsid w:val="00FE3D95"/>
    <w:rsid w:val="00FE6A2A"/>
    <w:rsid w:val="00FF0478"/>
    <w:rsid w:val="00FF608D"/>
    <w:rsid w:val="00FF71D6"/>
    <w:rsid w:val="00FF7A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BA4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D72"/>
    <w:pPr>
      <w:spacing w:before="120" w:after="80" w:line="240" w:lineRule="auto"/>
    </w:pPr>
    <w:rPr>
      <w:rFonts w:ascii="Arial" w:hAnsi="Arial"/>
      <w:lang w:val="en-US"/>
    </w:rPr>
  </w:style>
  <w:style w:type="paragraph" w:styleId="Heading1">
    <w:name w:val="heading 1"/>
    <w:basedOn w:val="Normal"/>
    <w:next w:val="Normal"/>
    <w:link w:val="Heading1Char"/>
    <w:uiPriority w:val="9"/>
    <w:qFormat/>
    <w:rsid w:val="00D0478E"/>
    <w:pPr>
      <w:keepNext/>
      <w:keepLines/>
      <w:spacing w:after="240"/>
      <w:outlineLvl w:val="0"/>
    </w:pPr>
    <w:rPr>
      <w:rFonts w:eastAsiaTheme="majorEastAsia" w:cs="Arial"/>
      <w:b/>
      <w:sz w:val="32"/>
      <w:szCs w:val="32"/>
    </w:rPr>
  </w:style>
  <w:style w:type="paragraph" w:styleId="Heading2">
    <w:name w:val="heading 2"/>
    <w:basedOn w:val="Normal"/>
    <w:next w:val="Normal"/>
    <w:link w:val="Heading2Char"/>
    <w:uiPriority w:val="9"/>
    <w:unhideWhenUsed/>
    <w:qFormat/>
    <w:rsid w:val="009F3569"/>
    <w:pPr>
      <w:keepNext/>
      <w:keepLines/>
      <w:spacing w:before="240" w:after="40"/>
      <w:outlineLvl w:val="1"/>
    </w:pPr>
    <w:rPr>
      <w:rFonts w:eastAsiaTheme="majorEastAsia" w:cs="Arial"/>
      <w:b/>
      <w:sz w:val="28"/>
      <w:szCs w:val="26"/>
    </w:rPr>
  </w:style>
  <w:style w:type="paragraph" w:styleId="Heading3">
    <w:name w:val="heading 3"/>
    <w:basedOn w:val="Normal"/>
    <w:next w:val="Normal"/>
    <w:link w:val="Heading3Char"/>
    <w:uiPriority w:val="9"/>
    <w:unhideWhenUsed/>
    <w:qFormat/>
    <w:rsid w:val="00EF18F9"/>
    <w:pPr>
      <w:keepNext/>
      <w:keepLines/>
      <w:spacing w:before="200" w:after="60" w:line="264" w:lineRule="auto"/>
      <w:outlineLvl w:val="2"/>
    </w:pPr>
    <w:rPr>
      <w:rFonts w:eastAsiaTheme="majorEastAsia" w:cstheme="majorBidi"/>
      <w:b/>
      <w:sz w:val="24"/>
      <w:szCs w:val="24"/>
      <w:lang w:val="en-NZ" w:eastAsia="en-GB"/>
    </w:rPr>
  </w:style>
  <w:style w:type="paragraph" w:styleId="Heading4">
    <w:name w:val="heading 4"/>
    <w:basedOn w:val="Normal"/>
    <w:next w:val="Normal"/>
    <w:link w:val="Heading4Char"/>
    <w:uiPriority w:val="9"/>
    <w:unhideWhenUsed/>
    <w:qFormat/>
    <w:rsid w:val="00B83091"/>
    <w:pPr>
      <w:keepNext/>
      <w:keepLines/>
      <w:spacing w:before="400" w:after="0"/>
      <w:outlineLvl w:val="3"/>
    </w:pPr>
    <w:rPr>
      <w:rFonts w:eastAsiaTheme="majorEastAsia" w:cstheme="majorBidi"/>
      <w:i/>
      <w:iCs/>
      <w:sz w:val="24"/>
      <w:szCs w:val="20"/>
      <w:lang w:val="en-NZ" w:eastAsia="en-GB"/>
    </w:rPr>
  </w:style>
  <w:style w:type="paragraph" w:styleId="Heading5">
    <w:name w:val="heading 5"/>
    <w:basedOn w:val="Normal"/>
    <w:next w:val="Normal"/>
    <w:link w:val="Heading5Char"/>
    <w:uiPriority w:val="9"/>
    <w:unhideWhenUsed/>
    <w:qFormat/>
    <w:rsid w:val="004D35CD"/>
    <w:pPr>
      <w:keepNext/>
      <w:keepLines/>
      <w:spacing w:before="240" w:after="0"/>
      <w:outlineLvl w:val="4"/>
    </w:pPr>
    <w:rPr>
      <w:rFonts w:eastAsiaTheme="majorEastAsia" w:cstheme="majorBidi"/>
      <w:b/>
      <w:color w:val="767171" w:themeColor="background2" w:themeShade="80"/>
    </w:rPr>
  </w:style>
  <w:style w:type="paragraph" w:styleId="Heading6">
    <w:name w:val="heading 6"/>
    <w:basedOn w:val="Normal"/>
    <w:next w:val="Normal"/>
    <w:link w:val="Heading6Char"/>
    <w:uiPriority w:val="9"/>
    <w:unhideWhenUsed/>
    <w:qFormat/>
    <w:rsid w:val="00B74D67"/>
    <w:pPr>
      <w:keepNext/>
      <w:keepLines/>
      <w:spacing w:after="60"/>
      <w:outlineLvl w:val="5"/>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78E"/>
    <w:rPr>
      <w:rFonts w:ascii="Arial" w:eastAsiaTheme="majorEastAsia" w:hAnsi="Arial" w:cs="Arial"/>
      <w:b/>
      <w:sz w:val="32"/>
      <w:szCs w:val="32"/>
      <w:lang w:val="en-US"/>
    </w:rPr>
  </w:style>
  <w:style w:type="character" w:customStyle="1" w:styleId="Heading2Char">
    <w:name w:val="Heading 2 Char"/>
    <w:basedOn w:val="DefaultParagraphFont"/>
    <w:link w:val="Heading2"/>
    <w:uiPriority w:val="9"/>
    <w:rsid w:val="009F3569"/>
    <w:rPr>
      <w:rFonts w:ascii="Arial" w:eastAsiaTheme="majorEastAsia" w:hAnsi="Arial" w:cs="Arial"/>
      <w:b/>
      <w:sz w:val="28"/>
      <w:szCs w:val="26"/>
      <w:lang w:val="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F57862"/>
    <w:pPr>
      <w:numPr>
        <w:numId w:val="1"/>
      </w:numPr>
      <w:suppressAutoHyphens/>
      <w:autoSpaceDE w:val="0"/>
      <w:autoSpaceDN w:val="0"/>
      <w:adjustRightInd w:val="0"/>
      <w:spacing w:after="120" w:line="280" w:lineRule="atLeast"/>
      <w:contextualSpacing/>
      <w:textAlignment w:val="center"/>
    </w:pPr>
    <w:rPr>
      <w:rFonts w:eastAsia="Times New Roman" w:cs="Arial"/>
      <w:lang w:eastAsia="en-NZ"/>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locked/>
    <w:rsid w:val="00F57862"/>
    <w:rPr>
      <w:rFonts w:ascii="Arial" w:eastAsia="Times New Roman" w:hAnsi="Arial" w:cs="Arial"/>
      <w:lang w:val="en-US" w:eastAsia="en-NZ"/>
    </w:rPr>
  </w:style>
  <w:style w:type="paragraph" w:styleId="BodyText3">
    <w:name w:val="Body Text 3"/>
    <w:basedOn w:val="Normal"/>
    <w:link w:val="BodyText3Char"/>
    <w:semiHidden/>
    <w:unhideWhenUsed/>
    <w:rsid w:val="00F57862"/>
    <w:pPr>
      <w:spacing w:after="120"/>
    </w:pPr>
    <w:rPr>
      <w:rFonts w:eastAsia="Times New Roman" w:cs="Times New Roman"/>
      <w:sz w:val="16"/>
      <w:szCs w:val="16"/>
      <w:lang w:val="en-NZ" w:eastAsia="en-NZ"/>
    </w:rPr>
  </w:style>
  <w:style w:type="character" w:customStyle="1" w:styleId="BodyText3Char">
    <w:name w:val="Body Text 3 Char"/>
    <w:basedOn w:val="DefaultParagraphFont"/>
    <w:link w:val="BodyText3"/>
    <w:semiHidden/>
    <w:rsid w:val="00F57862"/>
    <w:rPr>
      <w:rFonts w:ascii="Arial" w:eastAsia="Times New Roman" w:hAnsi="Arial" w:cs="Times New Roman"/>
      <w:sz w:val="16"/>
      <w:szCs w:val="16"/>
      <w:lang w:eastAsia="en-NZ"/>
    </w:rPr>
  </w:style>
  <w:style w:type="paragraph" w:styleId="Header">
    <w:name w:val="header"/>
    <w:basedOn w:val="Normal"/>
    <w:link w:val="HeaderChar"/>
    <w:uiPriority w:val="99"/>
    <w:unhideWhenUsed/>
    <w:rsid w:val="00BD7BE6"/>
    <w:pPr>
      <w:tabs>
        <w:tab w:val="center" w:pos="4513"/>
        <w:tab w:val="right" w:pos="9026"/>
      </w:tabs>
      <w:spacing w:after="0"/>
    </w:pPr>
  </w:style>
  <w:style w:type="character" w:customStyle="1" w:styleId="HeaderChar">
    <w:name w:val="Header Char"/>
    <w:basedOn w:val="DefaultParagraphFont"/>
    <w:link w:val="Header"/>
    <w:uiPriority w:val="99"/>
    <w:rsid w:val="00BD7BE6"/>
    <w:rPr>
      <w:rFonts w:ascii="Arial" w:hAnsi="Arial"/>
      <w:lang w:val="en-US"/>
    </w:rPr>
  </w:style>
  <w:style w:type="paragraph" w:styleId="Footer">
    <w:name w:val="footer"/>
    <w:basedOn w:val="Normal"/>
    <w:link w:val="FooterChar"/>
    <w:uiPriority w:val="99"/>
    <w:unhideWhenUsed/>
    <w:rsid w:val="00BD7BE6"/>
    <w:pPr>
      <w:tabs>
        <w:tab w:val="center" w:pos="4513"/>
        <w:tab w:val="right" w:pos="9026"/>
      </w:tabs>
      <w:spacing w:after="0"/>
    </w:pPr>
  </w:style>
  <w:style w:type="character" w:customStyle="1" w:styleId="FooterChar">
    <w:name w:val="Footer Char"/>
    <w:basedOn w:val="DefaultParagraphFont"/>
    <w:link w:val="Footer"/>
    <w:uiPriority w:val="99"/>
    <w:rsid w:val="00BD7BE6"/>
    <w:rPr>
      <w:rFonts w:ascii="Arial" w:hAnsi="Arial"/>
      <w:lang w:val="en-US"/>
    </w:rPr>
  </w:style>
  <w:style w:type="paragraph" w:styleId="BalloonText">
    <w:name w:val="Balloon Text"/>
    <w:basedOn w:val="Normal"/>
    <w:link w:val="BalloonTextChar"/>
    <w:uiPriority w:val="99"/>
    <w:semiHidden/>
    <w:unhideWhenUsed/>
    <w:rsid w:val="00BD7B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BE6"/>
    <w:rPr>
      <w:rFonts w:ascii="Segoe UI" w:hAnsi="Segoe UI" w:cs="Segoe UI"/>
      <w:sz w:val="18"/>
      <w:szCs w:val="18"/>
      <w:lang w:val="en-US"/>
    </w:rPr>
  </w:style>
  <w:style w:type="character" w:styleId="Hyperlink">
    <w:name w:val="Hyperlink"/>
    <w:basedOn w:val="DefaultParagraphFont"/>
    <w:uiPriority w:val="99"/>
    <w:unhideWhenUsed/>
    <w:rsid w:val="00C22EE8"/>
    <w:rPr>
      <w:color w:val="0563C1" w:themeColor="hyperlink"/>
      <w:u w:val="single"/>
    </w:rPr>
  </w:style>
  <w:style w:type="character" w:customStyle="1" w:styleId="UnresolvedMention1">
    <w:name w:val="Unresolved Mention1"/>
    <w:basedOn w:val="DefaultParagraphFont"/>
    <w:uiPriority w:val="99"/>
    <w:semiHidden/>
    <w:unhideWhenUsed/>
    <w:rsid w:val="00C22EE8"/>
    <w:rPr>
      <w:color w:val="605E5C"/>
      <w:shd w:val="clear" w:color="auto" w:fill="E1DFDD"/>
    </w:rPr>
  </w:style>
  <w:style w:type="character" w:customStyle="1" w:styleId="Heading3Char">
    <w:name w:val="Heading 3 Char"/>
    <w:basedOn w:val="DefaultParagraphFont"/>
    <w:link w:val="Heading3"/>
    <w:uiPriority w:val="9"/>
    <w:rsid w:val="00EF18F9"/>
    <w:rPr>
      <w:rFonts w:ascii="Arial" w:eastAsiaTheme="majorEastAsia" w:hAnsi="Arial" w:cstheme="majorBidi"/>
      <w:b/>
      <w:sz w:val="24"/>
      <w:szCs w:val="24"/>
      <w:lang w:eastAsia="en-GB"/>
    </w:rPr>
  </w:style>
  <w:style w:type="character" w:customStyle="1" w:styleId="Heading4Char">
    <w:name w:val="Heading 4 Char"/>
    <w:basedOn w:val="DefaultParagraphFont"/>
    <w:link w:val="Heading4"/>
    <w:uiPriority w:val="9"/>
    <w:rsid w:val="00B83091"/>
    <w:rPr>
      <w:rFonts w:ascii="Arial" w:eastAsiaTheme="majorEastAsia" w:hAnsi="Arial" w:cstheme="majorBidi"/>
      <w:i/>
      <w:iCs/>
      <w:sz w:val="24"/>
      <w:szCs w:val="20"/>
      <w:lang w:eastAsia="en-GB"/>
    </w:rPr>
  </w:style>
  <w:style w:type="character" w:customStyle="1" w:styleId="TableTextChar">
    <w:name w:val="TableText Char"/>
    <w:link w:val="TableText"/>
    <w:locked/>
    <w:rsid w:val="002420D3"/>
    <w:rPr>
      <w:rFonts w:ascii="Arial" w:hAnsi="Arial" w:cs="Arial"/>
      <w:sz w:val="18"/>
      <w:lang w:eastAsia="en-GB"/>
    </w:rPr>
  </w:style>
  <w:style w:type="paragraph" w:customStyle="1" w:styleId="TableText">
    <w:name w:val="TableText"/>
    <w:basedOn w:val="Normal"/>
    <w:link w:val="TableTextChar"/>
    <w:qFormat/>
    <w:rsid w:val="002420D3"/>
    <w:pPr>
      <w:spacing w:before="60" w:after="60"/>
    </w:pPr>
    <w:rPr>
      <w:rFonts w:cs="Arial"/>
      <w:sz w:val="18"/>
      <w:lang w:val="en-NZ" w:eastAsia="en-GB"/>
    </w:rPr>
  </w:style>
  <w:style w:type="table" w:styleId="TableGrid">
    <w:name w:val="Table Grid"/>
    <w:basedOn w:val="TableNormal"/>
    <w:rsid w:val="002420D3"/>
    <w:pPr>
      <w:spacing w:after="0" w:line="264" w:lineRule="auto"/>
    </w:pPr>
    <w:rPr>
      <w:rFonts w:ascii="Times New Roman" w:eastAsia="Times New Roman" w:hAnsi="Times New Roman" w:cs="Times New Roman"/>
      <w:sz w:val="20"/>
      <w:szCs w:val="20"/>
      <w:lang w:eastAsia="en-N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69BF"/>
    <w:rPr>
      <w:sz w:val="16"/>
      <w:szCs w:val="16"/>
    </w:rPr>
  </w:style>
  <w:style w:type="paragraph" w:styleId="CommentText">
    <w:name w:val="annotation text"/>
    <w:basedOn w:val="Normal"/>
    <w:link w:val="CommentTextChar"/>
    <w:uiPriority w:val="99"/>
    <w:unhideWhenUsed/>
    <w:rsid w:val="006D69BF"/>
    <w:rPr>
      <w:sz w:val="20"/>
      <w:szCs w:val="20"/>
    </w:rPr>
  </w:style>
  <w:style w:type="character" w:customStyle="1" w:styleId="CommentTextChar">
    <w:name w:val="Comment Text Char"/>
    <w:basedOn w:val="DefaultParagraphFont"/>
    <w:link w:val="CommentText"/>
    <w:uiPriority w:val="99"/>
    <w:rsid w:val="006D69BF"/>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6D69BF"/>
    <w:rPr>
      <w:b/>
      <w:bCs/>
    </w:rPr>
  </w:style>
  <w:style w:type="character" w:customStyle="1" w:styleId="CommentSubjectChar">
    <w:name w:val="Comment Subject Char"/>
    <w:basedOn w:val="CommentTextChar"/>
    <w:link w:val="CommentSubject"/>
    <w:uiPriority w:val="99"/>
    <w:semiHidden/>
    <w:rsid w:val="006D69BF"/>
    <w:rPr>
      <w:rFonts w:ascii="Arial" w:hAnsi="Arial"/>
      <w:b/>
      <w:bCs/>
      <w:sz w:val="20"/>
      <w:szCs w:val="20"/>
      <w:lang w:val="en-US"/>
    </w:rPr>
  </w:style>
  <w:style w:type="character" w:styleId="FollowedHyperlink">
    <w:name w:val="FollowedHyperlink"/>
    <w:basedOn w:val="DefaultParagraphFont"/>
    <w:uiPriority w:val="99"/>
    <w:semiHidden/>
    <w:unhideWhenUsed/>
    <w:rsid w:val="000A1F45"/>
    <w:rPr>
      <w:color w:val="954F72" w:themeColor="followedHyperlink"/>
      <w:u w:val="single"/>
    </w:rPr>
  </w:style>
  <w:style w:type="paragraph" w:styleId="Revision">
    <w:name w:val="Revision"/>
    <w:hidden/>
    <w:uiPriority w:val="99"/>
    <w:semiHidden/>
    <w:rsid w:val="00C2350C"/>
    <w:pPr>
      <w:spacing w:after="0" w:line="240" w:lineRule="auto"/>
    </w:pPr>
    <w:rPr>
      <w:rFonts w:ascii="Arial" w:hAnsi="Arial"/>
      <w:lang w:val="en-US"/>
    </w:rPr>
  </w:style>
  <w:style w:type="paragraph" w:styleId="BodyText">
    <w:name w:val="Body Text"/>
    <w:basedOn w:val="Normal"/>
    <w:link w:val="BodyTextChar"/>
    <w:uiPriority w:val="99"/>
    <w:semiHidden/>
    <w:unhideWhenUsed/>
    <w:rsid w:val="006D2419"/>
    <w:pPr>
      <w:spacing w:after="120"/>
    </w:pPr>
  </w:style>
  <w:style w:type="character" w:customStyle="1" w:styleId="BodyTextChar">
    <w:name w:val="Body Text Char"/>
    <w:basedOn w:val="DefaultParagraphFont"/>
    <w:link w:val="BodyText"/>
    <w:uiPriority w:val="99"/>
    <w:semiHidden/>
    <w:rsid w:val="006D2419"/>
    <w:rPr>
      <w:rFonts w:ascii="Arial" w:hAnsi="Arial"/>
      <w:lang w:val="en-US"/>
    </w:rPr>
  </w:style>
  <w:style w:type="character" w:styleId="UnresolvedMention">
    <w:name w:val="Unresolved Mention"/>
    <w:basedOn w:val="DefaultParagraphFont"/>
    <w:uiPriority w:val="99"/>
    <w:semiHidden/>
    <w:unhideWhenUsed/>
    <w:rsid w:val="00055273"/>
    <w:rPr>
      <w:color w:val="605E5C"/>
      <w:shd w:val="clear" w:color="auto" w:fill="E1DFDD"/>
    </w:rPr>
  </w:style>
  <w:style w:type="paragraph" w:customStyle="1" w:styleId="Default">
    <w:name w:val="Default"/>
    <w:rsid w:val="009C3D08"/>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E972C9"/>
    <w:pPr>
      <w:spacing w:after="0"/>
    </w:pPr>
    <w:rPr>
      <w:sz w:val="20"/>
      <w:szCs w:val="20"/>
    </w:rPr>
  </w:style>
  <w:style w:type="character" w:customStyle="1" w:styleId="FootnoteTextChar">
    <w:name w:val="Footnote Text Char"/>
    <w:basedOn w:val="DefaultParagraphFont"/>
    <w:link w:val="FootnoteText"/>
    <w:uiPriority w:val="99"/>
    <w:semiHidden/>
    <w:rsid w:val="00E972C9"/>
    <w:rPr>
      <w:rFonts w:ascii="Arial" w:hAnsi="Arial"/>
      <w:sz w:val="20"/>
      <w:szCs w:val="20"/>
      <w:lang w:val="en-US"/>
    </w:rPr>
  </w:style>
  <w:style w:type="character" w:styleId="FootnoteReference">
    <w:name w:val="footnote reference"/>
    <w:basedOn w:val="DefaultParagraphFont"/>
    <w:uiPriority w:val="99"/>
    <w:semiHidden/>
    <w:unhideWhenUsed/>
    <w:rsid w:val="00E972C9"/>
    <w:rPr>
      <w:vertAlign w:val="superscript"/>
    </w:rPr>
  </w:style>
  <w:style w:type="paragraph" w:styleId="EndnoteText">
    <w:name w:val="endnote text"/>
    <w:basedOn w:val="Normal"/>
    <w:link w:val="EndnoteTextChar"/>
    <w:uiPriority w:val="99"/>
    <w:semiHidden/>
    <w:unhideWhenUsed/>
    <w:rsid w:val="0003415B"/>
    <w:pPr>
      <w:spacing w:after="0"/>
    </w:pPr>
    <w:rPr>
      <w:sz w:val="20"/>
      <w:szCs w:val="20"/>
    </w:rPr>
  </w:style>
  <w:style w:type="character" w:customStyle="1" w:styleId="EndnoteTextChar">
    <w:name w:val="Endnote Text Char"/>
    <w:basedOn w:val="DefaultParagraphFont"/>
    <w:link w:val="EndnoteText"/>
    <w:uiPriority w:val="99"/>
    <w:semiHidden/>
    <w:rsid w:val="0003415B"/>
    <w:rPr>
      <w:rFonts w:ascii="Arial" w:hAnsi="Arial"/>
      <w:sz w:val="20"/>
      <w:szCs w:val="20"/>
      <w:lang w:val="en-US"/>
    </w:rPr>
  </w:style>
  <w:style w:type="character" w:styleId="EndnoteReference">
    <w:name w:val="endnote reference"/>
    <w:basedOn w:val="DefaultParagraphFont"/>
    <w:uiPriority w:val="99"/>
    <w:semiHidden/>
    <w:unhideWhenUsed/>
    <w:rsid w:val="0003415B"/>
    <w:rPr>
      <w:vertAlign w:val="superscript"/>
    </w:rPr>
  </w:style>
  <w:style w:type="paragraph" w:styleId="TOCHeading">
    <w:name w:val="TOC Heading"/>
    <w:basedOn w:val="Heading1"/>
    <w:next w:val="Normal"/>
    <w:uiPriority w:val="39"/>
    <w:unhideWhenUsed/>
    <w:qFormat/>
    <w:rsid w:val="00511E95"/>
    <w:pPr>
      <w:spacing w:after="0"/>
      <w:outlineLvl w:val="9"/>
    </w:pPr>
    <w:rPr>
      <w:rFonts w:asciiTheme="majorHAnsi" w:hAnsiTheme="majorHAnsi" w:cstheme="majorBidi"/>
      <w:b w:val="0"/>
      <w:color w:val="2F5496" w:themeColor="accent1" w:themeShade="BF"/>
    </w:rPr>
  </w:style>
  <w:style w:type="paragraph" w:styleId="TOC1">
    <w:name w:val="toc 1"/>
    <w:basedOn w:val="Normal"/>
    <w:next w:val="Normal"/>
    <w:autoRedefine/>
    <w:uiPriority w:val="39"/>
    <w:unhideWhenUsed/>
    <w:rsid w:val="00A210CF"/>
    <w:pPr>
      <w:tabs>
        <w:tab w:val="right" w:leader="dot" w:pos="9016"/>
      </w:tabs>
      <w:spacing w:after="100"/>
    </w:pPr>
  </w:style>
  <w:style w:type="paragraph" w:styleId="TOC2">
    <w:name w:val="toc 2"/>
    <w:basedOn w:val="Normal"/>
    <w:next w:val="Normal"/>
    <w:autoRedefine/>
    <w:uiPriority w:val="39"/>
    <w:unhideWhenUsed/>
    <w:rsid w:val="00511E95"/>
    <w:pPr>
      <w:spacing w:after="100"/>
      <w:ind w:left="220"/>
    </w:pPr>
  </w:style>
  <w:style w:type="paragraph" w:styleId="TOC3">
    <w:name w:val="toc 3"/>
    <w:basedOn w:val="Normal"/>
    <w:next w:val="Normal"/>
    <w:autoRedefine/>
    <w:uiPriority w:val="39"/>
    <w:unhideWhenUsed/>
    <w:rsid w:val="004C142F"/>
    <w:pPr>
      <w:spacing w:after="100"/>
      <w:ind w:left="440"/>
    </w:pPr>
  </w:style>
  <w:style w:type="paragraph" w:styleId="Caption">
    <w:name w:val="caption"/>
    <w:basedOn w:val="Normal"/>
    <w:next w:val="Normal"/>
    <w:uiPriority w:val="35"/>
    <w:unhideWhenUsed/>
    <w:qFormat/>
    <w:rsid w:val="005B6BBC"/>
    <w:pPr>
      <w:spacing w:before="240" w:after="20"/>
    </w:pPr>
    <w:rPr>
      <w:i/>
      <w:iCs/>
      <w:sz w:val="20"/>
      <w:szCs w:val="18"/>
    </w:rPr>
  </w:style>
  <w:style w:type="table" w:styleId="GridTable1Light">
    <w:name w:val="Grid Table 1 Light"/>
    <w:basedOn w:val="TableNormal"/>
    <w:uiPriority w:val="46"/>
    <w:rsid w:val="004529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Questionstyle">
    <w:name w:val="Question style"/>
    <w:basedOn w:val="Normal"/>
    <w:link w:val="QuestionstyleChar"/>
    <w:qFormat/>
    <w:rsid w:val="00D07F90"/>
    <w:pPr>
      <w:spacing w:after="120"/>
      <w:ind w:left="181"/>
    </w:pPr>
    <w:rPr>
      <w:rFonts w:eastAsia="Times New Roman" w:cs="Times New Roman"/>
      <w:i/>
      <w:szCs w:val="20"/>
      <w:lang w:val="en-NZ" w:eastAsia="en-NZ"/>
    </w:rPr>
  </w:style>
  <w:style w:type="character" w:customStyle="1" w:styleId="QuestionstyleChar">
    <w:name w:val="Question style Char"/>
    <w:basedOn w:val="DefaultParagraphFont"/>
    <w:link w:val="Questionstyle"/>
    <w:rsid w:val="00D07F90"/>
    <w:rPr>
      <w:rFonts w:ascii="Arial" w:eastAsia="Times New Roman" w:hAnsi="Arial" w:cs="Times New Roman"/>
      <w:i/>
      <w:szCs w:val="20"/>
      <w:lang w:eastAsia="en-NZ"/>
    </w:rPr>
  </w:style>
  <w:style w:type="character" w:customStyle="1" w:styleId="hit">
    <w:name w:val="hit"/>
    <w:basedOn w:val="DefaultParagraphFont"/>
    <w:rsid w:val="009935D8"/>
  </w:style>
  <w:style w:type="paragraph" w:styleId="Quote">
    <w:name w:val="Quote"/>
    <w:basedOn w:val="Normal"/>
    <w:next w:val="Normal"/>
    <w:link w:val="QuoteChar"/>
    <w:uiPriority w:val="29"/>
    <w:qFormat/>
    <w:rsid w:val="00BC50F3"/>
    <w:pPr>
      <w:spacing w:before="200"/>
      <w:ind w:left="864" w:right="864"/>
    </w:pPr>
    <w:rPr>
      <w:i/>
      <w:iCs/>
      <w:color w:val="404040" w:themeColor="text1" w:themeTint="BF"/>
      <w:sz w:val="20"/>
    </w:rPr>
  </w:style>
  <w:style w:type="character" w:customStyle="1" w:styleId="QuoteChar">
    <w:name w:val="Quote Char"/>
    <w:basedOn w:val="DefaultParagraphFont"/>
    <w:link w:val="Quote"/>
    <w:uiPriority w:val="29"/>
    <w:rsid w:val="00BC50F3"/>
    <w:rPr>
      <w:rFonts w:ascii="Arial" w:hAnsi="Arial"/>
      <w:i/>
      <w:iCs/>
      <w:color w:val="404040" w:themeColor="text1" w:themeTint="BF"/>
      <w:sz w:val="20"/>
      <w:lang w:val="en-US"/>
    </w:rPr>
  </w:style>
  <w:style w:type="character" w:customStyle="1" w:styleId="Heading5Char">
    <w:name w:val="Heading 5 Char"/>
    <w:basedOn w:val="DefaultParagraphFont"/>
    <w:link w:val="Heading5"/>
    <w:uiPriority w:val="9"/>
    <w:rsid w:val="004D35CD"/>
    <w:rPr>
      <w:rFonts w:ascii="Arial" w:eastAsiaTheme="majorEastAsia" w:hAnsi="Arial" w:cstheme="majorBidi"/>
      <w:b/>
      <w:color w:val="767171" w:themeColor="background2" w:themeShade="80"/>
      <w:lang w:val="en-US"/>
    </w:rPr>
  </w:style>
  <w:style w:type="character" w:customStyle="1" w:styleId="Heading6Char">
    <w:name w:val="Heading 6 Char"/>
    <w:basedOn w:val="DefaultParagraphFont"/>
    <w:link w:val="Heading6"/>
    <w:uiPriority w:val="9"/>
    <w:rsid w:val="00B74D67"/>
    <w:rPr>
      <w:rFonts w:ascii="Arial" w:eastAsiaTheme="majorEastAsia" w:hAnsi="Arial" w:cstheme="majorBidi"/>
      <w:i/>
      <w:lang w:val="en-US"/>
    </w:rPr>
  </w:style>
  <w:style w:type="paragraph" w:customStyle="1" w:styleId="PageTitle">
    <w:name w:val="Page Title"/>
    <w:basedOn w:val="Heading1"/>
    <w:link w:val="PageTitleChar"/>
    <w:rsid w:val="00654D22"/>
    <w:rPr>
      <w:sz w:val="33"/>
      <w:lang w:val="en-NZ"/>
    </w:rPr>
  </w:style>
  <w:style w:type="paragraph" w:customStyle="1" w:styleId="Footnote">
    <w:name w:val="Footnote"/>
    <w:basedOn w:val="FootnoteText"/>
    <w:link w:val="FootnoteChar"/>
    <w:qFormat/>
    <w:rsid w:val="003971EF"/>
    <w:pPr>
      <w:spacing w:before="0" w:after="20"/>
    </w:pPr>
    <w:rPr>
      <w:rFonts w:cs="Arial"/>
      <w:sz w:val="18"/>
      <w:lang w:val="en-NZ"/>
    </w:rPr>
  </w:style>
  <w:style w:type="character" w:customStyle="1" w:styleId="PageTitleChar">
    <w:name w:val="Page Title Char"/>
    <w:basedOn w:val="Heading1Char"/>
    <w:link w:val="PageTitle"/>
    <w:rsid w:val="00654D22"/>
    <w:rPr>
      <w:rFonts w:ascii="Arial" w:eastAsiaTheme="majorEastAsia" w:hAnsi="Arial" w:cs="Arial"/>
      <w:b/>
      <w:sz w:val="33"/>
      <w:szCs w:val="32"/>
      <w:lang w:val="en-US"/>
    </w:rPr>
  </w:style>
  <w:style w:type="character" w:customStyle="1" w:styleId="left">
    <w:name w:val="left"/>
    <w:basedOn w:val="DefaultParagraphFont"/>
    <w:rsid w:val="005C0DE6"/>
  </w:style>
  <w:style w:type="character" w:customStyle="1" w:styleId="FootnoteChar">
    <w:name w:val="Footnote Char"/>
    <w:basedOn w:val="FootnoteTextChar"/>
    <w:link w:val="Footnote"/>
    <w:rsid w:val="003971EF"/>
    <w:rPr>
      <w:rFonts w:ascii="Arial" w:hAnsi="Arial" w:cs="Arial"/>
      <w:sz w:val="18"/>
      <w:szCs w:val="20"/>
      <w:lang w:val="en-US"/>
    </w:rPr>
  </w:style>
  <w:style w:type="paragraph" w:styleId="NormalWeb">
    <w:name w:val="Normal (Web)"/>
    <w:basedOn w:val="Normal"/>
    <w:uiPriority w:val="99"/>
    <w:semiHidden/>
    <w:unhideWhenUsed/>
    <w:rsid w:val="001E07EA"/>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nondv-xref">
    <w:name w:val="nondv-xref"/>
    <w:basedOn w:val="DefaultParagraphFont"/>
    <w:rsid w:val="00F8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45084">
      <w:bodyDiv w:val="1"/>
      <w:marLeft w:val="0"/>
      <w:marRight w:val="0"/>
      <w:marTop w:val="0"/>
      <w:marBottom w:val="0"/>
      <w:divBdr>
        <w:top w:val="none" w:sz="0" w:space="0" w:color="auto"/>
        <w:left w:val="none" w:sz="0" w:space="0" w:color="auto"/>
        <w:bottom w:val="none" w:sz="0" w:space="0" w:color="auto"/>
        <w:right w:val="none" w:sz="0" w:space="0" w:color="auto"/>
      </w:divBdr>
      <w:divsChild>
        <w:div w:id="1021316391">
          <w:marLeft w:val="360"/>
          <w:marRight w:val="0"/>
          <w:marTop w:val="200"/>
          <w:marBottom w:val="0"/>
          <w:divBdr>
            <w:top w:val="none" w:sz="0" w:space="0" w:color="auto"/>
            <w:left w:val="none" w:sz="0" w:space="0" w:color="auto"/>
            <w:bottom w:val="none" w:sz="0" w:space="0" w:color="auto"/>
            <w:right w:val="none" w:sz="0" w:space="0" w:color="auto"/>
          </w:divBdr>
        </w:div>
        <w:div w:id="1965312566">
          <w:marLeft w:val="360"/>
          <w:marRight w:val="0"/>
          <w:marTop w:val="200"/>
          <w:marBottom w:val="0"/>
          <w:divBdr>
            <w:top w:val="none" w:sz="0" w:space="0" w:color="auto"/>
            <w:left w:val="none" w:sz="0" w:space="0" w:color="auto"/>
            <w:bottom w:val="none" w:sz="0" w:space="0" w:color="auto"/>
            <w:right w:val="none" w:sz="0" w:space="0" w:color="auto"/>
          </w:divBdr>
        </w:div>
        <w:div w:id="1761635973">
          <w:marLeft w:val="360"/>
          <w:marRight w:val="0"/>
          <w:marTop w:val="200"/>
          <w:marBottom w:val="0"/>
          <w:divBdr>
            <w:top w:val="none" w:sz="0" w:space="0" w:color="auto"/>
            <w:left w:val="none" w:sz="0" w:space="0" w:color="auto"/>
            <w:bottom w:val="none" w:sz="0" w:space="0" w:color="auto"/>
            <w:right w:val="none" w:sz="0" w:space="0" w:color="auto"/>
          </w:divBdr>
        </w:div>
        <w:div w:id="775372665">
          <w:marLeft w:val="1080"/>
          <w:marRight w:val="0"/>
          <w:marTop w:val="100"/>
          <w:marBottom w:val="0"/>
          <w:divBdr>
            <w:top w:val="none" w:sz="0" w:space="0" w:color="auto"/>
            <w:left w:val="none" w:sz="0" w:space="0" w:color="auto"/>
            <w:bottom w:val="none" w:sz="0" w:space="0" w:color="auto"/>
            <w:right w:val="none" w:sz="0" w:space="0" w:color="auto"/>
          </w:divBdr>
        </w:div>
        <w:div w:id="214588276">
          <w:marLeft w:val="1080"/>
          <w:marRight w:val="0"/>
          <w:marTop w:val="100"/>
          <w:marBottom w:val="0"/>
          <w:divBdr>
            <w:top w:val="none" w:sz="0" w:space="0" w:color="auto"/>
            <w:left w:val="none" w:sz="0" w:space="0" w:color="auto"/>
            <w:bottom w:val="none" w:sz="0" w:space="0" w:color="auto"/>
            <w:right w:val="none" w:sz="0" w:space="0" w:color="auto"/>
          </w:divBdr>
        </w:div>
        <w:div w:id="1304386629">
          <w:marLeft w:val="1080"/>
          <w:marRight w:val="0"/>
          <w:marTop w:val="100"/>
          <w:marBottom w:val="0"/>
          <w:divBdr>
            <w:top w:val="none" w:sz="0" w:space="0" w:color="auto"/>
            <w:left w:val="none" w:sz="0" w:space="0" w:color="auto"/>
            <w:bottom w:val="none" w:sz="0" w:space="0" w:color="auto"/>
            <w:right w:val="none" w:sz="0" w:space="0" w:color="auto"/>
          </w:divBdr>
        </w:div>
        <w:div w:id="856502370">
          <w:marLeft w:val="1080"/>
          <w:marRight w:val="0"/>
          <w:marTop w:val="100"/>
          <w:marBottom w:val="0"/>
          <w:divBdr>
            <w:top w:val="none" w:sz="0" w:space="0" w:color="auto"/>
            <w:left w:val="none" w:sz="0" w:space="0" w:color="auto"/>
            <w:bottom w:val="none" w:sz="0" w:space="0" w:color="auto"/>
            <w:right w:val="none" w:sz="0" w:space="0" w:color="auto"/>
          </w:divBdr>
        </w:div>
        <w:div w:id="1915704538">
          <w:marLeft w:val="1080"/>
          <w:marRight w:val="0"/>
          <w:marTop w:val="100"/>
          <w:marBottom w:val="0"/>
          <w:divBdr>
            <w:top w:val="none" w:sz="0" w:space="0" w:color="auto"/>
            <w:left w:val="none" w:sz="0" w:space="0" w:color="auto"/>
            <w:bottom w:val="none" w:sz="0" w:space="0" w:color="auto"/>
            <w:right w:val="none" w:sz="0" w:space="0" w:color="auto"/>
          </w:divBdr>
        </w:div>
        <w:div w:id="1892618792">
          <w:marLeft w:val="1080"/>
          <w:marRight w:val="0"/>
          <w:marTop w:val="100"/>
          <w:marBottom w:val="0"/>
          <w:divBdr>
            <w:top w:val="none" w:sz="0" w:space="0" w:color="auto"/>
            <w:left w:val="none" w:sz="0" w:space="0" w:color="auto"/>
            <w:bottom w:val="none" w:sz="0" w:space="0" w:color="auto"/>
            <w:right w:val="none" w:sz="0" w:space="0" w:color="auto"/>
          </w:divBdr>
        </w:div>
      </w:divsChild>
    </w:div>
    <w:div w:id="123819847">
      <w:bodyDiv w:val="1"/>
      <w:marLeft w:val="0"/>
      <w:marRight w:val="0"/>
      <w:marTop w:val="0"/>
      <w:marBottom w:val="0"/>
      <w:divBdr>
        <w:top w:val="none" w:sz="0" w:space="0" w:color="auto"/>
        <w:left w:val="none" w:sz="0" w:space="0" w:color="auto"/>
        <w:bottom w:val="none" w:sz="0" w:space="0" w:color="auto"/>
        <w:right w:val="none" w:sz="0" w:space="0" w:color="auto"/>
      </w:divBdr>
    </w:div>
    <w:div w:id="145555561">
      <w:bodyDiv w:val="1"/>
      <w:marLeft w:val="0"/>
      <w:marRight w:val="0"/>
      <w:marTop w:val="0"/>
      <w:marBottom w:val="0"/>
      <w:divBdr>
        <w:top w:val="none" w:sz="0" w:space="0" w:color="auto"/>
        <w:left w:val="none" w:sz="0" w:space="0" w:color="auto"/>
        <w:bottom w:val="none" w:sz="0" w:space="0" w:color="auto"/>
        <w:right w:val="none" w:sz="0" w:space="0" w:color="auto"/>
      </w:divBdr>
    </w:div>
    <w:div w:id="153231714">
      <w:bodyDiv w:val="1"/>
      <w:marLeft w:val="0"/>
      <w:marRight w:val="0"/>
      <w:marTop w:val="0"/>
      <w:marBottom w:val="0"/>
      <w:divBdr>
        <w:top w:val="none" w:sz="0" w:space="0" w:color="auto"/>
        <w:left w:val="none" w:sz="0" w:space="0" w:color="auto"/>
        <w:bottom w:val="none" w:sz="0" w:space="0" w:color="auto"/>
        <w:right w:val="none" w:sz="0" w:space="0" w:color="auto"/>
      </w:divBdr>
    </w:div>
    <w:div w:id="220605749">
      <w:bodyDiv w:val="1"/>
      <w:marLeft w:val="0"/>
      <w:marRight w:val="0"/>
      <w:marTop w:val="0"/>
      <w:marBottom w:val="0"/>
      <w:divBdr>
        <w:top w:val="none" w:sz="0" w:space="0" w:color="auto"/>
        <w:left w:val="none" w:sz="0" w:space="0" w:color="auto"/>
        <w:bottom w:val="none" w:sz="0" w:space="0" w:color="auto"/>
        <w:right w:val="none" w:sz="0" w:space="0" w:color="auto"/>
      </w:divBdr>
    </w:div>
    <w:div w:id="383409895">
      <w:bodyDiv w:val="1"/>
      <w:marLeft w:val="0"/>
      <w:marRight w:val="0"/>
      <w:marTop w:val="0"/>
      <w:marBottom w:val="0"/>
      <w:divBdr>
        <w:top w:val="none" w:sz="0" w:space="0" w:color="auto"/>
        <w:left w:val="none" w:sz="0" w:space="0" w:color="auto"/>
        <w:bottom w:val="none" w:sz="0" w:space="0" w:color="auto"/>
        <w:right w:val="none" w:sz="0" w:space="0" w:color="auto"/>
      </w:divBdr>
    </w:div>
    <w:div w:id="495147805">
      <w:bodyDiv w:val="1"/>
      <w:marLeft w:val="0"/>
      <w:marRight w:val="0"/>
      <w:marTop w:val="0"/>
      <w:marBottom w:val="0"/>
      <w:divBdr>
        <w:top w:val="none" w:sz="0" w:space="0" w:color="auto"/>
        <w:left w:val="none" w:sz="0" w:space="0" w:color="auto"/>
        <w:bottom w:val="none" w:sz="0" w:space="0" w:color="auto"/>
        <w:right w:val="none" w:sz="0" w:space="0" w:color="auto"/>
      </w:divBdr>
    </w:div>
    <w:div w:id="871039991">
      <w:bodyDiv w:val="1"/>
      <w:marLeft w:val="0"/>
      <w:marRight w:val="0"/>
      <w:marTop w:val="0"/>
      <w:marBottom w:val="0"/>
      <w:divBdr>
        <w:top w:val="none" w:sz="0" w:space="0" w:color="auto"/>
        <w:left w:val="none" w:sz="0" w:space="0" w:color="auto"/>
        <w:bottom w:val="none" w:sz="0" w:space="0" w:color="auto"/>
        <w:right w:val="none" w:sz="0" w:space="0" w:color="auto"/>
      </w:divBdr>
    </w:div>
    <w:div w:id="931206920">
      <w:bodyDiv w:val="1"/>
      <w:marLeft w:val="0"/>
      <w:marRight w:val="0"/>
      <w:marTop w:val="0"/>
      <w:marBottom w:val="0"/>
      <w:divBdr>
        <w:top w:val="none" w:sz="0" w:space="0" w:color="auto"/>
        <w:left w:val="none" w:sz="0" w:space="0" w:color="auto"/>
        <w:bottom w:val="none" w:sz="0" w:space="0" w:color="auto"/>
        <w:right w:val="none" w:sz="0" w:space="0" w:color="auto"/>
      </w:divBdr>
    </w:div>
    <w:div w:id="979725042">
      <w:bodyDiv w:val="1"/>
      <w:marLeft w:val="0"/>
      <w:marRight w:val="0"/>
      <w:marTop w:val="0"/>
      <w:marBottom w:val="0"/>
      <w:divBdr>
        <w:top w:val="none" w:sz="0" w:space="0" w:color="auto"/>
        <w:left w:val="none" w:sz="0" w:space="0" w:color="auto"/>
        <w:bottom w:val="none" w:sz="0" w:space="0" w:color="auto"/>
        <w:right w:val="none" w:sz="0" w:space="0" w:color="auto"/>
      </w:divBdr>
    </w:div>
    <w:div w:id="1122381727">
      <w:bodyDiv w:val="1"/>
      <w:marLeft w:val="0"/>
      <w:marRight w:val="0"/>
      <w:marTop w:val="0"/>
      <w:marBottom w:val="0"/>
      <w:divBdr>
        <w:top w:val="none" w:sz="0" w:space="0" w:color="auto"/>
        <w:left w:val="none" w:sz="0" w:space="0" w:color="auto"/>
        <w:bottom w:val="none" w:sz="0" w:space="0" w:color="auto"/>
        <w:right w:val="none" w:sz="0" w:space="0" w:color="auto"/>
      </w:divBdr>
    </w:div>
    <w:div w:id="1209609473">
      <w:bodyDiv w:val="1"/>
      <w:marLeft w:val="0"/>
      <w:marRight w:val="0"/>
      <w:marTop w:val="0"/>
      <w:marBottom w:val="0"/>
      <w:divBdr>
        <w:top w:val="none" w:sz="0" w:space="0" w:color="auto"/>
        <w:left w:val="none" w:sz="0" w:space="0" w:color="auto"/>
        <w:bottom w:val="none" w:sz="0" w:space="0" w:color="auto"/>
        <w:right w:val="none" w:sz="0" w:space="0" w:color="auto"/>
      </w:divBdr>
    </w:div>
    <w:div w:id="1221553875">
      <w:bodyDiv w:val="1"/>
      <w:marLeft w:val="0"/>
      <w:marRight w:val="0"/>
      <w:marTop w:val="0"/>
      <w:marBottom w:val="0"/>
      <w:divBdr>
        <w:top w:val="none" w:sz="0" w:space="0" w:color="auto"/>
        <w:left w:val="none" w:sz="0" w:space="0" w:color="auto"/>
        <w:bottom w:val="none" w:sz="0" w:space="0" w:color="auto"/>
        <w:right w:val="none" w:sz="0" w:space="0" w:color="auto"/>
      </w:divBdr>
    </w:div>
    <w:div w:id="1663268166">
      <w:bodyDiv w:val="1"/>
      <w:marLeft w:val="0"/>
      <w:marRight w:val="0"/>
      <w:marTop w:val="0"/>
      <w:marBottom w:val="0"/>
      <w:divBdr>
        <w:top w:val="none" w:sz="0" w:space="0" w:color="auto"/>
        <w:left w:val="none" w:sz="0" w:space="0" w:color="auto"/>
        <w:bottom w:val="none" w:sz="0" w:space="0" w:color="auto"/>
        <w:right w:val="none" w:sz="0" w:space="0" w:color="auto"/>
      </w:divBdr>
    </w:div>
    <w:div w:id="1676960329">
      <w:bodyDiv w:val="1"/>
      <w:marLeft w:val="0"/>
      <w:marRight w:val="0"/>
      <w:marTop w:val="0"/>
      <w:marBottom w:val="0"/>
      <w:divBdr>
        <w:top w:val="none" w:sz="0" w:space="0" w:color="auto"/>
        <w:left w:val="none" w:sz="0" w:space="0" w:color="auto"/>
        <w:bottom w:val="none" w:sz="0" w:space="0" w:color="auto"/>
        <w:right w:val="none" w:sz="0" w:space="0" w:color="auto"/>
      </w:divBdr>
    </w:div>
    <w:div w:id="1696614105">
      <w:bodyDiv w:val="1"/>
      <w:marLeft w:val="0"/>
      <w:marRight w:val="0"/>
      <w:marTop w:val="0"/>
      <w:marBottom w:val="0"/>
      <w:divBdr>
        <w:top w:val="none" w:sz="0" w:space="0" w:color="auto"/>
        <w:left w:val="none" w:sz="0" w:space="0" w:color="auto"/>
        <w:bottom w:val="none" w:sz="0" w:space="0" w:color="auto"/>
        <w:right w:val="none" w:sz="0" w:space="0" w:color="auto"/>
      </w:divBdr>
    </w:div>
    <w:div w:id="1829857412">
      <w:bodyDiv w:val="1"/>
      <w:marLeft w:val="0"/>
      <w:marRight w:val="0"/>
      <w:marTop w:val="0"/>
      <w:marBottom w:val="0"/>
      <w:divBdr>
        <w:top w:val="none" w:sz="0" w:space="0" w:color="auto"/>
        <w:left w:val="none" w:sz="0" w:space="0" w:color="auto"/>
        <w:bottom w:val="none" w:sz="0" w:space="0" w:color="auto"/>
        <w:right w:val="none" w:sz="0" w:space="0" w:color="auto"/>
      </w:divBdr>
    </w:div>
    <w:div w:id="1936548469">
      <w:bodyDiv w:val="1"/>
      <w:marLeft w:val="0"/>
      <w:marRight w:val="0"/>
      <w:marTop w:val="0"/>
      <w:marBottom w:val="0"/>
      <w:divBdr>
        <w:top w:val="none" w:sz="0" w:space="0" w:color="auto"/>
        <w:left w:val="none" w:sz="0" w:space="0" w:color="auto"/>
        <w:bottom w:val="none" w:sz="0" w:space="0" w:color="auto"/>
        <w:right w:val="none" w:sz="0" w:space="0" w:color="auto"/>
      </w:divBdr>
    </w:div>
    <w:div w:id="196237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_rels/footnotes.xml.rels><?xml version="1.0" encoding="UTF-8" standalone="yes"?>
<Relationships xmlns="http://schemas.openxmlformats.org/package/2006/relationships"><Relationship Id="rId8" Type="http://schemas.openxmlformats.org/officeDocument/2006/relationships/hyperlink" Target="https://dictionary.cambridge.org/dictionary/english/expression" TargetMode="External"/><Relationship Id="rId3" Type="http://schemas.openxmlformats.org/officeDocument/2006/relationships/hyperlink" Target="https://dictionary.cambridge.org/dictionary/english/desire" TargetMode="External"/><Relationship Id="rId7" Type="http://schemas.openxmlformats.org/officeDocument/2006/relationships/hyperlink" Target="https://dictionary.cambridge.org/dictionary/english/possibly" TargetMode="External"/><Relationship Id="rId2" Type="http://schemas.openxmlformats.org/officeDocument/2006/relationships/hyperlink" Target="https://www.mhwc.govt.nz/our-work/outcomes-framework/co-define-phase/" TargetMode="External"/><Relationship Id="rId1" Type="http://schemas.openxmlformats.org/officeDocument/2006/relationships/hyperlink" Target="https://mentalhealth.inquiry.govt.nz/inquiry-report/he-ara-oranga/" TargetMode="External"/><Relationship Id="rId6" Type="http://schemas.openxmlformats.org/officeDocument/2006/relationships/hyperlink" Target="https://dictionary.cambridge.org/dictionary/english/achieve" TargetMode="External"/><Relationship Id="rId11" Type="http://schemas.openxmlformats.org/officeDocument/2006/relationships/hyperlink" Target="https://dictionary.cambridge.org/dictionary/english/motivation" TargetMode="External"/><Relationship Id="rId5" Type="http://schemas.openxmlformats.org/officeDocument/2006/relationships/hyperlink" Target="https://dictionary.cambridge.org/dictionary/english/ability" TargetMode="External"/><Relationship Id="rId10" Type="http://schemas.openxmlformats.org/officeDocument/2006/relationships/hyperlink" Target="https://dictionary.cambridge.org/dictionary/english/human" TargetMode="External"/><Relationship Id="rId4" Type="http://schemas.openxmlformats.org/officeDocument/2006/relationships/hyperlink" Target="https://dictionary.cambridge.org/dictionary/english/their" TargetMode="External"/><Relationship Id="rId9" Type="http://schemas.openxmlformats.org/officeDocument/2006/relationships/hyperlink" Target="https://dictionary.cambridge.org/dictionary/english/the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mohgovtnz-my.sharepoint.com/personal/louise_fawthorpe_health_govt_nz/Documents/Documents/Louise/Analysis%20of%20responses/Analysis%20OF%20consult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mohgovtnz-my.sharepoint.com/personal/louise_fawthorpe_health_govt_nz/Documents/Documents/Louise/Analysis%20of%20responses/Analysis%20OF%20consulta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mohgovtnz-my.sharepoint.com/personal/louise_fawthorpe_health_govt_nz/Documents/Documents/Louise/Analysis%20of%20responses/Analysis%20OF%20consulta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mohgovtnz-my.sharepoint.com/personal/louise_fawthorpe_health_govt_nz/Documents/Documents/Louise/Analysis%20of%20responses/Analysis%20OF%20consultatio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mohgovtnz-my.sharepoint.com/personal/louise_fawthorpe_health_govt_nz/Documents/Documents/Louise/Analysis%20of%20responses/Analysis%20OF%20consultation.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[Analysis OF consultation.xlsx]PivotCharts!PivotTable2</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PivotCharts!$B$4</c:f>
              <c:strCache>
                <c:ptCount val="1"/>
                <c:pt idx="0">
                  <c:v>Total</c:v>
                </c:pt>
              </c:strCache>
            </c:strRef>
          </c:tx>
          <c:spPr>
            <a:solidFill>
              <a:schemeClr val="accent1"/>
            </a:solidFill>
            <a:ln>
              <a:noFill/>
            </a:ln>
            <a:effectLst/>
          </c:spPr>
          <c:invertIfNegative val="0"/>
          <c:dPt>
            <c:idx val="0"/>
            <c:invertIfNegative val="0"/>
            <c:bubble3D val="0"/>
            <c:spPr>
              <a:solidFill>
                <a:srgbClr val="961E82"/>
              </a:solidFill>
              <a:ln>
                <a:noFill/>
              </a:ln>
              <a:effectLst/>
            </c:spPr>
            <c:extLst>
              <c:ext xmlns:c16="http://schemas.microsoft.com/office/drawing/2014/chart" uri="{C3380CC4-5D6E-409C-BE32-E72D297353CC}">
                <c16:uniqueId val="{00000000-60C4-4F3E-A652-D32A23F3CF56}"/>
              </c:ext>
            </c:extLst>
          </c:dPt>
          <c:dPt>
            <c:idx val="1"/>
            <c:invertIfNegative val="0"/>
            <c:bubble3D val="0"/>
            <c:spPr>
              <a:solidFill>
                <a:srgbClr val="961E82"/>
              </a:solidFill>
              <a:ln>
                <a:noFill/>
              </a:ln>
              <a:effectLst/>
            </c:spPr>
            <c:extLst>
              <c:ext xmlns:c16="http://schemas.microsoft.com/office/drawing/2014/chart" uri="{C3380CC4-5D6E-409C-BE32-E72D297353CC}">
                <c16:uniqueId val="{00000001-60C4-4F3E-A652-D32A23F3CF56}"/>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PivotCharts!$A$5:$A$7</c:f>
              <c:strCache>
                <c:ptCount val="2"/>
                <c:pt idx="0">
                  <c:v>Yes</c:v>
                </c:pt>
                <c:pt idx="1">
                  <c:v>No</c:v>
                </c:pt>
              </c:strCache>
            </c:strRef>
          </c:cat>
          <c:val>
            <c:numRef>
              <c:f>PivotCharts!$B$5:$B$7</c:f>
              <c:numCache>
                <c:formatCode>0%</c:formatCode>
                <c:ptCount val="2"/>
                <c:pt idx="0">
                  <c:v>0.86746987951807231</c:v>
                </c:pt>
                <c:pt idx="1">
                  <c:v>0.13253012048192772</c:v>
                </c:pt>
              </c:numCache>
            </c:numRef>
          </c:val>
          <c:extLst>
            <c:ext xmlns:c16="http://schemas.microsoft.com/office/drawing/2014/chart" uri="{C3380CC4-5D6E-409C-BE32-E72D297353CC}">
              <c16:uniqueId val="{00000000-0F68-4938-8D80-E4C08C5A6468}"/>
            </c:ext>
          </c:extLst>
        </c:ser>
        <c:dLbls>
          <c:showLegendKey val="0"/>
          <c:showVal val="0"/>
          <c:showCatName val="0"/>
          <c:showSerName val="0"/>
          <c:showPercent val="0"/>
          <c:showBubbleSize val="0"/>
        </c:dLbls>
        <c:gapWidth val="219"/>
        <c:overlap val="-27"/>
        <c:axId val="364605400"/>
        <c:axId val="364601136"/>
      </c:barChart>
      <c:catAx>
        <c:axId val="364605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64601136"/>
        <c:crosses val="autoZero"/>
        <c:auto val="1"/>
        <c:lblAlgn val="ctr"/>
        <c:lblOffset val="100"/>
        <c:noMultiLvlLbl val="0"/>
      </c:catAx>
      <c:valAx>
        <c:axId val="36460113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64605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111111111111109E-2"/>
          <c:y val="0.16897220908486965"/>
          <c:w val="0.93888888888888888"/>
          <c:h val="0.71462094162835021"/>
        </c:manualLayout>
      </c:layout>
      <c:barChart>
        <c:barDir val="col"/>
        <c:grouping val="clustered"/>
        <c:varyColors val="0"/>
        <c:ser>
          <c:idx val="0"/>
          <c:order val="0"/>
          <c:spPr>
            <a:solidFill>
              <a:srgbClr val="961E8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PivotCharts!$G$19:$G$23</c:f>
              <c:strCache>
                <c:ptCount val="5"/>
                <c:pt idx="0">
                  <c:v>Not at all</c:v>
                </c:pt>
                <c:pt idx="1">
                  <c:v>A little bit</c:v>
                </c:pt>
                <c:pt idx="2">
                  <c:v>Somewhat</c:v>
                </c:pt>
                <c:pt idx="3">
                  <c:v>Mostly</c:v>
                </c:pt>
                <c:pt idx="4">
                  <c:v>Completely</c:v>
                </c:pt>
              </c:strCache>
            </c:strRef>
          </c:cat>
          <c:val>
            <c:numRef>
              <c:f>PivotCharts!$H$19:$H$23</c:f>
              <c:numCache>
                <c:formatCode>0%</c:formatCode>
                <c:ptCount val="5"/>
                <c:pt idx="0">
                  <c:v>0</c:v>
                </c:pt>
                <c:pt idx="1">
                  <c:v>0</c:v>
                </c:pt>
                <c:pt idx="2">
                  <c:v>0.12048192771084337</c:v>
                </c:pt>
                <c:pt idx="3">
                  <c:v>0.50602409638554213</c:v>
                </c:pt>
                <c:pt idx="4">
                  <c:v>0.37349397590361444</c:v>
                </c:pt>
              </c:numCache>
            </c:numRef>
          </c:val>
          <c:extLst>
            <c:ext xmlns:c16="http://schemas.microsoft.com/office/drawing/2014/chart" uri="{C3380CC4-5D6E-409C-BE32-E72D297353CC}">
              <c16:uniqueId val="{00000000-B7C6-474A-B9FC-FD936D6B837F}"/>
            </c:ext>
          </c:extLst>
        </c:ser>
        <c:dLbls>
          <c:showLegendKey val="0"/>
          <c:showVal val="0"/>
          <c:showCatName val="0"/>
          <c:showSerName val="0"/>
          <c:showPercent val="0"/>
          <c:showBubbleSize val="0"/>
        </c:dLbls>
        <c:gapWidth val="219"/>
        <c:overlap val="-27"/>
        <c:axId val="678498368"/>
        <c:axId val="678499024"/>
      </c:barChart>
      <c:catAx>
        <c:axId val="678498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78499024"/>
        <c:crosses val="autoZero"/>
        <c:auto val="1"/>
        <c:lblAlgn val="ctr"/>
        <c:lblOffset val="100"/>
        <c:noMultiLvlLbl val="0"/>
      </c:catAx>
      <c:valAx>
        <c:axId val="67849902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78498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[Analysis OF consultation.xlsx]PivotCharts!PivotTable5</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varyColors val="0"/>
        <c:ser>
          <c:idx val="0"/>
          <c:order val="0"/>
          <c:tx>
            <c:strRef>
              <c:f>PivotCharts!$B$79</c:f>
              <c:strCache>
                <c:ptCount val="1"/>
                <c:pt idx="0">
                  <c:v>Total</c:v>
                </c:pt>
              </c:strCache>
            </c:strRef>
          </c:tx>
          <c:spPr>
            <a:solidFill>
              <a:srgbClr val="961E8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PivotCharts!$A$80:$A$85</c:f>
              <c:strCache>
                <c:ptCount val="5"/>
                <c:pt idx="0">
                  <c:v>Not at all</c:v>
                </c:pt>
                <c:pt idx="1">
                  <c:v>Slightly</c:v>
                </c:pt>
                <c:pt idx="2">
                  <c:v>Moderately</c:v>
                </c:pt>
                <c:pt idx="3">
                  <c:v>Mostly</c:v>
                </c:pt>
                <c:pt idx="4">
                  <c:v>Completely</c:v>
                </c:pt>
              </c:strCache>
            </c:strRef>
          </c:cat>
          <c:val>
            <c:numRef>
              <c:f>PivotCharts!$B$80:$B$85</c:f>
              <c:numCache>
                <c:formatCode>0%</c:formatCode>
                <c:ptCount val="5"/>
                <c:pt idx="0">
                  <c:v>1.1904761904761904E-2</c:v>
                </c:pt>
                <c:pt idx="1">
                  <c:v>2.3809523809523808E-2</c:v>
                </c:pt>
                <c:pt idx="2">
                  <c:v>0.10714285714285714</c:v>
                </c:pt>
                <c:pt idx="3">
                  <c:v>0.47619047619047616</c:v>
                </c:pt>
                <c:pt idx="4">
                  <c:v>0.38095238095238093</c:v>
                </c:pt>
              </c:numCache>
            </c:numRef>
          </c:val>
          <c:extLst>
            <c:ext xmlns:c16="http://schemas.microsoft.com/office/drawing/2014/chart" uri="{C3380CC4-5D6E-409C-BE32-E72D297353CC}">
              <c16:uniqueId val="{00000000-2EE6-45AA-A3B3-5C0841DC3846}"/>
            </c:ext>
          </c:extLst>
        </c:ser>
        <c:dLbls>
          <c:showLegendKey val="0"/>
          <c:showVal val="0"/>
          <c:showCatName val="0"/>
          <c:showSerName val="0"/>
          <c:showPercent val="0"/>
          <c:showBubbleSize val="0"/>
        </c:dLbls>
        <c:gapWidth val="219"/>
        <c:overlap val="-27"/>
        <c:axId val="439635416"/>
        <c:axId val="439634760"/>
      </c:barChart>
      <c:catAx>
        <c:axId val="439635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39634760"/>
        <c:crosses val="autoZero"/>
        <c:auto val="1"/>
        <c:lblAlgn val="ctr"/>
        <c:lblOffset val="100"/>
        <c:noMultiLvlLbl val="0"/>
      </c:catAx>
      <c:valAx>
        <c:axId val="43963476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39635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[Analysis OF consultation.xlsx]PivotCharts!PivotTable3</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PivotCharts!$B$35</c:f>
              <c:strCache>
                <c:ptCount val="1"/>
                <c:pt idx="0">
                  <c:v>Total</c:v>
                </c:pt>
              </c:strCache>
            </c:strRef>
          </c:tx>
          <c:spPr>
            <a:solidFill>
              <a:srgbClr val="961E8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PivotCharts!$A$36:$A$38</c:f>
              <c:strCache>
                <c:ptCount val="2"/>
                <c:pt idx="0">
                  <c:v>Yes - I think it is a suitable aspirational vision</c:v>
                </c:pt>
                <c:pt idx="1">
                  <c:v>No - I think it needs some revisions</c:v>
                </c:pt>
              </c:strCache>
            </c:strRef>
          </c:cat>
          <c:val>
            <c:numRef>
              <c:f>PivotCharts!$B$36:$B$38</c:f>
              <c:numCache>
                <c:formatCode>0%</c:formatCode>
                <c:ptCount val="2"/>
                <c:pt idx="0">
                  <c:v>0.85882352941176465</c:v>
                </c:pt>
                <c:pt idx="1">
                  <c:v>0.14117647058823529</c:v>
                </c:pt>
              </c:numCache>
            </c:numRef>
          </c:val>
          <c:extLst>
            <c:ext xmlns:c16="http://schemas.microsoft.com/office/drawing/2014/chart" uri="{C3380CC4-5D6E-409C-BE32-E72D297353CC}">
              <c16:uniqueId val="{00000000-E17F-4E29-965E-3A30E0C08C7E}"/>
            </c:ext>
          </c:extLst>
        </c:ser>
        <c:dLbls>
          <c:showLegendKey val="0"/>
          <c:showVal val="0"/>
          <c:showCatName val="0"/>
          <c:showSerName val="0"/>
          <c:showPercent val="0"/>
          <c:showBubbleSize val="0"/>
        </c:dLbls>
        <c:gapWidth val="219"/>
        <c:overlap val="-27"/>
        <c:axId val="718712440"/>
        <c:axId val="718702928"/>
      </c:barChart>
      <c:catAx>
        <c:axId val="718712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18702928"/>
        <c:crosses val="autoZero"/>
        <c:auto val="1"/>
        <c:lblAlgn val="ctr"/>
        <c:lblOffset val="100"/>
        <c:noMultiLvlLbl val="0"/>
      </c:catAx>
      <c:valAx>
        <c:axId val="71870292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718712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61E8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PivotCharts!$A$57:$A$61</c:f>
              <c:strCache>
                <c:ptCount val="5"/>
                <c:pt idx="0">
                  <c:v>Not at all</c:v>
                </c:pt>
                <c:pt idx="1">
                  <c:v>A little bit</c:v>
                </c:pt>
                <c:pt idx="2">
                  <c:v>Somewhat</c:v>
                </c:pt>
                <c:pt idx="3">
                  <c:v>Mostly</c:v>
                </c:pt>
                <c:pt idx="4">
                  <c:v>Completely</c:v>
                </c:pt>
              </c:strCache>
            </c:strRef>
          </c:cat>
          <c:val>
            <c:numRef>
              <c:f>PivotCharts!$B$57:$B$61</c:f>
              <c:numCache>
                <c:formatCode>0%</c:formatCode>
                <c:ptCount val="5"/>
                <c:pt idx="0">
                  <c:v>0</c:v>
                </c:pt>
                <c:pt idx="1">
                  <c:v>2.3255813953488372E-2</c:v>
                </c:pt>
                <c:pt idx="2">
                  <c:v>6.9767441860465115E-2</c:v>
                </c:pt>
                <c:pt idx="3">
                  <c:v>0.46</c:v>
                </c:pt>
                <c:pt idx="4">
                  <c:v>0.45</c:v>
                </c:pt>
              </c:numCache>
            </c:numRef>
          </c:val>
          <c:extLst>
            <c:ext xmlns:c16="http://schemas.microsoft.com/office/drawing/2014/chart" uri="{C3380CC4-5D6E-409C-BE32-E72D297353CC}">
              <c16:uniqueId val="{00000000-AC7D-4234-9458-7ABC5112A3DE}"/>
            </c:ext>
          </c:extLst>
        </c:ser>
        <c:dLbls>
          <c:showLegendKey val="0"/>
          <c:showVal val="0"/>
          <c:showCatName val="0"/>
          <c:showSerName val="0"/>
          <c:showPercent val="0"/>
          <c:showBubbleSize val="0"/>
        </c:dLbls>
        <c:gapWidth val="219"/>
        <c:overlap val="-27"/>
        <c:axId val="726223944"/>
        <c:axId val="726224272"/>
      </c:barChart>
      <c:catAx>
        <c:axId val="726223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26224272"/>
        <c:crosses val="autoZero"/>
        <c:auto val="1"/>
        <c:lblAlgn val="ctr"/>
        <c:lblOffset val="100"/>
        <c:noMultiLvlLbl val="0"/>
      </c:catAx>
      <c:valAx>
        <c:axId val="72622427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726223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e67e2b07f55ee3ef073ed301721244b7">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82aa3c98ac97ef9ac63f9353a6df2bd9"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0C0A-A0C9-4376-AC8F-9668CEBE56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CDE85F-F47D-4950-B08D-1B90ACB3302A}">
  <ds:schemaRefs>
    <ds:schemaRef ds:uri="http://schemas.microsoft.com/sharepoint/v3/contenttype/forms"/>
  </ds:schemaRefs>
</ds:datastoreItem>
</file>

<file path=customXml/itemProps3.xml><?xml version="1.0" encoding="utf-8"?>
<ds:datastoreItem xmlns:ds="http://schemas.openxmlformats.org/officeDocument/2006/customXml" ds:itemID="{68C3E06A-569D-459E-9855-A743D57A6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94429B-F22F-4B36-9BA5-6A334BDA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15940</Words>
  <Characters>90860</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2020-11-17T00:27:00Z</dcterms:created>
  <dcterms:modified xsi:type="dcterms:W3CDTF">2020-11-17T00:27:00Z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