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2530B" w14:textId="192BA055" w:rsidR="00F57862" w:rsidRPr="0009699E" w:rsidRDefault="00B34E97" w:rsidP="008E6A7C">
      <w:pPr>
        <w:spacing w:before="240"/>
        <w:rPr>
          <w:rFonts w:cs="Arial"/>
          <w:b/>
          <w:sz w:val="32"/>
          <w:szCs w:val="32"/>
          <w:lang w:val="en-NZ"/>
        </w:rPr>
      </w:pPr>
      <w:bookmarkStart w:id="0" w:name="_GoBack"/>
      <w:bookmarkEnd w:id="0"/>
      <w:r w:rsidRPr="0009699E">
        <w:rPr>
          <w:rFonts w:cs="Arial"/>
          <w:b/>
          <w:sz w:val="32"/>
          <w:szCs w:val="32"/>
          <w:lang w:val="en-NZ"/>
        </w:rPr>
        <w:t xml:space="preserve">He </w:t>
      </w:r>
      <w:r w:rsidR="007963ED" w:rsidRPr="0009699E">
        <w:rPr>
          <w:rFonts w:cs="Arial"/>
          <w:b/>
          <w:sz w:val="32"/>
          <w:szCs w:val="32"/>
          <w:lang w:val="en-NZ"/>
        </w:rPr>
        <w:t>A</w:t>
      </w:r>
      <w:r w:rsidRPr="0009699E">
        <w:rPr>
          <w:rFonts w:cs="Arial"/>
          <w:b/>
          <w:sz w:val="32"/>
          <w:szCs w:val="32"/>
          <w:lang w:val="en-NZ"/>
        </w:rPr>
        <w:t xml:space="preserve">ra </w:t>
      </w:r>
      <w:r w:rsidR="00EC1D94" w:rsidRPr="0009699E">
        <w:rPr>
          <w:rFonts w:cs="Arial"/>
          <w:b/>
          <w:sz w:val="32"/>
          <w:szCs w:val="32"/>
          <w:lang w:val="en-NZ"/>
        </w:rPr>
        <w:t>Ā</w:t>
      </w:r>
      <w:r w:rsidRPr="0009699E">
        <w:rPr>
          <w:rFonts w:cs="Arial"/>
          <w:b/>
          <w:sz w:val="32"/>
          <w:szCs w:val="32"/>
          <w:lang w:val="en-NZ"/>
        </w:rPr>
        <w:t>whina</w:t>
      </w:r>
      <w:r w:rsidR="004514EE" w:rsidRPr="0009699E">
        <w:rPr>
          <w:rFonts w:cs="Arial"/>
          <w:b/>
          <w:sz w:val="32"/>
          <w:szCs w:val="32"/>
          <w:lang w:val="en-NZ"/>
        </w:rPr>
        <w:t xml:space="preserve"> Monitoring</w:t>
      </w:r>
      <w:r w:rsidR="00DF1B21" w:rsidRPr="0009699E">
        <w:rPr>
          <w:rFonts w:cs="Arial"/>
          <w:b/>
          <w:sz w:val="32"/>
          <w:szCs w:val="32"/>
          <w:lang w:val="en-NZ"/>
        </w:rPr>
        <w:t xml:space="preserve"> Framework</w:t>
      </w:r>
      <w:r w:rsidR="00E6686E" w:rsidRPr="0009699E">
        <w:rPr>
          <w:rFonts w:cs="Arial"/>
          <w:b/>
          <w:sz w:val="32"/>
          <w:szCs w:val="32"/>
          <w:lang w:val="en-NZ"/>
        </w:rPr>
        <w:t xml:space="preserve"> Discussion Paper</w:t>
      </w:r>
    </w:p>
    <w:p w14:paraId="1CF6E5BA" w14:textId="7C89DC88" w:rsidR="00FD5060" w:rsidRPr="0009699E" w:rsidRDefault="00A21603" w:rsidP="008E6A7C">
      <w:pPr>
        <w:jc w:val="center"/>
        <w:rPr>
          <w:rFonts w:cs="Arial"/>
          <w:b/>
          <w:lang w:val="en-NZ"/>
        </w:rPr>
      </w:pPr>
      <w:r w:rsidRPr="0009699E">
        <w:rPr>
          <w:rFonts w:cs="Arial"/>
          <w:b/>
          <w:lang w:val="en-NZ"/>
        </w:rPr>
        <w:t>Co-defining</w:t>
      </w:r>
      <w:r w:rsidR="006C331C" w:rsidRPr="0009699E">
        <w:rPr>
          <w:rFonts w:cs="Arial"/>
          <w:b/>
          <w:lang w:val="en-NZ"/>
        </w:rPr>
        <w:t xml:space="preserve"> </w:t>
      </w:r>
      <w:r w:rsidR="00733099" w:rsidRPr="0009699E">
        <w:rPr>
          <w:rFonts w:cs="Arial"/>
          <w:b/>
          <w:lang w:val="en-NZ"/>
        </w:rPr>
        <w:t>framework expectations</w:t>
      </w:r>
      <w:r w:rsidR="00BC2793" w:rsidRPr="0009699E">
        <w:rPr>
          <w:rFonts w:cs="Arial"/>
          <w:b/>
          <w:lang w:val="en-NZ"/>
        </w:rPr>
        <w:t xml:space="preserve"> and approach</w:t>
      </w:r>
    </w:p>
    <w:p w14:paraId="680B9A4C" w14:textId="77777777" w:rsidR="00075406" w:rsidRPr="0009699E" w:rsidRDefault="00075406" w:rsidP="008E6A7C">
      <w:pPr>
        <w:jc w:val="center"/>
        <w:rPr>
          <w:rFonts w:cs="Arial"/>
          <w:b/>
          <w:lang w:val="en-NZ"/>
        </w:rPr>
      </w:pPr>
    </w:p>
    <w:sdt>
      <w:sdtPr>
        <w:rPr>
          <w:rFonts w:ascii="Arial" w:eastAsiaTheme="minorHAnsi" w:hAnsi="Arial" w:cs="Arial"/>
          <w:color w:val="auto"/>
          <w:sz w:val="22"/>
          <w:szCs w:val="22"/>
        </w:rPr>
        <w:id w:val="1648242459"/>
        <w:docPartObj>
          <w:docPartGallery w:val="Table of Contents"/>
          <w:docPartUnique/>
        </w:docPartObj>
      </w:sdtPr>
      <w:sdtEndPr>
        <w:rPr>
          <w:b/>
          <w:bCs/>
          <w:noProof/>
        </w:rPr>
      </w:sdtEndPr>
      <w:sdtContent>
        <w:p w14:paraId="2C323C9A" w14:textId="6F267339" w:rsidR="001E11F5" w:rsidRPr="008874DE" w:rsidRDefault="001E11F5" w:rsidP="008E6A7C">
          <w:pPr>
            <w:pStyle w:val="TOCHeading"/>
            <w:rPr>
              <w:rFonts w:ascii="Arial" w:hAnsi="Arial" w:cs="Arial"/>
            </w:rPr>
          </w:pPr>
          <w:r w:rsidRPr="008874DE">
            <w:rPr>
              <w:rFonts w:ascii="Arial" w:hAnsi="Arial" w:cs="Arial"/>
            </w:rPr>
            <w:t>Contents</w:t>
          </w:r>
        </w:p>
        <w:p w14:paraId="451AE396" w14:textId="2AA27FAC" w:rsidR="00F959EB" w:rsidRDefault="001E11F5">
          <w:pPr>
            <w:pStyle w:val="TOC1"/>
            <w:tabs>
              <w:tab w:val="right" w:leader="dot" w:pos="9346"/>
            </w:tabs>
            <w:rPr>
              <w:rFonts w:asciiTheme="minorHAnsi" w:eastAsiaTheme="minorEastAsia" w:hAnsiTheme="minorHAnsi"/>
              <w:noProof/>
              <w:lang w:val="en-NZ" w:eastAsia="en-NZ"/>
            </w:rPr>
          </w:pPr>
          <w:r w:rsidRPr="0009699E">
            <w:rPr>
              <w:rFonts w:cs="Arial"/>
            </w:rPr>
            <w:fldChar w:fldCharType="begin"/>
          </w:r>
          <w:r w:rsidRPr="008874DE">
            <w:rPr>
              <w:rFonts w:cs="Arial"/>
            </w:rPr>
            <w:instrText xml:space="preserve"> TOC \o "1-3" \h \z \u </w:instrText>
          </w:r>
          <w:r w:rsidRPr="0009699E">
            <w:rPr>
              <w:rFonts w:cs="Arial"/>
            </w:rPr>
            <w:fldChar w:fldCharType="separate"/>
          </w:r>
          <w:hyperlink w:anchor="_Toc55818782" w:history="1">
            <w:r w:rsidR="00F959EB" w:rsidRPr="004C2008">
              <w:rPr>
                <w:rStyle w:val="Hyperlink"/>
                <w:noProof/>
              </w:rPr>
              <w:t>Seeking</w:t>
            </w:r>
            <w:r w:rsidR="00F959EB" w:rsidRPr="004C2008">
              <w:rPr>
                <w:rStyle w:val="Hyperlink"/>
                <w:noProof/>
                <w:lang w:val="en-NZ"/>
              </w:rPr>
              <w:t xml:space="preserve"> your views</w:t>
            </w:r>
            <w:r w:rsidR="00F959EB">
              <w:rPr>
                <w:noProof/>
                <w:webHidden/>
              </w:rPr>
              <w:tab/>
            </w:r>
            <w:r w:rsidR="00F959EB">
              <w:rPr>
                <w:noProof/>
                <w:webHidden/>
              </w:rPr>
              <w:fldChar w:fldCharType="begin"/>
            </w:r>
            <w:r w:rsidR="00F959EB">
              <w:rPr>
                <w:noProof/>
                <w:webHidden/>
              </w:rPr>
              <w:instrText xml:space="preserve"> PAGEREF _Toc55818782 \h </w:instrText>
            </w:r>
            <w:r w:rsidR="00F959EB">
              <w:rPr>
                <w:noProof/>
                <w:webHidden/>
              </w:rPr>
            </w:r>
            <w:r w:rsidR="00F959EB">
              <w:rPr>
                <w:noProof/>
                <w:webHidden/>
              </w:rPr>
              <w:fldChar w:fldCharType="separate"/>
            </w:r>
            <w:r w:rsidR="00F959EB">
              <w:rPr>
                <w:noProof/>
                <w:webHidden/>
              </w:rPr>
              <w:t>2</w:t>
            </w:r>
            <w:r w:rsidR="00F959EB">
              <w:rPr>
                <w:noProof/>
                <w:webHidden/>
              </w:rPr>
              <w:fldChar w:fldCharType="end"/>
            </w:r>
          </w:hyperlink>
        </w:p>
        <w:p w14:paraId="3399C843" w14:textId="593C72C1" w:rsidR="00F959EB" w:rsidRDefault="009B36EB">
          <w:pPr>
            <w:pStyle w:val="TOC2"/>
            <w:tabs>
              <w:tab w:val="right" w:leader="dot" w:pos="9346"/>
            </w:tabs>
            <w:rPr>
              <w:rFonts w:asciiTheme="minorHAnsi" w:eastAsiaTheme="minorEastAsia" w:hAnsiTheme="minorHAnsi"/>
              <w:noProof/>
              <w:lang w:val="en-NZ" w:eastAsia="en-NZ"/>
            </w:rPr>
          </w:pPr>
          <w:hyperlink r:id="rId11" w:anchor="_Toc55818783" w:history="1">
            <w:r w:rsidR="00F959EB" w:rsidRPr="004C2008">
              <w:rPr>
                <w:rStyle w:val="Hyperlink"/>
                <w:noProof/>
                <w:lang w:val="mi-NZ"/>
              </w:rPr>
              <w:t>Key terms used in this paper</w:t>
            </w:r>
            <w:r w:rsidR="00F959EB">
              <w:rPr>
                <w:noProof/>
                <w:webHidden/>
              </w:rPr>
              <w:tab/>
            </w:r>
            <w:r w:rsidR="00F959EB">
              <w:rPr>
                <w:noProof/>
                <w:webHidden/>
              </w:rPr>
              <w:fldChar w:fldCharType="begin"/>
            </w:r>
            <w:r w:rsidR="00F959EB">
              <w:rPr>
                <w:noProof/>
                <w:webHidden/>
              </w:rPr>
              <w:instrText xml:space="preserve"> PAGEREF _Toc55818783 \h </w:instrText>
            </w:r>
            <w:r w:rsidR="00F959EB">
              <w:rPr>
                <w:noProof/>
                <w:webHidden/>
              </w:rPr>
            </w:r>
            <w:r w:rsidR="00F959EB">
              <w:rPr>
                <w:noProof/>
                <w:webHidden/>
              </w:rPr>
              <w:fldChar w:fldCharType="separate"/>
            </w:r>
            <w:r w:rsidR="00F959EB">
              <w:rPr>
                <w:noProof/>
                <w:webHidden/>
              </w:rPr>
              <w:t>3</w:t>
            </w:r>
            <w:r w:rsidR="00F959EB">
              <w:rPr>
                <w:noProof/>
                <w:webHidden/>
              </w:rPr>
              <w:fldChar w:fldCharType="end"/>
            </w:r>
          </w:hyperlink>
        </w:p>
        <w:p w14:paraId="2DA472DB" w14:textId="4C04BF47" w:rsidR="00F959EB" w:rsidRDefault="009B36EB">
          <w:pPr>
            <w:pStyle w:val="TOC1"/>
            <w:tabs>
              <w:tab w:val="right" w:leader="dot" w:pos="9346"/>
            </w:tabs>
            <w:rPr>
              <w:rFonts w:asciiTheme="minorHAnsi" w:eastAsiaTheme="minorEastAsia" w:hAnsiTheme="minorHAnsi"/>
              <w:noProof/>
              <w:lang w:val="en-NZ" w:eastAsia="en-NZ"/>
            </w:rPr>
          </w:pPr>
          <w:hyperlink w:anchor="_Toc55818784" w:history="1">
            <w:r w:rsidR="00F959EB" w:rsidRPr="004C2008">
              <w:rPr>
                <w:rStyle w:val="Hyperlink"/>
                <w:noProof/>
              </w:rPr>
              <w:t>Context – Two separate but interconnected frameworks</w:t>
            </w:r>
            <w:r w:rsidR="00F959EB">
              <w:rPr>
                <w:noProof/>
                <w:webHidden/>
              </w:rPr>
              <w:tab/>
            </w:r>
            <w:r w:rsidR="00F959EB">
              <w:rPr>
                <w:noProof/>
                <w:webHidden/>
              </w:rPr>
              <w:fldChar w:fldCharType="begin"/>
            </w:r>
            <w:r w:rsidR="00F959EB">
              <w:rPr>
                <w:noProof/>
                <w:webHidden/>
              </w:rPr>
              <w:instrText xml:space="preserve"> PAGEREF _Toc55818784 \h </w:instrText>
            </w:r>
            <w:r w:rsidR="00F959EB">
              <w:rPr>
                <w:noProof/>
                <w:webHidden/>
              </w:rPr>
            </w:r>
            <w:r w:rsidR="00F959EB">
              <w:rPr>
                <w:noProof/>
                <w:webHidden/>
              </w:rPr>
              <w:fldChar w:fldCharType="separate"/>
            </w:r>
            <w:r w:rsidR="00F959EB">
              <w:rPr>
                <w:noProof/>
                <w:webHidden/>
              </w:rPr>
              <w:t>4</w:t>
            </w:r>
            <w:r w:rsidR="00F959EB">
              <w:rPr>
                <w:noProof/>
                <w:webHidden/>
              </w:rPr>
              <w:fldChar w:fldCharType="end"/>
            </w:r>
          </w:hyperlink>
        </w:p>
        <w:p w14:paraId="18D6FE19" w14:textId="44DB72F0" w:rsidR="00F959EB" w:rsidRDefault="009B36EB">
          <w:pPr>
            <w:pStyle w:val="TOC2"/>
            <w:tabs>
              <w:tab w:val="right" w:leader="dot" w:pos="9346"/>
            </w:tabs>
            <w:rPr>
              <w:rFonts w:asciiTheme="minorHAnsi" w:eastAsiaTheme="minorEastAsia" w:hAnsiTheme="minorHAnsi"/>
              <w:noProof/>
              <w:lang w:val="en-NZ" w:eastAsia="en-NZ"/>
            </w:rPr>
          </w:pPr>
          <w:hyperlink w:anchor="_Toc55818785" w:history="1">
            <w:r w:rsidR="00F959EB" w:rsidRPr="004C2008">
              <w:rPr>
                <w:rStyle w:val="Hyperlink"/>
                <w:noProof/>
                <w:lang w:val="en-NZ"/>
              </w:rPr>
              <w:t xml:space="preserve">The </w:t>
            </w:r>
            <w:r w:rsidR="00F959EB" w:rsidRPr="004C2008">
              <w:rPr>
                <w:rStyle w:val="Hyperlink"/>
                <w:i/>
                <w:noProof/>
                <w:lang w:val="en-NZ"/>
              </w:rPr>
              <w:t>He Ara Oranga Wellbeing Outcomes Framework</w:t>
            </w:r>
            <w:r w:rsidR="00F959EB">
              <w:rPr>
                <w:noProof/>
                <w:webHidden/>
              </w:rPr>
              <w:tab/>
            </w:r>
            <w:r w:rsidR="00F959EB">
              <w:rPr>
                <w:noProof/>
                <w:webHidden/>
              </w:rPr>
              <w:fldChar w:fldCharType="begin"/>
            </w:r>
            <w:r w:rsidR="00F959EB">
              <w:rPr>
                <w:noProof/>
                <w:webHidden/>
              </w:rPr>
              <w:instrText xml:space="preserve"> PAGEREF _Toc55818785 \h </w:instrText>
            </w:r>
            <w:r w:rsidR="00F959EB">
              <w:rPr>
                <w:noProof/>
                <w:webHidden/>
              </w:rPr>
            </w:r>
            <w:r w:rsidR="00F959EB">
              <w:rPr>
                <w:noProof/>
                <w:webHidden/>
              </w:rPr>
              <w:fldChar w:fldCharType="separate"/>
            </w:r>
            <w:r w:rsidR="00F959EB">
              <w:rPr>
                <w:noProof/>
                <w:webHidden/>
              </w:rPr>
              <w:t>4</w:t>
            </w:r>
            <w:r w:rsidR="00F959EB">
              <w:rPr>
                <w:noProof/>
                <w:webHidden/>
              </w:rPr>
              <w:fldChar w:fldCharType="end"/>
            </w:r>
          </w:hyperlink>
        </w:p>
        <w:p w14:paraId="0ADEC3F3" w14:textId="364BCE8B" w:rsidR="00F959EB" w:rsidRDefault="009B36EB">
          <w:pPr>
            <w:pStyle w:val="TOC2"/>
            <w:tabs>
              <w:tab w:val="right" w:leader="dot" w:pos="9346"/>
            </w:tabs>
            <w:rPr>
              <w:rFonts w:asciiTheme="minorHAnsi" w:eastAsiaTheme="minorEastAsia" w:hAnsiTheme="minorHAnsi"/>
              <w:noProof/>
              <w:lang w:val="en-NZ" w:eastAsia="en-NZ"/>
            </w:rPr>
          </w:pPr>
          <w:hyperlink w:anchor="_Toc55818786" w:history="1">
            <w:r w:rsidR="00F959EB" w:rsidRPr="004C2008">
              <w:rPr>
                <w:rStyle w:val="Hyperlink"/>
                <w:noProof/>
                <w:lang w:val="en-NZ"/>
              </w:rPr>
              <w:t xml:space="preserve">The </w:t>
            </w:r>
            <w:r w:rsidR="00F959EB" w:rsidRPr="004C2008">
              <w:rPr>
                <w:rStyle w:val="Hyperlink"/>
                <w:i/>
                <w:noProof/>
                <w:lang w:val="en-NZ"/>
              </w:rPr>
              <w:t>He Ara Āwhina Service-Level Monitoring Framework</w:t>
            </w:r>
            <w:r w:rsidR="00F959EB">
              <w:rPr>
                <w:noProof/>
                <w:webHidden/>
              </w:rPr>
              <w:tab/>
            </w:r>
            <w:r w:rsidR="00F959EB">
              <w:rPr>
                <w:noProof/>
                <w:webHidden/>
              </w:rPr>
              <w:fldChar w:fldCharType="begin"/>
            </w:r>
            <w:r w:rsidR="00F959EB">
              <w:rPr>
                <w:noProof/>
                <w:webHidden/>
              </w:rPr>
              <w:instrText xml:space="preserve"> PAGEREF _Toc55818786 \h </w:instrText>
            </w:r>
            <w:r w:rsidR="00F959EB">
              <w:rPr>
                <w:noProof/>
                <w:webHidden/>
              </w:rPr>
            </w:r>
            <w:r w:rsidR="00F959EB">
              <w:rPr>
                <w:noProof/>
                <w:webHidden/>
              </w:rPr>
              <w:fldChar w:fldCharType="separate"/>
            </w:r>
            <w:r w:rsidR="00F959EB">
              <w:rPr>
                <w:noProof/>
                <w:webHidden/>
              </w:rPr>
              <w:t>4</w:t>
            </w:r>
            <w:r w:rsidR="00F959EB">
              <w:rPr>
                <w:noProof/>
                <w:webHidden/>
              </w:rPr>
              <w:fldChar w:fldCharType="end"/>
            </w:r>
          </w:hyperlink>
        </w:p>
        <w:p w14:paraId="1F1003F7" w14:textId="3A090E96" w:rsidR="00F959EB" w:rsidRDefault="009B36EB">
          <w:pPr>
            <w:pStyle w:val="TOC2"/>
            <w:tabs>
              <w:tab w:val="right" w:leader="dot" w:pos="9346"/>
            </w:tabs>
            <w:rPr>
              <w:rFonts w:asciiTheme="minorHAnsi" w:eastAsiaTheme="minorEastAsia" w:hAnsiTheme="minorHAnsi"/>
              <w:noProof/>
              <w:lang w:val="en-NZ" w:eastAsia="en-NZ"/>
            </w:rPr>
          </w:pPr>
          <w:hyperlink w:anchor="_Toc55818787" w:history="1">
            <w:r w:rsidR="00F959EB" w:rsidRPr="004C2008">
              <w:rPr>
                <w:rStyle w:val="Hyperlink"/>
                <w:noProof/>
              </w:rPr>
              <w:t>Next steps</w:t>
            </w:r>
            <w:r w:rsidR="00F959EB">
              <w:rPr>
                <w:noProof/>
                <w:webHidden/>
              </w:rPr>
              <w:tab/>
            </w:r>
            <w:r w:rsidR="00F959EB">
              <w:rPr>
                <w:noProof/>
                <w:webHidden/>
              </w:rPr>
              <w:fldChar w:fldCharType="begin"/>
            </w:r>
            <w:r w:rsidR="00F959EB">
              <w:rPr>
                <w:noProof/>
                <w:webHidden/>
              </w:rPr>
              <w:instrText xml:space="preserve"> PAGEREF _Toc55818787 \h </w:instrText>
            </w:r>
            <w:r w:rsidR="00F959EB">
              <w:rPr>
                <w:noProof/>
                <w:webHidden/>
              </w:rPr>
            </w:r>
            <w:r w:rsidR="00F959EB">
              <w:rPr>
                <w:noProof/>
                <w:webHidden/>
              </w:rPr>
              <w:fldChar w:fldCharType="separate"/>
            </w:r>
            <w:r w:rsidR="00F959EB">
              <w:rPr>
                <w:noProof/>
                <w:webHidden/>
              </w:rPr>
              <w:t>5</w:t>
            </w:r>
            <w:r w:rsidR="00F959EB">
              <w:rPr>
                <w:noProof/>
                <w:webHidden/>
              </w:rPr>
              <w:fldChar w:fldCharType="end"/>
            </w:r>
          </w:hyperlink>
        </w:p>
        <w:p w14:paraId="4474E788" w14:textId="6D3F4CDB" w:rsidR="00F959EB" w:rsidRDefault="009B36EB">
          <w:pPr>
            <w:pStyle w:val="TOC1"/>
            <w:tabs>
              <w:tab w:val="right" w:leader="dot" w:pos="9346"/>
            </w:tabs>
            <w:rPr>
              <w:rFonts w:asciiTheme="minorHAnsi" w:eastAsiaTheme="minorEastAsia" w:hAnsiTheme="minorHAnsi"/>
              <w:noProof/>
              <w:lang w:val="en-NZ" w:eastAsia="en-NZ"/>
            </w:rPr>
          </w:pPr>
          <w:hyperlink w:anchor="_Toc55818788" w:history="1">
            <w:r w:rsidR="00F959EB" w:rsidRPr="004C2008">
              <w:rPr>
                <w:rStyle w:val="Hyperlink"/>
                <w:noProof/>
                <w:lang w:val="en-NZ"/>
              </w:rPr>
              <w:t>Co-defining expectations and approach to monitoring and advocating for service-improvement</w:t>
            </w:r>
            <w:r w:rsidR="00F959EB">
              <w:rPr>
                <w:noProof/>
                <w:webHidden/>
              </w:rPr>
              <w:tab/>
            </w:r>
            <w:r w:rsidR="00F959EB">
              <w:rPr>
                <w:noProof/>
                <w:webHidden/>
              </w:rPr>
              <w:fldChar w:fldCharType="begin"/>
            </w:r>
            <w:r w:rsidR="00F959EB">
              <w:rPr>
                <w:noProof/>
                <w:webHidden/>
              </w:rPr>
              <w:instrText xml:space="preserve"> PAGEREF _Toc55818788 \h </w:instrText>
            </w:r>
            <w:r w:rsidR="00F959EB">
              <w:rPr>
                <w:noProof/>
                <w:webHidden/>
              </w:rPr>
            </w:r>
            <w:r w:rsidR="00F959EB">
              <w:rPr>
                <w:noProof/>
                <w:webHidden/>
              </w:rPr>
              <w:fldChar w:fldCharType="separate"/>
            </w:r>
            <w:r w:rsidR="00F959EB">
              <w:rPr>
                <w:noProof/>
                <w:webHidden/>
              </w:rPr>
              <w:t>6</w:t>
            </w:r>
            <w:r w:rsidR="00F959EB">
              <w:rPr>
                <w:noProof/>
                <w:webHidden/>
              </w:rPr>
              <w:fldChar w:fldCharType="end"/>
            </w:r>
          </w:hyperlink>
        </w:p>
        <w:p w14:paraId="53E32D36" w14:textId="47AFF369" w:rsidR="00F959EB" w:rsidRDefault="009B36EB">
          <w:pPr>
            <w:pStyle w:val="TOC2"/>
            <w:tabs>
              <w:tab w:val="right" w:leader="dot" w:pos="9346"/>
            </w:tabs>
            <w:rPr>
              <w:rFonts w:asciiTheme="minorHAnsi" w:eastAsiaTheme="minorEastAsia" w:hAnsiTheme="minorHAnsi"/>
              <w:noProof/>
              <w:lang w:val="en-NZ" w:eastAsia="en-NZ"/>
            </w:rPr>
          </w:pPr>
          <w:hyperlink w:anchor="_Toc55818789" w:history="1">
            <w:r w:rsidR="00F959EB" w:rsidRPr="004C2008">
              <w:rPr>
                <w:rStyle w:val="Hyperlink"/>
                <w:noProof/>
                <w:lang w:val="en-NZ"/>
              </w:rPr>
              <w:t>Co-define question 1: Why monitor services?</w:t>
            </w:r>
            <w:r w:rsidR="00F959EB">
              <w:rPr>
                <w:noProof/>
                <w:webHidden/>
              </w:rPr>
              <w:tab/>
            </w:r>
            <w:r w:rsidR="00F959EB">
              <w:rPr>
                <w:noProof/>
                <w:webHidden/>
              </w:rPr>
              <w:fldChar w:fldCharType="begin"/>
            </w:r>
            <w:r w:rsidR="00F959EB">
              <w:rPr>
                <w:noProof/>
                <w:webHidden/>
              </w:rPr>
              <w:instrText xml:space="preserve"> PAGEREF _Toc55818789 \h </w:instrText>
            </w:r>
            <w:r w:rsidR="00F959EB">
              <w:rPr>
                <w:noProof/>
                <w:webHidden/>
              </w:rPr>
            </w:r>
            <w:r w:rsidR="00F959EB">
              <w:rPr>
                <w:noProof/>
                <w:webHidden/>
              </w:rPr>
              <w:fldChar w:fldCharType="separate"/>
            </w:r>
            <w:r w:rsidR="00F959EB">
              <w:rPr>
                <w:noProof/>
                <w:webHidden/>
              </w:rPr>
              <w:t>6</w:t>
            </w:r>
            <w:r w:rsidR="00F959EB">
              <w:rPr>
                <w:noProof/>
                <w:webHidden/>
              </w:rPr>
              <w:fldChar w:fldCharType="end"/>
            </w:r>
          </w:hyperlink>
        </w:p>
        <w:p w14:paraId="4D4A6488" w14:textId="54671377" w:rsidR="00F959EB" w:rsidRDefault="009B36EB">
          <w:pPr>
            <w:pStyle w:val="TOC2"/>
            <w:tabs>
              <w:tab w:val="right" w:leader="dot" w:pos="9346"/>
            </w:tabs>
            <w:rPr>
              <w:rFonts w:asciiTheme="minorHAnsi" w:eastAsiaTheme="minorEastAsia" w:hAnsiTheme="minorHAnsi"/>
              <w:noProof/>
              <w:lang w:val="en-NZ" w:eastAsia="en-NZ"/>
            </w:rPr>
          </w:pPr>
          <w:hyperlink w:anchor="_Toc55818790" w:history="1">
            <w:r w:rsidR="00F959EB" w:rsidRPr="004C2008">
              <w:rPr>
                <w:rStyle w:val="Hyperlink"/>
                <w:noProof/>
                <w:lang w:val="en-NZ"/>
              </w:rPr>
              <w:t>Co-define question 2: Monitor what?</w:t>
            </w:r>
            <w:r w:rsidR="00F959EB">
              <w:rPr>
                <w:noProof/>
                <w:webHidden/>
              </w:rPr>
              <w:tab/>
            </w:r>
            <w:r w:rsidR="00F959EB">
              <w:rPr>
                <w:noProof/>
                <w:webHidden/>
              </w:rPr>
              <w:fldChar w:fldCharType="begin"/>
            </w:r>
            <w:r w:rsidR="00F959EB">
              <w:rPr>
                <w:noProof/>
                <w:webHidden/>
              </w:rPr>
              <w:instrText xml:space="preserve"> PAGEREF _Toc55818790 \h </w:instrText>
            </w:r>
            <w:r w:rsidR="00F959EB">
              <w:rPr>
                <w:noProof/>
                <w:webHidden/>
              </w:rPr>
            </w:r>
            <w:r w:rsidR="00F959EB">
              <w:rPr>
                <w:noProof/>
                <w:webHidden/>
              </w:rPr>
              <w:fldChar w:fldCharType="separate"/>
            </w:r>
            <w:r w:rsidR="00F959EB">
              <w:rPr>
                <w:noProof/>
                <w:webHidden/>
              </w:rPr>
              <w:t>7</w:t>
            </w:r>
            <w:r w:rsidR="00F959EB">
              <w:rPr>
                <w:noProof/>
                <w:webHidden/>
              </w:rPr>
              <w:fldChar w:fldCharType="end"/>
            </w:r>
          </w:hyperlink>
        </w:p>
        <w:p w14:paraId="39FF8F2C" w14:textId="280BEDFD" w:rsidR="00F959EB" w:rsidRDefault="009B36EB">
          <w:pPr>
            <w:pStyle w:val="TOC3"/>
            <w:rPr>
              <w:rFonts w:asciiTheme="minorHAnsi" w:eastAsiaTheme="minorEastAsia" w:hAnsiTheme="minorHAnsi"/>
              <w:noProof/>
              <w:lang w:val="en-NZ" w:eastAsia="en-NZ"/>
            </w:rPr>
          </w:pPr>
          <w:hyperlink w:anchor="_Toc55818791" w:history="1">
            <w:r w:rsidR="00F959EB" w:rsidRPr="004C2008">
              <w:rPr>
                <w:rStyle w:val="Hyperlink"/>
                <w:rFonts w:cs="Arial"/>
                <w:noProof/>
              </w:rPr>
              <w:t>Factors to take into account when applying the definition</w:t>
            </w:r>
            <w:r w:rsidR="00F959EB">
              <w:rPr>
                <w:noProof/>
                <w:webHidden/>
              </w:rPr>
              <w:tab/>
            </w:r>
            <w:r w:rsidR="00F959EB">
              <w:rPr>
                <w:noProof/>
                <w:webHidden/>
              </w:rPr>
              <w:fldChar w:fldCharType="begin"/>
            </w:r>
            <w:r w:rsidR="00F959EB">
              <w:rPr>
                <w:noProof/>
                <w:webHidden/>
              </w:rPr>
              <w:instrText xml:space="preserve"> PAGEREF _Toc55818791 \h </w:instrText>
            </w:r>
            <w:r w:rsidR="00F959EB">
              <w:rPr>
                <w:noProof/>
                <w:webHidden/>
              </w:rPr>
            </w:r>
            <w:r w:rsidR="00F959EB">
              <w:rPr>
                <w:noProof/>
                <w:webHidden/>
              </w:rPr>
              <w:fldChar w:fldCharType="separate"/>
            </w:r>
            <w:r w:rsidR="00F959EB">
              <w:rPr>
                <w:noProof/>
                <w:webHidden/>
              </w:rPr>
              <w:t>9</w:t>
            </w:r>
            <w:r w:rsidR="00F959EB">
              <w:rPr>
                <w:noProof/>
                <w:webHidden/>
              </w:rPr>
              <w:fldChar w:fldCharType="end"/>
            </w:r>
          </w:hyperlink>
        </w:p>
        <w:p w14:paraId="1C2455B1" w14:textId="2D2F5872" w:rsidR="00F959EB" w:rsidRDefault="009B36EB">
          <w:pPr>
            <w:pStyle w:val="TOC2"/>
            <w:tabs>
              <w:tab w:val="right" w:leader="dot" w:pos="9346"/>
            </w:tabs>
            <w:rPr>
              <w:rFonts w:asciiTheme="minorHAnsi" w:eastAsiaTheme="minorEastAsia" w:hAnsiTheme="minorHAnsi"/>
              <w:noProof/>
              <w:lang w:val="en-NZ" w:eastAsia="en-NZ"/>
            </w:rPr>
          </w:pPr>
          <w:hyperlink w:anchor="_Toc55818792" w:history="1">
            <w:r w:rsidR="00F959EB" w:rsidRPr="004C2008">
              <w:rPr>
                <w:rStyle w:val="Hyperlink"/>
                <w:noProof/>
                <w:lang w:val="en-NZ"/>
              </w:rPr>
              <w:t>Co-define question 3: How to Monitor?</w:t>
            </w:r>
            <w:r w:rsidR="00F959EB">
              <w:rPr>
                <w:noProof/>
                <w:webHidden/>
              </w:rPr>
              <w:tab/>
            </w:r>
            <w:r w:rsidR="00F959EB">
              <w:rPr>
                <w:noProof/>
                <w:webHidden/>
              </w:rPr>
              <w:fldChar w:fldCharType="begin"/>
            </w:r>
            <w:r w:rsidR="00F959EB">
              <w:rPr>
                <w:noProof/>
                <w:webHidden/>
              </w:rPr>
              <w:instrText xml:space="preserve"> PAGEREF _Toc55818792 \h </w:instrText>
            </w:r>
            <w:r w:rsidR="00F959EB">
              <w:rPr>
                <w:noProof/>
                <w:webHidden/>
              </w:rPr>
            </w:r>
            <w:r w:rsidR="00F959EB">
              <w:rPr>
                <w:noProof/>
                <w:webHidden/>
              </w:rPr>
              <w:fldChar w:fldCharType="separate"/>
            </w:r>
            <w:r w:rsidR="00F959EB">
              <w:rPr>
                <w:noProof/>
                <w:webHidden/>
              </w:rPr>
              <w:t>9</w:t>
            </w:r>
            <w:r w:rsidR="00F959EB">
              <w:rPr>
                <w:noProof/>
                <w:webHidden/>
              </w:rPr>
              <w:fldChar w:fldCharType="end"/>
            </w:r>
          </w:hyperlink>
        </w:p>
        <w:p w14:paraId="38F81E73" w14:textId="504D3121" w:rsidR="00F959EB" w:rsidRDefault="009B36EB">
          <w:pPr>
            <w:pStyle w:val="TOC1"/>
            <w:tabs>
              <w:tab w:val="right" w:leader="dot" w:pos="9346"/>
            </w:tabs>
            <w:rPr>
              <w:rFonts w:asciiTheme="minorHAnsi" w:eastAsiaTheme="minorEastAsia" w:hAnsiTheme="minorHAnsi"/>
              <w:noProof/>
              <w:lang w:val="en-NZ" w:eastAsia="en-NZ"/>
            </w:rPr>
          </w:pPr>
          <w:hyperlink w:anchor="_Toc55818793" w:history="1">
            <w:r w:rsidR="00F959EB" w:rsidRPr="004C2008">
              <w:rPr>
                <w:rStyle w:val="Hyperlink"/>
                <w:noProof/>
                <w:lang w:val="en-NZ"/>
              </w:rPr>
              <w:t>Appendices</w:t>
            </w:r>
            <w:r w:rsidR="00F959EB">
              <w:rPr>
                <w:noProof/>
                <w:webHidden/>
              </w:rPr>
              <w:tab/>
            </w:r>
            <w:r w:rsidR="00F959EB">
              <w:rPr>
                <w:noProof/>
                <w:webHidden/>
              </w:rPr>
              <w:fldChar w:fldCharType="begin"/>
            </w:r>
            <w:r w:rsidR="00F959EB">
              <w:rPr>
                <w:noProof/>
                <w:webHidden/>
              </w:rPr>
              <w:instrText xml:space="preserve"> PAGEREF _Toc55818793 \h </w:instrText>
            </w:r>
            <w:r w:rsidR="00F959EB">
              <w:rPr>
                <w:noProof/>
                <w:webHidden/>
              </w:rPr>
            </w:r>
            <w:r w:rsidR="00F959EB">
              <w:rPr>
                <w:noProof/>
                <w:webHidden/>
              </w:rPr>
              <w:fldChar w:fldCharType="separate"/>
            </w:r>
            <w:r w:rsidR="00F959EB">
              <w:rPr>
                <w:noProof/>
                <w:webHidden/>
              </w:rPr>
              <w:t>12</w:t>
            </w:r>
            <w:r w:rsidR="00F959EB">
              <w:rPr>
                <w:noProof/>
                <w:webHidden/>
              </w:rPr>
              <w:fldChar w:fldCharType="end"/>
            </w:r>
          </w:hyperlink>
        </w:p>
        <w:p w14:paraId="21B4EFA1" w14:textId="4F98E961" w:rsidR="00F959EB" w:rsidRDefault="009B36EB">
          <w:pPr>
            <w:pStyle w:val="TOC3"/>
            <w:rPr>
              <w:rFonts w:asciiTheme="minorHAnsi" w:eastAsiaTheme="minorEastAsia" w:hAnsiTheme="minorHAnsi"/>
              <w:noProof/>
              <w:lang w:val="en-NZ" w:eastAsia="en-NZ"/>
            </w:rPr>
          </w:pPr>
          <w:hyperlink w:anchor="_Toc55818794" w:history="1">
            <w:r w:rsidR="00F959EB" w:rsidRPr="004C2008">
              <w:rPr>
                <w:rStyle w:val="Hyperlink"/>
                <w:rFonts w:cs="Arial"/>
                <w:noProof/>
              </w:rPr>
              <w:t>1.</w:t>
            </w:r>
            <w:r w:rsidR="00F959EB">
              <w:rPr>
                <w:rFonts w:asciiTheme="minorHAnsi" w:eastAsiaTheme="minorEastAsia" w:hAnsiTheme="minorHAnsi"/>
                <w:noProof/>
                <w:lang w:val="en-NZ" w:eastAsia="en-NZ"/>
              </w:rPr>
              <w:tab/>
            </w:r>
            <w:r w:rsidR="00F959EB" w:rsidRPr="004C2008">
              <w:rPr>
                <w:rStyle w:val="Hyperlink"/>
                <w:rFonts w:cs="Arial"/>
                <w:noProof/>
              </w:rPr>
              <w:t>Agencies that have overview/monitoring and quality improvement roles in relation to mental health services and addiction services</w:t>
            </w:r>
            <w:r w:rsidR="00F959EB">
              <w:rPr>
                <w:noProof/>
                <w:webHidden/>
              </w:rPr>
              <w:tab/>
            </w:r>
            <w:r w:rsidR="00F959EB">
              <w:rPr>
                <w:noProof/>
                <w:webHidden/>
              </w:rPr>
              <w:fldChar w:fldCharType="begin"/>
            </w:r>
            <w:r w:rsidR="00F959EB">
              <w:rPr>
                <w:noProof/>
                <w:webHidden/>
              </w:rPr>
              <w:instrText xml:space="preserve"> PAGEREF _Toc55818794 \h </w:instrText>
            </w:r>
            <w:r w:rsidR="00F959EB">
              <w:rPr>
                <w:noProof/>
                <w:webHidden/>
              </w:rPr>
            </w:r>
            <w:r w:rsidR="00F959EB">
              <w:rPr>
                <w:noProof/>
                <w:webHidden/>
              </w:rPr>
              <w:fldChar w:fldCharType="separate"/>
            </w:r>
            <w:r w:rsidR="00F959EB">
              <w:rPr>
                <w:noProof/>
                <w:webHidden/>
              </w:rPr>
              <w:t>12</w:t>
            </w:r>
            <w:r w:rsidR="00F959EB">
              <w:rPr>
                <w:noProof/>
                <w:webHidden/>
              </w:rPr>
              <w:fldChar w:fldCharType="end"/>
            </w:r>
          </w:hyperlink>
        </w:p>
        <w:p w14:paraId="3559C2C3" w14:textId="353168C2" w:rsidR="00F959EB" w:rsidRDefault="009B36EB">
          <w:pPr>
            <w:pStyle w:val="TOC3"/>
            <w:rPr>
              <w:rFonts w:asciiTheme="minorHAnsi" w:eastAsiaTheme="minorEastAsia" w:hAnsiTheme="minorHAnsi"/>
              <w:noProof/>
              <w:lang w:val="en-NZ" w:eastAsia="en-NZ"/>
            </w:rPr>
          </w:pPr>
          <w:hyperlink w:anchor="_Toc55818795" w:history="1">
            <w:r w:rsidR="00F959EB" w:rsidRPr="004C2008">
              <w:rPr>
                <w:rStyle w:val="Hyperlink"/>
                <w:rFonts w:cs="Arial"/>
                <w:noProof/>
              </w:rPr>
              <w:t>2.</w:t>
            </w:r>
            <w:r w:rsidR="00F959EB">
              <w:rPr>
                <w:rFonts w:asciiTheme="minorHAnsi" w:eastAsiaTheme="minorEastAsia" w:hAnsiTheme="minorHAnsi"/>
                <w:noProof/>
                <w:lang w:val="en-NZ" w:eastAsia="en-NZ"/>
              </w:rPr>
              <w:tab/>
            </w:r>
            <w:r w:rsidR="00F959EB" w:rsidRPr="004C2008">
              <w:rPr>
                <w:rStyle w:val="Hyperlink"/>
                <w:rFonts w:cs="Arial"/>
                <w:noProof/>
              </w:rPr>
              <w:t>Sources for developing a draft definition of mental health services and addiction services</w:t>
            </w:r>
            <w:r w:rsidR="00F959EB">
              <w:rPr>
                <w:noProof/>
                <w:webHidden/>
              </w:rPr>
              <w:tab/>
            </w:r>
            <w:r w:rsidR="00F959EB">
              <w:rPr>
                <w:noProof/>
                <w:webHidden/>
              </w:rPr>
              <w:fldChar w:fldCharType="begin"/>
            </w:r>
            <w:r w:rsidR="00F959EB">
              <w:rPr>
                <w:noProof/>
                <w:webHidden/>
              </w:rPr>
              <w:instrText xml:space="preserve"> PAGEREF _Toc55818795 \h </w:instrText>
            </w:r>
            <w:r w:rsidR="00F959EB">
              <w:rPr>
                <w:noProof/>
                <w:webHidden/>
              </w:rPr>
            </w:r>
            <w:r w:rsidR="00F959EB">
              <w:rPr>
                <w:noProof/>
                <w:webHidden/>
              </w:rPr>
              <w:fldChar w:fldCharType="separate"/>
            </w:r>
            <w:r w:rsidR="00F959EB">
              <w:rPr>
                <w:noProof/>
                <w:webHidden/>
              </w:rPr>
              <w:t>12</w:t>
            </w:r>
            <w:r w:rsidR="00F959EB">
              <w:rPr>
                <w:noProof/>
                <w:webHidden/>
              </w:rPr>
              <w:fldChar w:fldCharType="end"/>
            </w:r>
          </w:hyperlink>
        </w:p>
        <w:p w14:paraId="4F91936C" w14:textId="081BDF02" w:rsidR="00F959EB" w:rsidRDefault="009B36EB">
          <w:pPr>
            <w:pStyle w:val="TOC3"/>
            <w:rPr>
              <w:rFonts w:asciiTheme="minorHAnsi" w:eastAsiaTheme="minorEastAsia" w:hAnsiTheme="minorHAnsi"/>
              <w:noProof/>
              <w:lang w:val="en-NZ" w:eastAsia="en-NZ"/>
            </w:rPr>
          </w:pPr>
          <w:hyperlink w:anchor="_Toc55818796" w:history="1">
            <w:r w:rsidR="00F959EB" w:rsidRPr="004C2008">
              <w:rPr>
                <w:rStyle w:val="Hyperlink"/>
                <w:rFonts w:cs="Arial"/>
                <w:noProof/>
              </w:rPr>
              <w:t>3.</w:t>
            </w:r>
            <w:r w:rsidR="00F959EB">
              <w:rPr>
                <w:rFonts w:asciiTheme="minorHAnsi" w:eastAsiaTheme="minorEastAsia" w:hAnsiTheme="minorHAnsi"/>
                <w:noProof/>
                <w:lang w:val="en-NZ" w:eastAsia="en-NZ"/>
              </w:rPr>
              <w:tab/>
            </w:r>
            <w:r w:rsidR="00F959EB" w:rsidRPr="004C2008">
              <w:rPr>
                <w:rStyle w:val="Hyperlink"/>
                <w:rFonts w:cs="Arial"/>
                <w:noProof/>
              </w:rPr>
              <w:t>Performance monitoring questions of the Mental Health Commissioner</w:t>
            </w:r>
            <w:r w:rsidR="00F959EB">
              <w:rPr>
                <w:noProof/>
                <w:webHidden/>
              </w:rPr>
              <w:tab/>
            </w:r>
            <w:r w:rsidR="00F959EB">
              <w:rPr>
                <w:noProof/>
                <w:webHidden/>
              </w:rPr>
              <w:fldChar w:fldCharType="begin"/>
            </w:r>
            <w:r w:rsidR="00F959EB">
              <w:rPr>
                <w:noProof/>
                <w:webHidden/>
              </w:rPr>
              <w:instrText xml:space="preserve"> PAGEREF _Toc55818796 \h </w:instrText>
            </w:r>
            <w:r w:rsidR="00F959EB">
              <w:rPr>
                <w:noProof/>
                <w:webHidden/>
              </w:rPr>
            </w:r>
            <w:r w:rsidR="00F959EB">
              <w:rPr>
                <w:noProof/>
                <w:webHidden/>
              </w:rPr>
              <w:fldChar w:fldCharType="separate"/>
            </w:r>
            <w:r w:rsidR="00F959EB">
              <w:rPr>
                <w:noProof/>
                <w:webHidden/>
              </w:rPr>
              <w:t>12</w:t>
            </w:r>
            <w:r w:rsidR="00F959EB">
              <w:rPr>
                <w:noProof/>
                <w:webHidden/>
              </w:rPr>
              <w:fldChar w:fldCharType="end"/>
            </w:r>
          </w:hyperlink>
        </w:p>
        <w:p w14:paraId="1E4BA448" w14:textId="32DC3646" w:rsidR="001E11F5" w:rsidRPr="0009699E" w:rsidRDefault="001E11F5" w:rsidP="008E6A7C">
          <w:pPr>
            <w:rPr>
              <w:rFonts w:cs="Arial"/>
            </w:rPr>
          </w:pPr>
          <w:r w:rsidRPr="0009699E">
            <w:rPr>
              <w:rFonts w:cs="Arial"/>
              <w:b/>
              <w:bCs/>
              <w:noProof/>
            </w:rPr>
            <w:fldChar w:fldCharType="end"/>
          </w:r>
        </w:p>
      </w:sdtContent>
    </w:sdt>
    <w:p w14:paraId="3548FBAB" w14:textId="77777777" w:rsidR="009C687D" w:rsidRPr="0009699E" w:rsidRDefault="009C687D" w:rsidP="008E6A7C">
      <w:pPr>
        <w:rPr>
          <w:rFonts w:eastAsiaTheme="majorEastAsia" w:cs="Arial"/>
          <w:b/>
          <w:sz w:val="32"/>
          <w:szCs w:val="32"/>
        </w:rPr>
      </w:pPr>
      <w:r w:rsidRPr="0009699E">
        <w:rPr>
          <w:rFonts w:cs="Arial"/>
        </w:rPr>
        <w:br w:type="page"/>
      </w:r>
    </w:p>
    <w:p w14:paraId="7922D412" w14:textId="239564CE" w:rsidR="00234BF9" w:rsidRPr="0009699E" w:rsidRDefault="00D97B2C" w:rsidP="008E6A7C">
      <w:pPr>
        <w:pStyle w:val="Heading1"/>
        <w:rPr>
          <w:lang w:val="en-NZ"/>
        </w:rPr>
      </w:pPr>
      <w:bookmarkStart w:id="1" w:name="_Toc55818782"/>
      <w:r w:rsidRPr="0009699E">
        <w:lastRenderedPageBreak/>
        <w:t>Seeking</w:t>
      </w:r>
      <w:r w:rsidRPr="0009699E">
        <w:rPr>
          <w:lang w:val="en-NZ"/>
        </w:rPr>
        <w:t xml:space="preserve"> your views</w:t>
      </w:r>
      <w:bookmarkEnd w:id="1"/>
    </w:p>
    <w:p w14:paraId="4493055A" w14:textId="3032D09F" w:rsidR="008751A6" w:rsidRPr="0009699E" w:rsidRDefault="008751A6" w:rsidP="008E6A7C">
      <w:pPr>
        <w:spacing w:after="120"/>
        <w:rPr>
          <w:rFonts w:cs="Arial"/>
          <w:lang w:val="en-NZ"/>
        </w:rPr>
      </w:pPr>
      <w:r w:rsidRPr="0009699E">
        <w:rPr>
          <w:rFonts w:cs="Arial"/>
          <w:lang w:val="en-NZ"/>
        </w:rPr>
        <w:t xml:space="preserve">The Initial </w:t>
      </w:r>
      <w:r w:rsidR="00CB2193" w:rsidRPr="0009699E">
        <w:rPr>
          <w:rFonts w:cs="Arial"/>
          <w:lang w:val="en-NZ"/>
        </w:rPr>
        <w:t xml:space="preserve">Mental Health and Wellbeing </w:t>
      </w:r>
      <w:r w:rsidRPr="0009699E">
        <w:rPr>
          <w:rFonts w:cs="Arial"/>
          <w:lang w:val="en-NZ"/>
        </w:rPr>
        <w:t>Commission</w:t>
      </w:r>
      <w:r w:rsidR="00CB2193" w:rsidRPr="0009699E">
        <w:rPr>
          <w:rFonts w:cs="Arial"/>
          <w:lang w:val="en-NZ"/>
        </w:rPr>
        <w:t xml:space="preserve"> (Initial Commi</w:t>
      </w:r>
      <w:r w:rsidR="00FA3318" w:rsidRPr="0009699E">
        <w:rPr>
          <w:rFonts w:cs="Arial"/>
          <w:lang w:val="en-NZ"/>
        </w:rPr>
        <w:t>ss</w:t>
      </w:r>
      <w:r w:rsidR="00CB2193" w:rsidRPr="0009699E">
        <w:rPr>
          <w:rFonts w:cs="Arial"/>
          <w:lang w:val="en-NZ"/>
        </w:rPr>
        <w:t>ion)</w:t>
      </w:r>
      <w:r w:rsidRPr="0009699E">
        <w:rPr>
          <w:rFonts w:cs="Arial"/>
          <w:lang w:val="en-NZ"/>
        </w:rPr>
        <w:t xml:space="preserve"> was established in November 2019 to </w:t>
      </w:r>
      <w:r w:rsidR="00FA3318" w:rsidRPr="0009699E">
        <w:rPr>
          <w:rFonts w:cs="Arial"/>
          <w:lang w:val="en-NZ"/>
        </w:rPr>
        <w:t xml:space="preserve">maintain the momentum of </w:t>
      </w:r>
      <w:r w:rsidR="00FA3318" w:rsidRPr="0009699E">
        <w:rPr>
          <w:rFonts w:cs="Arial"/>
          <w:i/>
          <w:lang w:val="en-NZ"/>
        </w:rPr>
        <w:t>He Ara Oranga</w:t>
      </w:r>
      <w:r w:rsidR="00F920AE" w:rsidRPr="0009699E">
        <w:rPr>
          <w:rStyle w:val="FootnoteReference"/>
          <w:rFonts w:cs="Arial"/>
          <w:lang w:val="en-NZ"/>
        </w:rPr>
        <w:footnoteReference w:id="1"/>
      </w:r>
      <w:r w:rsidR="00F920AE" w:rsidRPr="0009699E">
        <w:rPr>
          <w:rFonts w:cs="Arial"/>
          <w:lang w:val="en-NZ"/>
        </w:rPr>
        <w:t xml:space="preserve"> </w:t>
      </w:r>
      <w:r w:rsidR="00FA3318" w:rsidRPr="0009699E">
        <w:rPr>
          <w:rFonts w:cs="Arial"/>
          <w:lang w:val="en-NZ"/>
        </w:rPr>
        <w:t>while a permanent Mental Health and Wellbeing Commission is established.</w:t>
      </w:r>
      <w:r w:rsidRPr="0009699E">
        <w:rPr>
          <w:rStyle w:val="FootnoteReference"/>
          <w:rFonts w:cs="Arial"/>
          <w:lang w:val="en-NZ"/>
        </w:rPr>
        <w:footnoteReference w:id="2"/>
      </w:r>
    </w:p>
    <w:p w14:paraId="41DDB783" w14:textId="5858DE35" w:rsidR="00B23960" w:rsidRPr="0009699E" w:rsidRDefault="00B23960" w:rsidP="008E6A7C">
      <w:pPr>
        <w:spacing w:after="120"/>
        <w:rPr>
          <w:rFonts w:cs="Arial"/>
          <w:lang w:val="en-NZ"/>
        </w:rPr>
      </w:pPr>
      <w:r w:rsidRPr="0009699E">
        <w:rPr>
          <w:rFonts w:cs="Arial"/>
          <w:lang w:val="en-NZ"/>
        </w:rPr>
        <w:t xml:space="preserve">Throughout 2020, </w:t>
      </w:r>
      <w:r w:rsidR="00972CAA" w:rsidRPr="0009699E">
        <w:rPr>
          <w:rFonts w:cs="Arial"/>
          <w:lang w:val="en-NZ"/>
        </w:rPr>
        <w:t xml:space="preserve">the Initial Commission </w:t>
      </w:r>
      <w:r w:rsidR="00D919B8" w:rsidRPr="0009699E">
        <w:rPr>
          <w:rFonts w:cs="Arial"/>
          <w:lang w:val="en-NZ"/>
        </w:rPr>
        <w:t>ha</w:t>
      </w:r>
      <w:r w:rsidR="00FA3318" w:rsidRPr="0009699E">
        <w:rPr>
          <w:rFonts w:cs="Arial"/>
          <w:lang w:val="en-NZ"/>
        </w:rPr>
        <w:t>s</w:t>
      </w:r>
      <w:r w:rsidR="00D919B8" w:rsidRPr="0009699E">
        <w:rPr>
          <w:rFonts w:cs="Arial"/>
          <w:lang w:val="en-NZ"/>
        </w:rPr>
        <w:t xml:space="preserve"> been developing the </w:t>
      </w:r>
      <w:r w:rsidR="00D919B8" w:rsidRPr="0009699E">
        <w:rPr>
          <w:rFonts w:cs="Arial"/>
          <w:i/>
          <w:lang w:val="en-NZ"/>
        </w:rPr>
        <w:t>He Ara Oranga Wellbeing Outcomes Framework</w:t>
      </w:r>
      <w:r w:rsidR="00D919B8" w:rsidRPr="0009699E">
        <w:rPr>
          <w:rFonts w:cs="Arial"/>
          <w:lang w:val="en-NZ"/>
        </w:rPr>
        <w:t xml:space="preserve"> to </w:t>
      </w:r>
      <w:r w:rsidRPr="0009699E">
        <w:rPr>
          <w:rFonts w:cs="Arial"/>
          <w:lang w:val="en-NZ"/>
        </w:rPr>
        <w:t>help the permanent Commission</w:t>
      </w:r>
      <w:r w:rsidR="001648E5" w:rsidRPr="0009699E">
        <w:rPr>
          <w:rFonts w:cs="Arial"/>
          <w:lang w:val="en-NZ"/>
        </w:rPr>
        <w:t xml:space="preserve"> </w:t>
      </w:r>
      <w:r w:rsidR="00F360DD" w:rsidRPr="0009699E">
        <w:rPr>
          <w:rFonts w:cs="Arial"/>
          <w:lang w:val="en-NZ"/>
        </w:rPr>
        <w:t xml:space="preserve">promote alignment </w:t>
      </w:r>
      <w:r w:rsidR="001648E5" w:rsidRPr="0009699E">
        <w:rPr>
          <w:rFonts w:cs="Arial"/>
          <w:lang w:val="en-NZ"/>
        </w:rPr>
        <w:t xml:space="preserve">and </w:t>
      </w:r>
      <w:r w:rsidRPr="0009699E">
        <w:rPr>
          <w:rFonts w:cs="Arial"/>
          <w:lang w:val="en-NZ"/>
        </w:rPr>
        <w:t>assess</w:t>
      </w:r>
      <w:r w:rsidR="00217F88" w:rsidRPr="0009699E">
        <w:rPr>
          <w:rFonts w:cs="Arial"/>
          <w:lang w:val="en-NZ"/>
        </w:rPr>
        <w:t>,</w:t>
      </w:r>
      <w:r w:rsidR="00E51099" w:rsidRPr="0009699E">
        <w:rPr>
          <w:rFonts w:cs="Arial"/>
          <w:lang w:val="en-NZ"/>
        </w:rPr>
        <w:t xml:space="preserve"> report and</w:t>
      </w:r>
      <w:r w:rsidR="00D919B8" w:rsidRPr="0009699E">
        <w:rPr>
          <w:rFonts w:cs="Arial"/>
          <w:lang w:val="en-NZ"/>
        </w:rPr>
        <w:t xml:space="preserve"> </w:t>
      </w:r>
      <w:r w:rsidR="00E51099" w:rsidRPr="0009699E">
        <w:rPr>
          <w:rFonts w:cs="Arial"/>
          <w:lang w:val="en-NZ"/>
        </w:rPr>
        <w:t>advocate for</w:t>
      </w:r>
      <w:r w:rsidR="00D919B8" w:rsidRPr="0009699E">
        <w:rPr>
          <w:rFonts w:cs="Arial"/>
          <w:lang w:val="en-NZ"/>
        </w:rPr>
        <w:t xml:space="preserve"> improved </w:t>
      </w:r>
      <w:r w:rsidR="00BC2793" w:rsidRPr="0009699E">
        <w:rPr>
          <w:rFonts w:cs="Arial"/>
          <w:lang w:val="en-NZ"/>
        </w:rPr>
        <w:t xml:space="preserve">wellbeing </w:t>
      </w:r>
      <w:r w:rsidR="00D919B8" w:rsidRPr="0009699E">
        <w:rPr>
          <w:rFonts w:cs="Arial"/>
          <w:lang w:val="en-NZ"/>
        </w:rPr>
        <w:t>outcomes for Aotearoa</w:t>
      </w:r>
      <w:r w:rsidR="00814988" w:rsidRPr="0009699E">
        <w:rPr>
          <w:rFonts w:cs="Arial"/>
          <w:lang w:val="en-NZ"/>
        </w:rPr>
        <w:t xml:space="preserve">. </w:t>
      </w:r>
    </w:p>
    <w:p w14:paraId="71D60663" w14:textId="5F4F05ED" w:rsidR="00B23960" w:rsidRPr="0009699E" w:rsidRDefault="00B23960" w:rsidP="008E6A7C">
      <w:pPr>
        <w:spacing w:after="120"/>
        <w:rPr>
          <w:rFonts w:cs="Arial"/>
          <w:lang w:val="en-NZ"/>
        </w:rPr>
      </w:pPr>
      <w:r w:rsidRPr="0009699E">
        <w:rPr>
          <w:rFonts w:cs="Arial"/>
          <w:lang w:val="en-NZ"/>
        </w:rPr>
        <w:t xml:space="preserve">We </w:t>
      </w:r>
      <w:r w:rsidR="00FA3318" w:rsidRPr="0009699E">
        <w:rPr>
          <w:rFonts w:cs="Arial"/>
          <w:lang w:val="en-NZ"/>
        </w:rPr>
        <w:t>are now</w:t>
      </w:r>
      <w:r w:rsidRPr="0009699E">
        <w:rPr>
          <w:rFonts w:cs="Arial"/>
          <w:lang w:val="en-NZ"/>
        </w:rPr>
        <w:t xml:space="preserve"> developing a</w:t>
      </w:r>
      <w:r w:rsidR="00832A4F" w:rsidRPr="0009699E">
        <w:rPr>
          <w:rFonts w:cs="Arial"/>
          <w:lang w:val="en-NZ"/>
        </w:rPr>
        <w:t xml:space="preserve"> separate but</w:t>
      </w:r>
      <w:r w:rsidRPr="0009699E">
        <w:rPr>
          <w:rFonts w:cs="Arial"/>
          <w:lang w:val="en-NZ"/>
        </w:rPr>
        <w:t xml:space="preserve"> interconnected</w:t>
      </w:r>
      <w:r w:rsidR="000C64D0" w:rsidRPr="0009699E">
        <w:rPr>
          <w:rFonts w:cs="Arial"/>
          <w:lang w:val="en-NZ"/>
        </w:rPr>
        <w:t xml:space="preserve"> </w:t>
      </w:r>
      <w:r w:rsidR="00CF3317" w:rsidRPr="0009699E">
        <w:rPr>
          <w:rFonts w:cs="Arial"/>
          <w:i/>
          <w:lang w:val="en-NZ"/>
        </w:rPr>
        <w:t xml:space="preserve">He Ara </w:t>
      </w:r>
      <w:r w:rsidR="00733155" w:rsidRPr="0009699E">
        <w:rPr>
          <w:rFonts w:cs="Arial"/>
          <w:i/>
          <w:lang w:val="en-NZ"/>
        </w:rPr>
        <w:t>Ā</w:t>
      </w:r>
      <w:r w:rsidR="00CF3317" w:rsidRPr="0009699E">
        <w:rPr>
          <w:rFonts w:cs="Arial"/>
          <w:i/>
          <w:lang w:val="en-NZ"/>
        </w:rPr>
        <w:t>whina</w:t>
      </w:r>
      <w:r w:rsidR="000C64D0" w:rsidRPr="0009699E">
        <w:rPr>
          <w:rFonts w:cs="Arial"/>
          <w:i/>
          <w:lang w:val="en-NZ"/>
        </w:rPr>
        <w:t xml:space="preserve"> </w:t>
      </w:r>
      <w:r w:rsidR="007A4EA6" w:rsidRPr="0009699E">
        <w:rPr>
          <w:rFonts w:cs="Arial"/>
          <w:i/>
          <w:lang w:val="en-NZ"/>
        </w:rPr>
        <w:t xml:space="preserve">Service-Level </w:t>
      </w:r>
      <w:r w:rsidR="00CF3317" w:rsidRPr="0009699E">
        <w:rPr>
          <w:rFonts w:cs="Arial"/>
          <w:i/>
          <w:lang w:val="en-NZ"/>
        </w:rPr>
        <w:t>M</w:t>
      </w:r>
      <w:r w:rsidR="000C64D0" w:rsidRPr="0009699E">
        <w:rPr>
          <w:rFonts w:cs="Arial"/>
          <w:i/>
          <w:lang w:val="en-NZ"/>
        </w:rPr>
        <w:t>onitoring</w:t>
      </w:r>
      <w:r w:rsidRPr="0009699E">
        <w:rPr>
          <w:rFonts w:cs="Arial"/>
          <w:i/>
          <w:lang w:val="en-NZ"/>
        </w:rPr>
        <w:t xml:space="preserve"> </w:t>
      </w:r>
      <w:r w:rsidR="00CF3317" w:rsidRPr="0009699E">
        <w:rPr>
          <w:rFonts w:cs="Arial"/>
          <w:i/>
          <w:lang w:val="en-NZ"/>
        </w:rPr>
        <w:t>F</w:t>
      </w:r>
      <w:r w:rsidRPr="0009699E">
        <w:rPr>
          <w:rFonts w:cs="Arial"/>
          <w:i/>
          <w:lang w:val="en-NZ"/>
        </w:rPr>
        <w:t>ramework</w:t>
      </w:r>
      <w:r w:rsidRPr="0009699E">
        <w:rPr>
          <w:rFonts w:cs="Arial"/>
          <w:lang w:val="en-NZ"/>
        </w:rPr>
        <w:t xml:space="preserve"> to </w:t>
      </w:r>
      <w:r w:rsidR="00E51099" w:rsidRPr="0009699E">
        <w:rPr>
          <w:rFonts w:cs="Arial"/>
          <w:lang w:val="en-NZ"/>
        </w:rPr>
        <w:t xml:space="preserve">support the permanent Commission’s function to </w:t>
      </w:r>
      <w:r w:rsidR="00F360DD" w:rsidRPr="0009699E">
        <w:rPr>
          <w:rFonts w:cs="Arial"/>
          <w:lang w:val="en-NZ"/>
        </w:rPr>
        <w:t>“</w:t>
      </w:r>
      <w:r w:rsidRPr="0009699E">
        <w:rPr>
          <w:rFonts w:cs="Arial"/>
          <w:lang w:val="en-NZ"/>
        </w:rPr>
        <w:t xml:space="preserve">monitor mental health </w:t>
      </w:r>
      <w:r w:rsidR="00E51099" w:rsidRPr="0009699E">
        <w:rPr>
          <w:rFonts w:cs="Arial"/>
          <w:lang w:val="en-NZ"/>
        </w:rPr>
        <w:t xml:space="preserve">services </w:t>
      </w:r>
      <w:r w:rsidRPr="0009699E">
        <w:rPr>
          <w:rFonts w:cs="Arial"/>
          <w:lang w:val="en-NZ"/>
        </w:rPr>
        <w:t>and addiction services</w:t>
      </w:r>
      <w:r w:rsidR="00F360DD" w:rsidRPr="0009699E">
        <w:rPr>
          <w:rFonts w:cs="Arial"/>
          <w:lang w:val="en-NZ"/>
        </w:rPr>
        <w:t xml:space="preserve"> and to advocate improvements to those services”</w:t>
      </w:r>
      <w:r w:rsidR="00E51099" w:rsidRPr="0009699E">
        <w:rPr>
          <w:rFonts w:cs="Arial"/>
          <w:lang w:val="en-NZ"/>
        </w:rPr>
        <w:t xml:space="preserve"> (s11(1)(e)</w:t>
      </w:r>
      <w:r w:rsidR="00007D04" w:rsidRPr="0009699E">
        <w:rPr>
          <w:rFonts w:cs="Arial"/>
          <w:lang w:val="en-NZ"/>
        </w:rPr>
        <w:t xml:space="preserve"> Mental Health and Wellbeing Commission Act 2020 (the Act)</w:t>
      </w:r>
      <w:r w:rsidR="008D05B1" w:rsidRPr="0009699E">
        <w:rPr>
          <w:rFonts w:cs="Arial"/>
          <w:lang w:val="en-NZ"/>
        </w:rPr>
        <w:t>).</w:t>
      </w:r>
      <w:r w:rsidR="000C64D0" w:rsidRPr="0009699E">
        <w:rPr>
          <w:rFonts w:cs="Arial"/>
          <w:lang w:val="en-NZ"/>
        </w:rPr>
        <w:t xml:space="preserve"> This </w:t>
      </w:r>
      <w:r w:rsidR="00F360DD" w:rsidRPr="0009699E">
        <w:rPr>
          <w:rFonts w:cs="Arial"/>
          <w:lang w:val="en-NZ"/>
        </w:rPr>
        <w:t xml:space="preserve">function </w:t>
      </w:r>
      <w:r w:rsidR="000C64D0" w:rsidRPr="0009699E">
        <w:rPr>
          <w:rFonts w:cs="Arial"/>
          <w:lang w:val="en-NZ"/>
        </w:rPr>
        <w:t>is transfer</w:t>
      </w:r>
      <w:r w:rsidR="00F360DD" w:rsidRPr="0009699E">
        <w:rPr>
          <w:rFonts w:cs="Arial"/>
          <w:lang w:val="en-NZ"/>
        </w:rPr>
        <w:t>red</w:t>
      </w:r>
      <w:r w:rsidR="000C64D0" w:rsidRPr="0009699E">
        <w:rPr>
          <w:rFonts w:cs="Arial"/>
          <w:lang w:val="en-NZ"/>
        </w:rPr>
        <w:t xml:space="preserve"> </w:t>
      </w:r>
      <w:r w:rsidR="00F360DD" w:rsidRPr="0009699E">
        <w:rPr>
          <w:rFonts w:cs="Arial"/>
          <w:lang w:val="en-NZ"/>
        </w:rPr>
        <w:t xml:space="preserve">from the </w:t>
      </w:r>
      <w:r w:rsidR="000C64D0" w:rsidRPr="0009699E">
        <w:rPr>
          <w:rFonts w:cs="Arial"/>
          <w:lang w:val="en-NZ"/>
        </w:rPr>
        <w:t>Health and Disability Commissioner Act 1994.</w:t>
      </w:r>
      <w:r w:rsidR="006A61D4" w:rsidRPr="0009699E">
        <w:rPr>
          <w:rFonts w:cs="Arial"/>
          <w:lang w:val="en-NZ"/>
        </w:rPr>
        <w:t xml:space="preserve"> We note that </w:t>
      </w:r>
      <w:r w:rsidR="0071713F" w:rsidRPr="0009699E">
        <w:rPr>
          <w:rFonts w:cs="Arial"/>
          <w:lang w:val="en-NZ"/>
        </w:rPr>
        <w:t xml:space="preserve">the permanent Commission </w:t>
      </w:r>
      <w:r w:rsidR="00D50DF0" w:rsidRPr="0009699E">
        <w:rPr>
          <w:rFonts w:cs="Arial"/>
          <w:lang w:val="en-NZ"/>
        </w:rPr>
        <w:t>will</w:t>
      </w:r>
      <w:r w:rsidR="0071713F" w:rsidRPr="0009699E">
        <w:rPr>
          <w:rFonts w:cs="Arial"/>
          <w:lang w:val="en-NZ"/>
        </w:rPr>
        <w:t xml:space="preserve"> also assess, repor</w:t>
      </w:r>
      <w:r w:rsidR="00D50DF0" w:rsidRPr="0009699E">
        <w:rPr>
          <w:rFonts w:cs="Arial"/>
          <w:lang w:val="en-NZ"/>
        </w:rPr>
        <w:t>t</w:t>
      </w:r>
      <w:r w:rsidR="0071713F" w:rsidRPr="0009699E">
        <w:rPr>
          <w:rFonts w:cs="Arial"/>
          <w:lang w:val="en-NZ"/>
        </w:rPr>
        <w:t xml:space="preserve"> and mak</w:t>
      </w:r>
      <w:r w:rsidR="00FF02B4" w:rsidRPr="0009699E">
        <w:rPr>
          <w:rFonts w:cs="Arial"/>
          <w:lang w:val="en-NZ"/>
        </w:rPr>
        <w:t>e</w:t>
      </w:r>
      <w:r w:rsidR="0071713F" w:rsidRPr="0009699E">
        <w:rPr>
          <w:rFonts w:cs="Arial"/>
          <w:lang w:val="en-NZ"/>
        </w:rPr>
        <w:t xml:space="preserve"> recommendations </w:t>
      </w:r>
      <w:r w:rsidR="00732302" w:rsidRPr="0009699E">
        <w:rPr>
          <w:rFonts w:cs="Arial"/>
          <w:lang w:val="en-NZ"/>
        </w:rPr>
        <w:t>in</w:t>
      </w:r>
      <w:r w:rsidR="0071713F" w:rsidRPr="0009699E">
        <w:rPr>
          <w:rFonts w:cs="Arial"/>
          <w:lang w:val="en-NZ"/>
        </w:rPr>
        <w:t xml:space="preserve"> relation to</w:t>
      </w:r>
      <w:r w:rsidR="009028BC" w:rsidRPr="0009699E">
        <w:rPr>
          <w:rFonts w:cs="Arial"/>
          <w:lang w:val="en-NZ"/>
        </w:rPr>
        <w:t xml:space="preserve"> approaches and </w:t>
      </w:r>
      <w:r w:rsidR="00EA7800" w:rsidRPr="0009699E">
        <w:rPr>
          <w:rFonts w:cs="Arial"/>
          <w:lang w:val="en-NZ"/>
        </w:rPr>
        <w:t xml:space="preserve">factors that </w:t>
      </w:r>
      <w:r w:rsidR="009028BC" w:rsidRPr="0009699E">
        <w:rPr>
          <w:rFonts w:cs="Arial"/>
          <w:lang w:val="en-NZ"/>
        </w:rPr>
        <w:t>support</w:t>
      </w:r>
      <w:r w:rsidR="00EA7800" w:rsidRPr="0009699E">
        <w:rPr>
          <w:rFonts w:cs="Arial"/>
          <w:lang w:val="en-NZ"/>
        </w:rPr>
        <w:t xml:space="preserve"> mental </w:t>
      </w:r>
      <w:r w:rsidR="0091536D" w:rsidRPr="0009699E">
        <w:rPr>
          <w:rFonts w:cs="Arial"/>
          <w:lang w:val="en-NZ"/>
        </w:rPr>
        <w:t>h</w:t>
      </w:r>
      <w:r w:rsidR="00EA7800" w:rsidRPr="0009699E">
        <w:rPr>
          <w:rFonts w:cs="Arial"/>
          <w:lang w:val="en-NZ"/>
        </w:rPr>
        <w:t>ealth and wellbeing</w:t>
      </w:r>
      <w:r w:rsidR="00D154CD" w:rsidRPr="0009699E">
        <w:rPr>
          <w:rFonts w:cs="Arial"/>
          <w:lang w:val="en-NZ"/>
        </w:rPr>
        <w:t xml:space="preserve"> (not just mental health and addiction services)</w:t>
      </w:r>
      <w:r w:rsidR="00C90A41" w:rsidRPr="0009699E">
        <w:rPr>
          <w:rFonts w:cs="Arial"/>
          <w:lang w:val="en-NZ"/>
        </w:rPr>
        <w:t xml:space="preserve"> – </w:t>
      </w:r>
      <w:r w:rsidR="002E4312" w:rsidRPr="0009699E">
        <w:rPr>
          <w:rFonts w:cs="Arial"/>
          <w:lang w:val="en-NZ"/>
        </w:rPr>
        <w:t>these functions are out of scop</w:t>
      </w:r>
      <w:r w:rsidR="00671198" w:rsidRPr="0009699E">
        <w:rPr>
          <w:rFonts w:cs="Arial"/>
          <w:lang w:val="en-NZ"/>
        </w:rPr>
        <w:t>e</w:t>
      </w:r>
      <w:r w:rsidR="002E4312" w:rsidRPr="0009699E">
        <w:rPr>
          <w:rFonts w:cs="Arial"/>
          <w:lang w:val="en-NZ"/>
        </w:rPr>
        <w:t xml:space="preserve"> of </w:t>
      </w:r>
      <w:r w:rsidR="006A6ABB" w:rsidRPr="0009699E">
        <w:rPr>
          <w:rFonts w:cs="Arial"/>
          <w:lang w:val="en-NZ"/>
        </w:rPr>
        <w:t xml:space="preserve">the </w:t>
      </w:r>
      <w:r w:rsidR="00671198" w:rsidRPr="0009699E">
        <w:rPr>
          <w:rFonts w:cs="Arial"/>
          <w:i/>
          <w:lang w:val="en-NZ"/>
        </w:rPr>
        <w:t xml:space="preserve">He Ara </w:t>
      </w:r>
      <w:r w:rsidR="00316242" w:rsidRPr="0009699E">
        <w:rPr>
          <w:rFonts w:cs="Arial"/>
          <w:i/>
          <w:lang w:val="en-NZ"/>
        </w:rPr>
        <w:t>Ā</w:t>
      </w:r>
      <w:r w:rsidR="00671198" w:rsidRPr="0009699E">
        <w:rPr>
          <w:rFonts w:cs="Arial"/>
          <w:i/>
          <w:lang w:val="en-NZ"/>
        </w:rPr>
        <w:t>whina</w:t>
      </w:r>
      <w:r w:rsidR="006A6ABB" w:rsidRPr="0009699E">
        <w:rPr>
          <w:rFonts w:cs="Arial"/>
          <w:i/>
          <w:lang w:val="en-NZ"/>
        </w:rPr>
        <w:t xml:space="preserve"> Service-Level Monitoring Framework</w:t>
      </w:r>
      <w:r w:rsidR="00316242" w:rsidRPr="0009699E">
        <w:rPr>
          <w:rFonts w:cs="Arial"/>
          <w:i/>
          <w:lang w:val="en-NZ"/>
        </w:rPr>
        <w:t xml:space="preserve"> </w:t>
      </w:r>
      <w:r w:rsidR="00316242" w:rsidRPr="0009699E">
        <w:rPr>
          <w:rFonts w:cs="Arial"/>
          <w:lang w:val="en-NZ"/>
        </w:rPr>
        <w:t>and will be addressed by the Commission separately.</w:t>
      </w:r>
      <w:r w:rsidR="001D46F6" w:rsidRPr="0009699E">
        <w:rPr>
          <w:rFonts w:cs="Arial"/>
          <w:lang w:val="en-NZ"/>
        </w:rPr>
        <w:t xml:space="preserve"> </w:t>
      </w:r>
      <w:r w:rsidR="00891A08" w:rsidRPr="0009699E">
        <w:rPr>
          <w:rFonts w:cs="Arial"/>
          <w:lang w:val="en-NZ"/>
        </w:rPr>
        <w:t xml:space="preserve"> </w:t>
      </w:r>
    </w:p>
    <w:p w14:paraId="3ABFF016" w14:textId="2BF37407" w:rsidR="00234BF9" w:rsidRPr="008874DE" w:rsidRDefault="00B447A5" w:rsidP="008E6A7C">
      <w:pPr>
        <w:rPr>
          <w:rFonts w:cs="Arial"/>
          <w:lang w:val="en-NZ"/>
        </w:rPr>
      </w:pPr>
      <w:r w:rsidRPr="008874DE">
        <w:rPr>
          <w:rFonts w:cs="Arial"/>
          <w:lang w:val="en-NZ"/>
        </w:rPr>
        <w:t xml:space="preserve">We are seeking your views </w:t>
      </w:r>
      <w:r w:rsidR="00374783" w:rsidRPr="008874DE">
        <w:rPr>
          <w:rFonts w:cs="Arial"/>
          <w:lang w:val="en-NZ"/>
        </w:rPr>
        <w:t xml:space="preserve">on three foundational questions </w:t>
      </w:r>
      <w:r w:rsidRPr="008874DE">
        <w:rPr>
          <w:rFonts w:cs="Arial"/>
          <w:lang w:val="en-NZ"/>
        </w:rPr>
        <w:t>to shape expectations</w:t>
      </w:r>
      <w:r w:rsidR="00374783" w:rsidRPr="008874DE">
        <w:rPr>
          <w:rFonts w:cs="Arial"/>
          <w:lang w:val="en-NZ"/>
        </w:rPr>
        <w:t xml:space="preserve"> for and </w:t>
      </w:r>
      <w:r w:rsidR="00FA3318" w:rsidRPr="008874DE">
        <w:rPr>
          <w:rFonts w:cs="Arial"/>
          <w:lang w:val="en-NZ"/>
        </w:rPr>
        <w:t xml:space="preserve">the </w:t>
      </w:r>
      <w:r w:rsidR="0044053B" w:rsidRPr="008874DE">
        <w:rPr>
          <w:rFonts w:cs="Arial"/>
          <w:lang w:val="en-NZ"/>
        </w:rPr>
        <w:t>approach</w:t>
      </w:r>
      <w:r w:rsidR="00EB56C1" w:rsidRPr="008874DE">
        <w:rPr>
          <w:rFonts w:cs="Arial"/>
          <w:lang w:val="en-NZ"/>
        </w:rPr>
        <w:t xml:space="preserve"> to</w:t>
      </w:r>
      <w:r w:rsidR="00374783" w:rsidRPr="008874DE">
        <w:rPr>
          <w:rFonts w:cs="Arial"/>
          <w:lang w:val="en-NZ"/>
        </w:rPr>
        <w:t xml:space="preserve"> the </w:t>
      </w:r>
      <w:r w:rsidR="007A4EA6" w:rsidRPr="0009699E">
        <w:rPr>
          <w:rFonts w:cs="Arial"/>
          <w:i/>
          <w:lang w:val="en-NZ"/>
        </w:rPr>
        <w:t>He Ara Āwhina Service-Level Monitoring Framework</w:t>
      </w:r>
      <w:r w:rsidR="00234BF9" w:rsidRPr="008874DE">
        <w:rPr>
          <w:rFonts w:cs="Arial"/>
          <w:lang w:val="en-NZ"/>
        </w:rPr>
        <w:t>:</w:t>
      </w:r>
    </w:p>
    <w:p w14:paraId="0C307564" w14:textId="5B405CD2" w:rsidR="004A0ADB" w:rsidRPr="0009699E" w:rsidRDefault="007A4EA6" w:rsidP="002F5E93">
      <w:pPr>
        <w:pStyle w:val="ListParagraph"/>
        <w:numPr>
          <w:ilvl w:val="0"/>
          <w:numId w:val="3"/>
        </w:numPr>
        <w:spacing w:line="259" w:lineRule="auto"/>
        <w:rPr>
          <w:lang w:val="en-NZ"/>
        </w:rPr>
      </w:pPr>
      <w:r w:rsidRPr="0009699E">
        <w:rPr>
          <w:b/>
          <w:lang w:val="en-NZ"/>
        </w:rPr>
        <w:t xml:space="preserve">Why monitor </w:t>
      </w:r>
      <w:r w:rsidR="006329B3" w:rsidRPr="0009699E">
        <w:rPr>
          <w:b/>
          <w:lang w:val="en-NZ"/>
        </w:rPr>
        <w:t>services?</w:t>
      </w:r>
      <w:r w:rsidR="0024401B" w:rsidRPr="0009699E">
        <w:rPr>
          <w:b/>
          <w:lang w:val="en-NZ"/>
        </w:rPr>
        <w:t xml:space="preserve"> </w:t>
      </w:r>
      <w:r w:rsidR="006329B3" w:rsidRPr="0009699E">
        <w:rPr>
          <w:lang w:val="en-NZ"/>
        </w:rPr>
        <w:t>W</w:t>
      </w:r>
      <w:r w:rsidR="008D05B1" w:rsidRPr="0009699E">
        <w:rPr>
          <w:lang w:val="en-NZ"/>
        </w:rPr>
        <w:t>hat do you see as the</w:t>
      </w:r>
      <w:r w:rsidR="0024401B" w:rsidRPr="0009699E">
        <w:rPr>
          <w:lang w:val="en-NZ"/>
        </w:rPr>
        <w:t xml:space="preserve"> value </w:t>
      </w:r>
      <w:r w:rsidR="000C4E9D" w:rsidRPr="0009699E">
        <w:rPr>
          <w:lang w:val="en-NZ"/>
        </w:rPr>
        <w:t>and desired impact of the Commission</w:t>
      </w:r>
      <w:r w:rsidR="000C7212" w:rsidRPr="0009699E">
        <w:rPr>
          <w:lang w:val="en-NZ"/>
        </w:rPr>
        <w:t xml:space="preserve">’s function </w:t>
      </w:r>
      <w:r w:rsidR="00A93C60" w:rsidRPr="0009699E">
        <w:rPr>
          <w:lang w:val="en-NZ"/>
        </w:rPr>
        <w:t>to</w:t>
      </w:r>
      <w:r w:rsidR="000C4E9D" w:rsidRPr="0009699E">
        <w:rPr>
          <w:lang w:val="en-NZ"/>
        </w:rPr>
        <w:t xml:space="preserve"> monitor mental health services and addiction services and advocat</w:t>
      </w:r>
      <w:r w:rsidR="000C7212" w:rsidRPr="0009699E">
        <w:rPr>
          <w:lang w:val="en-NZ"/>
        </w:rPr>
        <w:t>e</w:t>
      </w:r>
      <w:r w:rsidR="000C4E9D" w:rsidRPr="0009699E">
        <w:rPr>
          <w:lang w:val="en-NZ"/>
        </w:rPr>
        <w:t xml:space="preserve"> for improvement to those services</w:t>
      </w:r>
      <w:r w:rsidR="007032FD" w:rsidRPr="0009699E">
        <w:rPr>
          <w:lang w:val="en-NZ"/>
        </w:rPr>
        <w:t>?</w:t>
      </w:r>
    </w:p>
    <w:p w14:paraId="706A5A06" w14:textId="4F35B85C" w:rsidR="00234BF9" w:rsidRPr="0009699E" w:rsidRDefault="00A93C60" w:rsidP="002F5E93">
      <w:pPr>
        <w:pStyle w:val="ListParagraph"/>
        <w:numPr>
          <w:ilvl w:val="0"/>
          <w:numId w:val="3"/>
        </w:numPr>
        <w:spacing w:line="259" w:lineRule="auto"/>
        <w:rPr>
          <w:lang w:val="en-NZ"/>
        </w:rPr>
      </w:pPr>
      <w:r w:rsidRPr="0009699E">
        <w:rPr>
          <w:b/>
          <w:lang w:val="en-NZ"/>
        </w:rPr>
        <w:t>Monitor what?</w:t>
      </w:r>
      <w:r w:rsidR="00B51313" w:rsidRPr="0009699E">
        <w:rPr>
          <w:b/>
          <w:lang w:val="en-NZ"/>
        </w:rPr>
        <w:t xml:space="preserve"> </w:t>
      </w:r>
      <w:r w:rsidRPr="0009699E">
        <w:rPr>
          <w:lang w:val="en-NZ"/>
        </w:rPr>
        <w:t>W</w:t>
      </w:r>
      <w:r w:rsidR="00DD776A" w:rsidRPr="0009699E">
        <w:rPr>
          <w:lang w:val="en-NZ"/>
        </w:rPr>
        <w:t>hat should be inc</w:t>
      </w:r>
      <w:r w:rsidR="007032FD" w:rsidRPr="0009699E">
        <w:rPr>
          <w:lang w:val="en-NZ"/>
        </w:rPr>
        <w:t>l</w:t>
      </w:r>
      <w:r w:rsidR="00DD776A" w:rsidRPr="0009699E">
        <w:rPr>
          <w:lang w:val="en-NZ"/>
        </w:rPr>
        <w:t>uded as a</w:t>
      </w:r>
      <w:r w:rsidR="00234BF9" w:rsidRPr="0009699E">
        <w:rPr>
          <w:lang w:val="en-NZ"/>
        </w:rPr>
        <w:t xml:space="preserve"> mental health </w:t>
      </w:r>
      <w:r w:rsidR="004514EE" w:rsidRPr="0009699E">
        <w:rPr>
          <w:lang w:val="en-NZ"/>
        </w:rPr>
        <w:t xml:space="preserve">service </w:t>
      </w:r>
      <w:r w:rsidR="00234BF9" w:rsidRPr="0009699E">
        <w:rPr>
          <w:lang w:val="en-NZ"/>
        </w:rPr>
        <w:t xml:space="preserve">and </w:t>
      </w:r>
      <w:r w:rsidR="004514EE" w:rsidRPr="0009699E">
        <w:rPr>
          <w:lang w:val="en-NZ"/>
        </w:rPr>
        <w:t>addiction service for the purpose of the Commission’s</w:t>
      </w:r>
      <w:r w:rsidR="00F360DD" w:rsidRPr="0009699E">
        <w:rPr>
          <w:lang w:val="en-NZ"/>
        </w:rPr>
        <w:t xml:space="preserve"> s11(1)(e)</w:t>
      </w:r>
      <w:r w:rsidR="00DA5DF7" w:rsidRPr="0009699E">
        <w:rPr>
          <w:lang w:val="en-NZ"/>
        </w:rPr>
        <w:t xml:space="preserve"> </w:t>
      </w:r>
      <w:r w:rsidR="008B4D3F" w:rsidRPr="0009699E">
        <w:rPr>
          <w:lang w:val="en-NZ"/>
        </w:rPr>
        <w:t xml:space="preserve">function to </w:t>
      </w:r>
      <w:r w:rsidR="00F360DD" w:rsidRPr="0009699E">
        <w:rPr>
          <w:lang w:val="en-NZ"/>
        </w:rPr>
        <w:t>monitor and advoca</w:t>
      </w:r>
      <w:r w:rsidR="008B4D3F" w:rsidRPr="0009699E">
        <w:rPr>
          <w:lang w:val="en-NZ"/>
        </w:rPr>
        <w:t>te for service improvement</w:t>
      </w:r>
      <w:r w:rsidR="00E67B54" w:rsidRPr="0009699E">
        <w:rPr>
          <w:lang w:val="en-NZ"/>
        </w:rPr>
        <w:t>?</w:t>
      </w:r>
      <w:r w:rsidR="00F360DD" w:rsidRPr="0009699E">
        <w:rPr>
          <w:lang w:val="en-NZ"/>
        </w:rPr>
        <w:t xml:space="preserve"> </w:t>
      </w:r>
    </w:p>
    <w:p w14:paraId="3AD1EBFA" w14:textId="0708E89B" w:rsidR="00FA3318" w:rsidRPr="0009699E" w:rsidRDefault="00A13719" w:rsidP="002F5E93">
      <w:pPr>
        <w:pStyle w:val="ListParagraph"/>
        <w:numPr>
          <w:ilvl w:val="0"/>
          <w:numId w:val="3"/>
        </w:numPr>
        <w:spacing w:line="259" w:lineRule="auto"/>
        <w:rPr>
          <w:lang w:val="en-NZ"/>
        </w:rPr>
      </w:pPr>
      <w:r w:rsidRPr="0009699E">
        <w:rPr>
          <w:b/>
          <w:lang w:val="en-NZ"/>
        </w:rPr>
        <w:t>How</w:t>
      </w:r>
      <w:r w:rsidR="00800F3F">
        <w:rPr>
          <w:b/>
          <w:lang w:val="en-NZ"/>
        </w:rPr>
        <w:t xml:space="preserve"> to</w:t>
      </w:r>
      <w:r w:rsidRPr="0009699E">
        <w:rPr>
          <w:b/>
          <w:lang w:val="en-NZ"/>
        </w:rPr>
        <w:t xml:space="preserve"> monitor?</w:t>
      </w:r>
      <w:r w:rsidR="00BA5979" w:rsidRPr="0009699E">
        <w:rPr>
          <w:b/>
          <w:lang w:val="en-NZ"/>
        </w:rPr>
        <w:t xml:space="preserve"> </w:t>
      </w:r>
      <w:r w:rsidR="00844247" w:rsidRPr="0009699E">
        <w:rPr>
          <w:lang w:val="en-NZ"/>
        </w:rPr>
        <w:t>I</w:t>
      </w:r>
      <w:r w:rsidR="00E67B54" w:rsidRPr="0009699E">
        <w:rPr>
          <w:lang w:val="en-NZ"/>
        </w:rPr>
        <w:t>s the current</w:t>
      </w:r>
      <w:r w:rsidR="00DA5DF7" w:rsidRPr="0009699E">
        <w:rPr>
          <w:lang w:val="en-NZ"/>
        </w:rPr>
        <w:t xml:space="preserve"> </w:t>
      </w:r>
      <w:hyperlink r:id="rId12" w:history="1">
        <w:r w:rsidR="00DA5DF7" w:rsidRPr="0009699E">
          <w:rPr>
            <w:rStyle w:val="Hyperlink"/>
            <w:i/>
            <w:lang w:val="en-NZ"/>
          </w:rPr>
          <w:t>Mental Health Commissioner’s M</w:t>
        </w:r>
        <w:r w:rsidR="00F360DD" w:rsidRPr="0009699E">
          <w:rPr>
            <w:rStyle w:val="Hyperlink"/>
            <w:i/>
            <w:lang w:val="en-NZ"/>
          </w:rPr>
          <w:t xml:space="preserve">ental </w:t>
        </w:r>
        <w:r w:rsidR="00DA5DF7" w:rsidRPr="0009699E">
          <w:rPr>
            <w:rStyle w:val="Hyperlink"/>
            <w:i/>
            <w:lang w:val="en-NZ"/>
          </w:rPr>
          <w:t>H</w:t>
        </w:r>
        <w:r w:rsidR="00F360DD" w:rsidRPr="0009699E">
          <w:rPr>
            <w:rStyle w:val="Hyperlink"/>
            <w:i/>
            <w:lang w:val="en-NZ"/>
          </w:rPr>
          <w:t xml:space="preserve">ealth </w:t>
        </w:r>
        <w:r w:rsidR="00DA5DF7" w:rsidRPr="0009699E">
          <w:rPr>
            <w:rStyle w:val="Hyperlink"/>
            <w:i/>
            <w:lang w:val="en-NZ"/>
          </w:rPr>
          <w:t>And Addiction Services</w:t>
        </w:r>
        <w:r w:rsidR="00F360DD" w:rsidRPr="0009699E">
          <w:rPr>
            <w:rStyle w:val="Hyperlink"/>
            <w:i/>
            <w:lang w:val="en-NZ"/>
          </w:rPr>
          <w:t xml:space="preserve"> </w:t>
        </w:r>
        <w:r w:rsidR="00DA5DF7" w:rsidRPr="0009699E">
          <w:rPr>
            <w:rStyle w:val="Hyperlink"/>
            <w:i/>
            <w:lang w:val="en-NZ"/>
          </w:rPr>
          <w:t>M</w:t>
        </w:r>
        <w:r w:rsidR="00F360DD" w:rsidRPr="0009699E">
          <w:rPr>
            <w:rStyle w:val="Hyperlink"/>
            <w:i/>
            <w:lang w:val="en-NZ"/>
          </w:rPr>
          <w:t xml:space="preserve">onitoring and </w:t>
        </w:r>
        <w:r w:rsidR="00DA5DF7" w:rsidRPr="0009699E">
          <w:rPr>
            <w:rStyle w:val="Hyperlink"/>
            <w:i/>
            <w:lang w:val="en-NZ"/>
          </w:rPr>
          <w:t>A</w:t>
        </w:r>
        <w:r w:rsidR="00F360DD" w:rsidRPr="0009699E">
          <w:rPr>
            <w:rStyle w:val="Hyperlink"/>
            <w:i/>
            <w:lang w:val="en-NZ"/>
          </w:rPr>
          <w:t xml:space="preserve">dvocacy </w:t>
        </w:r>
        <w:r w:rsidR="00DA5DF7" w:rsidRPr="0009699E">
          <w:rPr>
            <w:rStyle w:val="Hyperlink"/>
            <w:i/>
            <w:lang w:val="en-NZ"/>
          </w:rPr>
          <w:t>F</w:t>
        </w:r>
        <w:r w:rsidR="00F360DD" w:rsidRPr="0009699E">
          <w:rPr>
            <w:rStyle w:val="Hyperlink"/>
            <w:i/>
            <w:lang w:val="en-NZ"/>
          </w:rPr>
          <w:t>ramework</w:t>
        </w:r>
      </w:hyperlink>
      <w:r w:rsidR="00F360DD" w:rsidRPr="0009699E">
        <w:rPr>
          <w:lang w:val="en-NZ"/>
        </w:rPr>
        <w:t xml:space="preserve"> ‘fit for purpose’ </w:t>
      </w:r>
      <w:r w:rsidR="00E67B54" w:rsidRPr="0009699E">
        <w:rPr>
          <w:lang w:val="en-NZ"/>
        </w:rPr>
        <w:t>in light of the new</w:t>
      </w:r>
      <w:r w:rsidR="00F360DD" w:rsidRPr="0009699E">
        <w:rPr>
          <w:lang w:val="en-NZ"/>
        </w:rPr>
        <w:t xml:space="preserve"> Commission</w:t>
      </w:r>
      <w:r w:rsidR="00A704B6" w:rsidRPr="0009699E">
        <w:rPr>
          <w:lang w:val="en-NZ"/>
        </w:rPr>
        <w:t>’s objective, functions and context? W</w:t>
      </w:r>
      <w:r w:rsidR="00C414D3" w:rsidRPr="0009699E">
        <w:rPr>
          <w:lang w:val="en-NZ"/>
        </w:rPr>
        <w:t>hat</w:t>
      </w:r>
      <w:r w:rsidR="00234BF9" w:rsidRPr="0009699E">
        <w:rPr>
          <w:lang w:val="en-NZ"/>
        </w:rPr>
        <w:t xml:space="preserve"> </w:t>
      </w:r>
      <w:r w:rsidR="00F360DD" w:rsidRPr="0009699E">
        <w:rPr>
          <w:lang w:val="en-NZ"/>
        </w:rPr>
        <w:t>other</w:t>
      </w:r>
      <w:r w:rsidR="00234BF9" w:rsidRPr="0009699E">
        <w:rPr>
          <w:lang w:val="en-NZ"/>
        </w:rPr>
        <w:t xml:space="preserve"> models</w:t>
      </w:r>
      <w:r w:rsidR="00A704B6" w:rsidRPr="0009699E">
        <w:rPr>
          <w:lang w:val="en-NZ"/>
        </w:rPr>
        <w:t>,</w:t>
      </w:r>
      <w:r w:rsidR="00234BF9" w:rsidRPr="0009699E">
        <w:rPr>
          <w:lang w:val="en-NZ"/>
        </w:rPr>
        <w:t xml:space="preserve"> frameworks </w:t>
      </w:r>
      <w:r w:rsidR="00A704B6" w:rsidRPr="0009699E">
        <w:rPr>
          <w:lang w:val="en-NZ"/>
        </w:rPr>
        <w:t xml:space="preserve">and approaches </w:t>
      </w:r>
      <w:r w:rsidR="00234BF9" w:rsidRPr="0009699E">
        <w:rPr>
          <w:lang w:val="en-NZ"/>
        </w:rPr>
        <w:t>could inform the work</w:t>
      </w:r>
      <w:r w:rsidR="00A704B6" w:rsidRPr="0009699E">
        <w:rPr>
          <w:lang w:val="en-NZ"/>
        </w:rPr>
        <w:t>?</w:t>
      </w:r>
    </w:p>
    <w:p w14:paraId="1C890531" w14:textId="6EB638C4" w:rsidR="001D7C24" w:rsidRPr="0009699E" w:rsidRDefault="008852F2" w:rsidP="008E6A7C">
      <w:pPr>
        <w:spacing w:after="120"/>
        <w:rPr>
          <w:rFonts w:cs="Arial"/>
          <w:lang w:val="en-NZ"/>
        </w:rPr>
      </w:pPr>
      <w:r w:rsidRPr="00144DD2">
        <w:rPr>
          <w:rFonts w:cs="Arial"/>
          <w:lang w:val="en-NZ"/>
        </w:rPr>
        <w:t xml:space="preserve">We </w:t>
      </w:r>
      <w:r w:rsidR="001D7C24" w:rsidRPr="00144DD2">
        <w:rPr>
          <w:rFonts w:cs="Arial"/>
          <w:lang w:val="en-NZ"/>
        </w:rPr>
        <w:t>would like to hear back from you, either</w:t>
      </w:r>
      <w:r w:rsidR="00707A53" w:rsidRPr="00144DD2">
        <w:rPr>
          <w:rFonts w:cs="Arial"/>
          <w:lang w:val="en-NZ"/>
        </w:rPr>
        <w:t>/and</w:t>
      </w:r>
      <w:r w:rsidR="00437487" w:rsidRPr="00144DD2">
        <w:rPr>
          <w:rFonts w:cs="Arial"/>
          <w:lang w:val="en-NZ"/>
        </w:rPr>
        <w:t xml:space="preserve"> by</w:t>
      </w:r>
      <w:r w:rsidR="001D7C24" w:rsidRPr="00144DD2">
        <w:rPr>
          <w:rFonts w:cs="Arial"/>
          <w:lang w:val="en-NZ"/>
        </w:rPr>
        <w:t>:</w:t>
      </w:r>
    </w:p>
    <w:p w14:paraId="3B97E5EA" w14:textId="63834245" w:rsidR="00232CFA" w:rsidRPr="0009699E" w:rsidRDefault="00437487" w:rsidP="008E6A7C">
      <w:pPr>
        <w:pStyle w:val="ListParagraph"/>
        <w:numPr>
          <w:ilvl w:val="0"/>
          <w:numId w:val="2"/>
        </w:numPr>
        <w:spacing w:after="0" w:line="259" w:lineRule="auto"/>
        <w:ind w:left="714" w:hanging="357"/>
        <w:contextualSpacing w:val="0"/>
        <w:rPr>
          <w:lang w:val="en-NZ"/>
        </w:rPr>
      </w:pPr>
      <w:r w:rsidRPr="0009699E">
        <w:rPr>
          <w:lang w:val="en-NZ"/>
        </w:rPr>
        <w:t>e</w:t>
      </w:r>
      <w:r w:rsidR="001D7C24" w:rsidRPr="0009699E">
        <w:rPr>
          <w:lang w:val="en-NZ"/>
        </w:rPr>
        <w:t>mail</w:t>
      </w:r>
      <w:r w:rsidRPr="0009699E">
        <w:rPr>
          <w:lang w:val="en-NZ"/>
        </w:rPr>
        <w:t>ing</w:t>
      </w:r>
      <w:r w:rsidR="001D7C24" w:rsidRPr="0009699E">
        <w:rPr>
          <w:lang w:val="en-NZ"/>
        </w:rPr>
        <w:t xml:space="preserve"> us to set up a time to discuss via Zoom or phone (email: </w:t>
      </w:r>
      <w:hyperlink r:id="rId13" w:history="1">
        <w:r w:rsidR="00232CFA" w:rsidRPr="0009699E">
          <w:rPr>
            <w:rStyle w:val="Hyperlink"/>
            <w:lang w:val="en-NZ"/>
          </w:rPr>
          <w:t>jane.carpenter@mhwc.govt.nz</w:t>
        </w:r>
      </w:hyperlink>
      <w:r w:rsidR="005B72D0" w:rsidRPr="0009699E">
        <w:rPr>
          <w:rStyle w:val="Hyperlink"/>
          <w:lang w:val="en-NZ"/>
        </w:rPr>
        <w:t>;</w:t>
      </w:r>
      <w:r w:rsidR="005B72D0" w:rsidRPr="0009699E">
        <w:rPr>
          <w:lang w:val="en-NZ"/>
        </w:rPr>
        <w:t>MOB</w:t>
      </w:r>
      <w:r w:rsidR="006B4B32" w:rsidRPr="0009699E">
        <w:rPr>
          <w:lang w:val="en-NZ"/>
        </w:rPr>
        <w:t xml:space="preserve">: </w:t>
      </w:r>
      <w:r w:rsidR="006B4B32" w:rsidRPr="0009699E">
        <w:t>021 391 719</w:t>
      </w:r>
      <w:r w:rsidR="003D63B2" w:rsidRPr="0009699E">
        <w:t xml:space="preserve"> </w:t>
      </w:r>
      <w:r w:rsidR="00520A69" w:rsidRPr="0009699E">
        <w:t>Monday</w:t>
      </w:r>
      <w:r w:rsidR="00837C41" w:rsidRPr="0009699E">
        <w:t>-</w:t>
      </w:r>
      <w:r w:rsidR="00520A69" w:rsidRPr="0009699E">
        <w:t>Wednesday</w:t>
      </w:r>
      <w:r w:rsidR="006B4B32" w:rsidRPr="0009699E">
        <w:t>)</w:t>
      </w:r>
    </w:p>
    <w:p w14:paraId="3B33BC04" w14:textId="728C1402" w:rsidR="0027448B" w:rsidRPr="0009699E" w:rsidRDefault="00437487" w:rsidP="008E6A7C">
      <w:pPr>
        <w:pStyle w:val="ListParagraph"/>
        <w:numPr>
          <w:ilvl w:val="0"/>
          <w:numId w:val="2"/>
        </w:numPr>
        <w:spacing w:line="259" w:lineRule="auto"/>
        <w:rPr>
          <w:lang w:val="en-NZ"/>
        </w:rPr>
      </w:pPr>
      <w:r w:rsidRPr="0009699E">
        <w:rPr>
          <w:lang w:val="en-NZ"/>
        </w:rPr>
        <w:t>c</w:t>
      </w:r>
      <w:r w:rsidR="001D7C24" w:rsidRPr="0009699E">
        <w:rPr>
          <w:lang w:val="en-NZ"/>
        </w:rPr>
        <w:t>omplet</w:t>
      </w:r>
      <w:r w:rsidRPr="0009699E">
        <w:rPr>
          <w:lang w:val="en-NZ"/>
        </w:rPr>
        <w:t>ing</w:t>
      </w:r>
      <w:r w:rsidR="001D7C24" w:rsidRPr="0009699E">
        <w:rPr>
          <w:lang w:val="en-NZ"/>
        </w:rPr>
        <w:t xml:space="preserve"> the </w:t>
      </w:r>
      <w:r w:rsidR="000B2CA4" w:rsidRPr="0009699E">
        <w:rPr>
          <w:lang w:val="en-NZ"/>
        </w:rPr>
        <w:t xml:space="preserve">separate </w:t>
      </w:r>
      <w:r w:rsidR="001D7C24" w:rsidRPr="0009699E">
        <w:rPr>
          <w:lang w:val="en-NZ"/>
        </w:rPr>
        <w:t xml:space="preserve">submission form </w:t>
      </w:r>
      <w:r w:rsidR="000B2CA4" w:rsidRPr="0009699E">
        <w:rPr>
          <w:lang w:val="en-NZ"/>
        </w:rPr>
        <w:t xml:space="preserve">attached </w:t>
      </w:r>
      <w:r w:rsidR="001D7C24" w:rsidRPr="0009699E">
        <w:rPr>
          <w:lang w:val="en-NZ"/>
        </w:rPr>
        <w:t>and email it to us</w:t>
      </w:r>
      <w:r w:rsidR="00FA3318" w:rsidRPr="0009699E">
        <w:rPr>
          <w:lang w:val="en-NZ"/>
        </w:rPr>
        <w:t xml:space="preserve"> at </w:t>
      </w:r>
      <w:hyperlink r:id="rId14" w:history="1">
        <w:r w:rsidR="00FD7083" w:rsidRPr="0009699E">
          <w:rPr>
            <w:rStyle w:val="Hyperlink"/>
            <w:lang w:val="en-NZ"/>
          </w:rPr>
          <w:t>kiaora@mhwc.govt.nz</w:t>
        </w:r>
      </w:hyperlink>
      <w:r w:rsidR="00AA5EE5" w:rsidRPr="0009699E">
        <w:rPr>
          <w:lang w:val="en-NZ"/>
        </w:rPr>
        <w:t>.</w:t>
      </w:r>
    </w:p>
    <w:p w14:paraId="2B97FD56" w14:textId="77777777" w:rsidR="00C71C9D" w:rsidRPr="00D7664D" w:rsidRDefault="009B36EB" w:rsidP="00C71C9D">
      <w:pPr>
        <w:pStyle w:val="ListParagraph"/>
        <w:numPr>
          <w:ilvl w:val="0"/>
          <w:numId w:val="2"/>
        </w:numPr>
        <w:spacing w:line="259" w:lineRule="auto"/>
      </w:pPr>
      <w:hyperlink r:id="rId15" w:history="1">
        <w:r w:rsidR="00C71C9D">
          <w:rPr>
            <w:rStyle w:val="Hyperlink"/>
          </w:rPr>
          <w:t>take an oline survey</w:t>
        </w:r>
      </w:hyperlink>
      <w:r w:rsidR="00C71C9D" w:rsidRPr="00D7664D">
        <w:t xml:space="preserve"> on the Initial Commission website – www.mhwc.govt.nz</w:t>
      </w:r>
    </w:p>
    <w:p w14:paraId="5320EB1B" w14:textId="68D6B8B8" w:rsidR="008852F2" w:rsidRPr="0009699E" w:rsidRDefault="001F0EBD" w:rsidP="008E6A7C">
      <w:pPr>
        <w:rPr>
          <w:rFonts w:cs="Arial"/>
          <w:lang w:val="en-NZ"/>
        </w:rPr>
      </w:pPr>
      <w:r w:rsidRPr="0009699E">
        <w:rPr>
          <w:rFonts w:cs="Arial"/>
          <w:b/>
          <w:lang w:val="en-NZ"/>
        </w:rPr>
        <w:t>We request your response to this discussion paper by</w:t>
      </w:r>
      <w:r w:rsidR="0027448B" w:rsidRPr="0009699E">
        <w:rPr>
          <w:rFonts w:cs="Arial"/>
          <w:b/>
          <w:lang w:val="en-NZ"/>
        </w:rPr>
        <w:t xml:space="preserve"> </w:t>
      </w:r>
      <w:r w:rsidR="008300B6">
        <w:rPr>
          <w:rFonts w:cs="Arial"/>
          <w:b/>
          <w:lang w:val="en-NZ"/>
        </w:rPr>
        <w:t>Wednesday 9</w:t>
      </w:r>
      <w:r w:rsidR="00097348" w:rsidRPr="0009699E">
        <w:rPr>
          <w:rFonts w:cs="Arial"/>
          <w:b/>
          <w:lang w:val="en-NZ"/>
        </w:rPr>
        <w:t xml:space="preserve"> December 2020</w:t>
      </w:r>
      <w:r w:rsidR="000146DD" w:rsidRPr="0009699E">
        <w:rPr>
          <w:rFonts w:cs="Arial"/>
          <w:b/>
          <w:lang w:val="en-NZ"/>
        </w:rPr>
        <w:t>.</w:t>
      </w:r>
      <w:r w:rsidR="008852F2" w:rsidRPr="0009699E">
        <w:rPr>
          <w:rFonts w:cs="Arial"/>
          <w:b/>
          <w:lang w:val="en-NZ"/>
        </w:rPr>
        <w:br w:type="page"/>
      </w:r>
    </w:p>
    <w:p w14:paraId="55887270" w14:textId="3D806551" w:rsidR="00E25149" w:rsidRPr="0009699E" w:rsidRDefault="00E25149" w:rsidP="008E6A7C">
      <w:pPr>
        <w:rPr>
          <w:rFonts w:eastAsiaTheme="majorEastAsia" w:cs="Arial"/>
          <w:b/>
          <w:sz w:val="32"/>
          <w:szCs w:val="32"/>
        </w:rPr>
      </w:pPr>
      <w:r w:rsidRPr="0009699E">
        <w:rPr>
          <w:rFonts w:cs="Arial"/>
          <w:b/>
          <w:noProof/>
          <w:lang w:val="en-NZ"/>
        </w:rPr>
        <w:lastRenderedPageBreak/>
        <mc:AlternateContent>
          <mc:Choice Requires="wps">
            <w:drawing>
              <wp:anchor distT="0" distB="0" distL="114300" distR="114300" simplePos="0" relativeHeight="251699200" behindDoc="0" locked="0" layoutInCell="1" allowOverlap="1" wp14:anchorId="585B2F6F" wp14:editId="681FA49C">
                <wp:simplePos x="0" y="0"/>
                <wp:positionH relativeFrom="margin">
                  <wp:align>left</wp:align>
                </wp:positionH>
                <wp:positionV relativeFrom="paragraph">
                  <wp:posOffset>17736</wp:posOffset>
                </wp:positionV>
                <wp:extent cx="5613149" cy="3314700"/>
                <wp:effectExtent l="0" t="0" r="26035" b="19050"/>
                <wp:wrapNone/>
                <wp:docPr id="2" name="Text Box 2"/>
                <wp:cNvGraphicFramePr/>
                <a:graphic xmlns:a="http://schemas.openxmlformats.org/drawingml/2006/main">
                  <a:graphicData uri="http://schemas.microsoft.com/office/word/2010/wordprocessingShape">
                    <wps:wsp>
                      <wps:cNvSpPr txBox="1"/>
                      <wps:spPr>
                        <a:xfrm>
                          <a:off x="0" y="0"/>
                          <a:ext cx="5613149" cy="3314700"/>
                        </a:xfrm>
                        <a:prstGeom prst="rect">
                          <a:avLst/>
                        </a:prstGeom>
                        <a:solidFill>
                          <a:schemeClr val="lt1"/>
                        </a:solidFill>
                        <a:ln w="6350">
                          <a:solidFill>
                            <a:prstClr val="black"/>
                          </a:solidFill>
                        </a:ln>
                      </wps:spPr>
                      <wps:txbx>
                        <w:txbxContent>
                          <w:p w14:paraId="6009E1E2" w14:textId="20ADA0D3" w:rsidR="00903CCA" w:rsidRPr="00C660CA" w:rsidRDefault="00903CCA" w:rsidP="00144C1A">
                            <w:pPr>
                              <w:pStyle w:val="Heading2"/>
                              <w:spacing w:after="160"/>
                              <w:rPr>
                                <w:lang w:val="mi-NZ"/>
                              </w:rPr>
                            </w:pPr>
                            <w:bookmarkStart w:id="2" w:name="_Toc55818783"/>
                            <w:r w:rsidRPr="00C660CA">
                              <w:rPr>
                                <w:lang w:val="mi-NZ"/>
                              </w:rPr>
                              <w:t>Key terms used in this paper</w:t>
                            </w:r>
                            <w:bookmarkEnd w:id="2"/>
                          </w:p>
                          <w:p w14:paraId="4BBAF40E" w14:textId="77DE5770" w:rsidR="00AA7408" w:rsidRPr="002C7D02" w:rsidRDefault="00AA7408">
                            <w:pPr>
                              <w:rPr>
                                <w:lang w:val="mi-NZ"/>
                              </w:rPr>
                            </w:pPr>
                            <w:r w:rsidRPr="002C7D02">
                              <w:rPr>
                                <w:b/>
                                <w:lang w:val="mi-NZ"/>
                              </w:rPr>
                              <w:t>Addiction</w:t>
                            </w:r>
                            <w:r w:rsidRPr="002C7D02">
                              <w:rPr>
                                <w:lang w:val="mi-NZ"/>
                              </w:rPr>
                              <w:t xml:space="preserve"> </w:t>
                            </w:r>
                            <w:r w:rsidR="00E12944" w:rsidRPr="002C7D02">
                              <w:rPr>
                                <w:lang w:val="mi-NZ"/>
                              </w:rPr>
                              <w:t xml:space="preserve">has been used </w:t>
                            </w:r>
                            <w:r w:rsidR="006B1C19" w:rsidRPr="002C7D02">
                              <w:rPr>
                                <w:lang w:val="mi-NZ"/>
                              </w:rPr>
                              <w:t xml:space="preserve">in this paper </w:t>
                            </w:r>
                            <w:r w:rsidR="00E12944" w:rsidRPr="002C7D02">
                              <w:rPr>
                                <w:lang w:val="mi-NZ"/>
                              </w:rPr>
                              <w:t>to refer to a wide range of harm from the use and misuse of substances or from gambling harm</w:t>
                            </w:r>
                            <w:r w:rsidR="006B1C19" w:rsidRPr="002C7D02">
                              <w:rPr>
                                <w:lang w:val="mi-NZ"/>
                              </w:rPr>
                              <w:t>.</w:t>
                            </w:r>
                            <w:r w:rsidR="00E12944" w:rsidRPr="002C7D02">
                              <w:rPr>
                                <w:lang w:val="mi-NZ"/>
                              </w:rPr>
                              <w:t xml:space="preserve"> </w:t>
                            </w:r>
                          </w:p>
                          <w:p w14:paraId="525C171E" w14:textId="51C69E7D" w:rsidR="002566A6" w:rsidRPr="00E978C8" w:rsidRDefault="002566A6">
                            <w:pPr>
                              <w:rPr>
                                <w:lang w:val="mi-NZ"/>
                              </w:rPr>
                            </w:pPr>
                            <w:r w:rsidRPr="002C7D02">
                              <w:rPr>
                                <w:b/>
                                <w:lang w:val="mi-NZ"/>
                              </w:rPr>
                              <w:t>Hauora</w:t>
                            </w:r>
                            <w:r w:rsidR="00CD409D" w:rsidRPr="002C7D02">
                              <w:rPr>
                                <w:b/>
                                <w:lang w:val="mi-NZ"/>
                              </w:rPr>
                              <w:t xml:space="preserve"> </w:t>
                            </w:r>
                            <w:r w:rsidR="00CD409D" w:rsidRPr="002C7D02">
                              <w:rPr>
                                <w:lang w:val="mi-NZ"/>
                              </w:rPr>
                              <w:t>is a</w:t>
                            </w:r>
                            <w:r w:rsidR="00CD409D" w:rsidRPr="002C7D02">
                              <w:rPr>
                                <w:b/>
                                <w:lang w:val="mi-NZ"/>
                              </w:rPr>
                              <w:t xml:space="preserve"> </w:t>
                            </w:r>
                            <w:r w:rsidR="00CD409D" w:rsidRPr="002C7D02">
                              <w:rPr>
                                <w:lang w:val="mi-NZ"/>
                              </w:rPr>
                              <w:t>Māori</w:t>
                            </w:r>
                            <w:r w:rsidR="00B60C6C" w:rsidRPr="002C7D02">
                              <w:rPr>
                                <w:lang w:val="mi-NZ"/>
                              </w:rPr>
                              <w:t xml:space="preserve"> view of of health</w:t>
                            </w:r>
                            <w:r w:rsidR="00CD409D" w:rsidRPr="002C7D02">
                              <w:rPr>
                                <w:b/>
                                <w:lang w:val="mi-NZ"/>
                              </w:rPr>
                              <w:t xml:space="preserve"> </w:t>
                            </w:r>
                            <w:r w:rsidR="00E978C8" w:rsidRPr="002C7D02">
                              <w:rPr>
                                <w:lang w:val="mi-NZ"/>
                              </w:rPr>
                              <w:t>unique to New Zealand, and covers the physical, Mental, social and spiritual needs that everyone has.</w:t>
                            </w:r>
                            <w:r w:rsidR="00764AAD" w:rsidRPr="00E978C8">
                              <w:rPr>
                                <w:lang w:val="mi-NZ"/>
                              </w:rPr>
                              <w:t xml:space="preserve">  </w:t>
                            </w:r>
                            <w:r w:rsidR="00261F6C" w:rsidRPr="00E978C8">
                              <w:rPr>
                                <w:lang w:val="mi-NZ"/>
                              </w:rPr>
                              <w:t xml:space="preserve"> </w:t>
                            </w:r>
                          </w:p>
                          <w:p w14:paraId="19A667DF" w14:textId="29821BD8" w:rsidR="006B1C19" w:rsidRPr="00642C95" w:rsidRDefault="006B1C19" w:rsidP="006B1C19">
                            <w:pPr>
                              <w:rPr>
                                <w:b/>
                                <w:lang w:val="mi-NZ"/>
                              </w:rPr>
                            </w:pPr>
                            <w:r w:rsidRPr="00C660CA">
                              <w:rPr>
                                <w:b/>
                                <w:lang w:val="mi-NZ"/>
                              </w:rPr>
                              <w:t xml:space="preserve">Mental </w:t>
                            </w:r>
                            <w:r>
                              <w:rPr>
                                <w:b/>
                                <w:lang w:val="mi-NZ"/>
                              </w:rPr>
                              <w:t>h</w:t>
                            </w:r>
                            <w:r w:rsidRPr="00C660CA">
                              <w:rPr>
                                <w:b/>
                                <w:lang w:val="mi-NZ"/>
                              </w:rPr>
                              <w:t>ealth services and addiction services</w:t>
                            </w:r>
                            <w:r w:rsidRPr="00C660CA">
                              <w:rPr>
                                <w:lang w:val="mi-NZ"/>
                              </w:rPr>
                              <w:t xml:space="preserve"> – we are seeking your feedback on how to define these services for the purpose of the Mental Health and Wellbeing Commission’s </w:t>
                            </w:r>
                            <w:r>
                              <w:rPr>
                                <w:lang w:val="mi-NZ"/>
                              </w:rPr>
                              <w:t xml:space="preserve">s11(1)(e) </w:t>
                            </w:r>
                            <w:r w:rsidRPr="00C660CA">
                              <w:rPr>
                                <w:lang w:val="mi-NZ"/>
                              </w:rPr>
                              <w:t>function to monitor mental health services and addiction services and advocate for their improvement.</w:t>
                            </w:r>
                          </w:p>
                          <w:p w14:paraId="3FFF7906" w14:textId="71E3FC89" w:rsidR="00903CCA" w:rsidRPr="00C660CA" w:rsidRDefault="00903CCA">
                            <w:pPr>
                              <w:rPr>
                                <w:lang w:val="mi-NZ"/>
                              </w:rPr>
                            </w:pPr>
                            <w:r w:rsidRPr="00C660CA">
                              <w:rPr>
                                <w:b/>
                                <w:lang w:val="mi-NZ"/>
                              </w:rPr>
                              <w:t xml:space="preserve">Tāngata whai ora </w:t>
                            </w:r>
                            <w:r w:rsidRPr="00C660CA">
                              <w:rPr>
                                <w:lang w:val="mi-NZ"/>
                              </w:rPr>
                              <w:t xml:space="preserve">means people seeking wellness (tangata whai ora being a person that seeks wellness). It includes mental health and addiction service users and consumers of mental health and addiction services. </w:t>
                            </w:r>
                          </w:p>
                          <w:p w14:paraId="23E09437" w14:textId="20B9C096" w:rsidR="00903CCA" w:rsidRPr="00C660CA" w:rsidRDefault="00903CCA">
                            <w:pPr>
                              <w:rPr>
                                <w:lang w:val="mi-NZ"/>
                              </w:rPr>
                            </w:pPr>
                            <w:r w:rsidRPr="00C660CA">
                              <w:rPr>
                                <w:b/>
                                <w:lang w:val="mi-NZ"/>
                              </w:rPr>
                              <w:t xml:space="preserve">Whānau </w:t>
                            </w:r>
                            <w:r w:rsidRPr="00C660CA">
                              <w:rPr>
                                <w:lang w:val="mi-NZ"/>
                              </w:rPr>
                              <w:t>is not limited to blood ties and</w:t>
                            </w:r>
                            <w:r w:rsidRPr="00C660CA">
                              <w:rPr>
                                <w:b/>
                                <w:lang w:val="mi-NZ"/>
                              </w:rPr>
                              <w:t xml:space="preserve"> </w:t>
                            </w:r>
                            <w:r w:rsidRPr="00C660CA">
                              <w:rPr>
                                <w:lang w:val="mi-NZ"/>
                              </w:rPr>
                              <w:t xml:space="preserve">includes people in the support network of  tangata whai ora </w:t>
                            </w:r>
                          </w:p>
                          <w:p w14:paraId="20FAF613" w14:textId="77777777" w:rsidR="006B1C19" w:rsidRDefault="006B1C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5B2F6F" id="_x0000_t202" coordsize="21600,21600" o:spt="202" path="m,l,21600r21600,l21600,xe">
                <v:stroke joinstyle="miter"/>
                <v:path gradientshapeok="t" o:connecttype="rect"/>
              </v:shapetype>
              <v:shape id="Text Box 2" o:spid="_x0000_s1026" type="#_x0000_t202" style="position:absolute;margin-left:0;margin-top:1.4pt;width:442pt;height:261pt;z-index:2516992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r5TAIAAKIEAAAOAAAAZHJzL2Uyb0RvYy54bWysVMlu2zAQvRfoPxC8N/KWpBEiB26CFAWM&#10;JIBT5ExTlCWU4rAkbcn9+j7SS5y0p6IXajY+zryZ0fVN32q2Uc43ZAo+PBtwpoyksjGrgn9/vv/0&#10;mTMfhCmFJqMKvlWe30w/frjubK5GVJMulWMAMT7vbMHrEGyeZV7WqhX+jKwycFbkWhGgulVWOtEB&#10;vdXZaDC4yDpypXUklfew3u2cfJrwq0rJ8FhVXgWmC47cQjpdOpfxzKbXIl85YetG7tMQ/5BFKxqD&#10;R49QdyIItnbNH1BtIx15qsKZpDajqmqkSjWgmuHgXTWLWliVagE53h5p8v8PVj5snhxryoKPODOi&#10;RYueVR/YF+rZKLLTWZ8jaGERFnqY0eWD3cMYi+4r18YvymHwg+ftkdsIJmE8vxiOh5MrziR8Y4iX&#10;g8R+9nrdOh++KmpZFAru0LzEqdjMfUAqCD2ExNc86aa8b7ROShwYdasd2wi0WoeUJG68idKGdQW/&#10;GJ8PEvAbX4Q+3l9qIX/EMt8iQNMGxkjKrvgohX7Z75laUrkFUY52g+atvG+AOxc+PAmHyQI32Jbw&#10;iKPShGRoL3FWk/v1N3uMR8Ph5azDpBbc/1wLpzjT3wxG4Wo4mcTRTsrk/HIExZ16lqces25vCQwN&#10;sZdWJjHGB30QK0ftC5ZqFl+FSxiJtwseDuJt2O0PllKq2SwFYZitCHOzsDJCx45EPp/7F+Hsvp8B&#10;o/BAh5kW+bu27mLjTUOzdaCqST2PBO9Y3fOORUht2S9t3LRTPUW9/lqmvwEAAP//AwBQSwMEFAAG&#10;AAgAAAAhAH4OYkbYAAAABgEAAA8AAABkcnMvZG93bnJldi54bWxMj8FOwzAQRO9I/IO1SNyoQ1SQ&#10;CXEqQIULJwri7MZbOyJeR7abhr9nOcFxNKOZN+1mCaOYMeUhkobrVQUCqY92IKfh4/35SoHIxZA1&#10;YyTU8I0ZNt35WWsaG0/0hvOuOMEllBujwZcyNVLm3mMweRUnJPYOMQVTWCYnbTInLg+jrKvqVgYz&#10;EC94M+GTx/5rdwwato/uzvXKJL9Vdhjm5fPw6l60vrxYHu5BFFzKXxh+8RkdOmbaxyPZLEYNfKRo&#10;qBmfTaXWrPcabuq1Atm18j9+9wMAAP//AwBQSwECLQAUAAYACAAAACEAtoM4kv4AAADhAQAAEwAA&#10;AAAAAAAAAAAAAAAAAAAAW0NvbnRlbnRfVHlwZXNdLnhtbFBLAQItABQABgAIAAAAIQA4/SH/1gAA&#10;AJQBAAALAAAAAAAAAAAAAAAAAC8BAABfcmVscy8ucmVsc1BLAQItABQABgAIAAAAIQBTE4r5TAIA&#10;AKIEAAAOAAAAAAAAAAAAAAAAAC4CAABkcnMvZTJvRG9jLnhtbFBLAQItABQABgAIAAAAIQB+DmJG&#10;2AAAAAYBAAAPAAAAAAAAAAAAAAAAAKYEAABkcnMvZG93bnJldi54bWxQSwUGAAAAAAQABADzAAAA&#10;qwUAAAAA&#10;" fillcolor="white [3201]" strokeweight=".5pt">
                <v:textbox>
                  <w:txbxContent>
                    <w:p w14:paraId="6009E1E2" w14:textId="20ADA0D3" w:rsidR="00903CCA" w:rsidRPr="00C660CA" w:rsidRDefault="00903CCA" w:rsidP="00144C1A">
                      <w:pPr>
                        <w:pStyle w:val="Heading2"/>
                        <w:spacing w:after="160"/>
                        <w:rPr>
                          <w:lang w:val="mi-NZ"/>
                        </w:rPr>
                      </w:pPr>
                      <w:bookmarkStart w:id="3" w:name="_Toc55818783"/>
                      <w:r w:rsidRPr="00C660CA">
                        <w:rPr>
                          <w:lang w:val="mi-NZ"/>
                        </w:rPr>
                        <w:t>Key terms used in this paper</w:t>
                      </w:r>
                      <w:bookmarkEnd w:id="3"/>
                    </w:p>
                    <w:p w14:paraId="4BBAF40E" w14:textId="77DE5770" w:rsidR="00AA7408" w:rsidRPr="002C7D02" w:rsidRDefault="00AA7408">
                      <w:pPr>
                        <w:rPr>
                          <w:lang w:val="mi-NZ"/>
                        </w:rPr>
                      </w:pPr>
                      <w:r w:rsidRPr="002C7D02">
                        <w:rPr>
                          <w:b/>
                          <w:lang w:val="mi-NZ"/>
                        </w:rPr>
                        <w:t>Addiction</w:t>
                      </w:r>
                      <w:r w:rsidRPr="002C7D02">
                        <w:rPr>
                          <w:lang w:val="mi-NZ"/>
                        </w:rPr>
                        <w:t xml:space="preserve"> </w:t>
                      </w:r>
                      <w:r w:rsidR="00E12944" w:rsidRPr="002C7D02">
                        <w:rPr>
                          <w:lang w:val="mi-NZ"/>
                        </w:rPr>
                        <w:t xml:space="preserve">has been used </w:t>
                      </w:r>
                      <w:r w:rsidR="006B1C19" w:rsidRPr="002C7D02">
                        <w:rPr>
                          <w:lang w:val="mi-NZ"/>
                        </w:rPr>
                        <w:t xml:space="preserve">in this paper </w:t>
                      </w:r>
                      <w:r w:rsidR="00E12944" w:rsidRPr="002C7D02">
                        <w:rPr>
                          <w:lang w:val="mi-NZ"/>
                        </w:rPr>
                        <w:t>to refer to a wide range of harm from the use and misuse of substances or from gambling harm</w:t>
                      </w:r>
                      <w:r w:rsidR="006B1C19" w:rsidRPr="002C7D02">
                        <w:rPr>
                          <w:lang w:val="mi-NZ"/>
                        </w:rPr>
                        <w:t>.</w:t>
                      </w:r>
                      <w:r w:rsidR="00E12944" w:rsidRPr="002C7D02">
                        <w:rPr>
                          <w:lang w:val="mi-NZ"/>
                        </w:rPr>
                        <w:t xml:space="preserve"> </w:t>
                      </w:r>
                    </w:p>
                    <w:p w14:paraId="525C171E" w14:textId="51C69E7D" w:rsidR="002566A6" w:rsidRPr="00E978C8" w:rsidRDefault="002566A6">
                      <w:pPr>
                        <w:rPr>
                          <w:lang w:val="mi-NZ"/>
                        </w:rPr>
                      </w:pPr>
                      <w:r w:rsidRPr="002C7D02">
                        <w:rPr>
                          <w:b/>
                          <w:lang w:val="mi-NZ"/>
                        </w:rPr>
                        <w:t>Hauora</w:t>
                      </w:r>
                      <w:r w:rsidR="00CD409D" w:rsidRPr="002C7D02">
                        <w:rPr>
                          <w:b/>
                          <w:lang w:val="mi-NZ"/>
                        </w:rPr>
                        <w:t xml:space="preserve"> </w:t>
                      </w:r>
                      <w:r w:rsidR="00CD409D" w:rsidRPr="002C7D02">
                        <w:rPr>
                          <w:lang w:val="mi-NZ"/>
                        </w:rPr>
                        <w:t>is a</w:t>
                      </w:r>
                      <w:r w:rsidR="00CD409D" w:rsidRPr="002C7D02">
                        <w:rPr>
                          <w:b/>
                          <w:lang w:val="mi-NZ"/>
                        </w:rPr>
                        <w:t xml:space="preserve"> </w:t>
                      </w:r>
                      <w:r w:rsidR="00CD409D" w:rsidRPr="002C7D02">
                        <w:rPr>
                          <w:lang w:val="mi-NZ"/>
                        </w:rPr>
                        <w:t>Māori</w:t>
                      </w:r>
                      <w:r w:rsidR="00B60C6C" w:rsidRPr="002C7D02">
                        <w:rPr>
                          <w:lang w:val="mi-NZ"/>
                        </w:rPr>
                        <w:t xml:space="preserve"> view of of health</w:t>
                      </w:r>
                      <w:r w:rsidR="00CD409D" w:rsidRPr="002C7D02">
                        <w:rPr>
                          <w:b/>
                          <w:lang w:val="mi-NZ"/>
                        </w:rPr>
                        <w:t xml:space="preserve"> </w:t>
                      </w:r>
                      <w:r w:rsidR="00E978C8" w:rsidRPr="002C7D02">
                        <w:rPr>
                          <w:lang w:val="mi-NZ"/>
                        </w:rPr>
                        <w:t>unique to New Zealand, and covers the physical, Mental, social and spiritual needs that everyone has.</w:t>
                      </w:r>
                      <w:r w:rsidR="00764AAD" w:rsidRPr="00E978C8">
                        <w:rPr>
                          <w:lang w:val="mi-NZ"/>
                        </w:rPr>
                        <w:t xml:space="preserve">  </w:t>
                      </w:r>
                      <w:r w:rsidR="00261F6C" w:rsidRPr="00E978C8">
                        <w:rPr>
                          <w:lang w:val="mi-NZ"/>
                        </w:rPr>
                        <w:t xml:space="preserve"> </w:t>
                      </w:r>
                    </w:p>
                    <w:p w14:paraId="19A667DF" w14:textId="29821BD8" w:rsidR="006B1C19" w:rsidRPr="00642C95" w:rsidRDefault="006B1C19" w:rsidP="006B1C19">
                      <w:pPr>
                        <w:rPr>
                          <w:b/>
                          <w:lang w:val="mi-NZ"/>
                        </w:rPr>
                      </w:pPr>
                      <w:r w:rsidRPr="00C660CA">
                        <w:rPr>
                          <w:b/>
                          <w:lang w:val="mi-NZ"/>
                        </w:rPr>
                        <w:t xml:space="preserve">Mental </w:t>
                      </w:r>
                      <w:r>
                        <w:rPr>
                          <w:b/>
                          <w:lang w:val="mi-NZ"/>
                        </w:rPr>
                        <w:t>h</w:t>
                      </w:r>
                      <w:r w:rsidRPr="00C660CA">
                        <w:rPr>
                          <w:b/>
                          <w:lang w:val="mi-NZ"/>
                        </w:rPr>
                        <w:t>ealth services and addiction services</w:t>
                      </w:r>
                      <w:r w:rsidRPr="00C660CA">
                        <w:rPr>
                          <w:lang w:val="mi-NZ"/>
                        </w:rPr>
                        <w:t xml:space="preserve"> – we are seeking your feedback on how to define these services for the purpose of the Mental Health and Wellbeing Commission’s </w:t>
                      </w:r>
                      <w:r>
                        <w:rPr>
                          <w:lang w:val="mi-NZ"/>
                        </w:rPr>
                        <w:t xml:space="preserve">s11(1)(e) </w:t>
                      </w:r>
                      <w:r w:rsidRPr="00C660CA">
                        <w:rPr>
                          <w:lang w:val="mi-NZ"/>
                        </w:rPr>
                        <w:t>function to monitor mental health services and addiction services and advocate for their improvement.</w:t>
                      </w:r>
                    </w:p>
                    <w:p w14:paraId="3FFF7906" w14:textId="71E3FC89" w:rsidR="00903CCA" w:rsidRPr="00C660CA" w:rsidRDefault="00903CCA">
                      <w:pPr>
                        <w:rPr>
                          <w:lang w:val="mi-NZ"/>
                        </w:rPr>
                      </w:pPr>
                      <w:r w:rsidRPr="00C660CA">
                        <w:rPr>
                          <w:b/>
                          <w:lang w:val="mi-NZ"/>
                        </w:rPr>
                        <w:t xml:space="preserve">Tāngata whai ora </w:t>
                      </w:r>
                      <w:r w:rsidRPr="00C660CA">
                        <w:rPr>
                          <w:lang w:val="mi-NZ"/>
                        </w:rPr>
                        <w:t xml:space="preserve">means people seeking wellness (tangata whai ora being a person that seeks wellness). It includes mental health and addiction service users and consumers of mental health and addiction services. </w:t>
                      </w:r>
                    </w:p>
                    <w:p w14:paraId="23E09437" w14:textId="20B9C096" w:rsidR="00903CCA" w:rsidRPr="00C660CA" w:rsidRDefault="00903CCA">
                      <w:pPr>
                        <w:rPr>
                          <w:lang w:val="mi-NZ"/>
                        </w:rPr>
                      </w:pPr>
                      <w:r w:rsidRPr="00C660CA">
                        <w:rPr>
                          <w:b/>
                          <w:lang w:val="mi-NZ"/>
                        </w:rPr>
                        <w:t xml:space="preserve">Whānau </w:t>
                      </w:r>
                      <w:r w:rsidRPr="00C660CA">
                        <w:rPr>
                          <w:lang w:val="mi-NZ"/>
                        </w:rPr>
                        <w:t>is not limited to blood ties and</w:t>
                      </w:r>
                      <w:r w:rsidRPr="00C660CA">
                        <w:rPr>
                          <w:b/>
                          <w:lang w:val="mi-NZ"/>
                        </w:rPr>
                        <w:t xml:space="preserve"> </w:t>
                      </w:r>
                      <w:r w:rsidRPr="00C660CA">
                        <w:rPr>
                          <w:lang w:val="mi-NZ"/>
                        </w:rPr>
                        <w:t xml:space="preserve">includes people in the support network of  tangata whai ora </w:t>
                      </w:r>
                    </w:p>
                    <w:p w14:paraId="20FAF613" w14:textId="77777777" w:rsidR="006B1C19" w:rsidRDefault="006B1C19"/>
                  </w:txbxContent>
                </v:textbox>
                <w10:wrap anchorx="margin"/>
              </v:shape>
            </w:pict>
          </mc:Fallback>
        </mc:AlternateContent>
      </w:r>
      <w:r w:rsidRPr="0009699E">
        <w:rPr>
          <w:rFonts w:cs="Arial"/>
        </w:rPr>
        <w:br w:type="page"/>
      </w:r>
    </w:p>
    <w:p w14:paraId="4FB41308" w14:textId="451F1C2B" w:rsidR="00AA3C71" w:rsidRPr="0009699E" w:rsidRDefault="002E6B4F" w:rsidP="008E6A7C">
      <w:pPr>
        <w:pStyle w:val="Heading1"/>
      </w:pPr>
      <w:bookmarkStart w:id="3" w:name="_Toc55818784"/>
      <w:r w:rsidRPr="0009699E">
        <w:lastRenderedPageBreak/>
        <w:t>Context</w:t>
      </w:r>
      <w:r w:rsidR="00245A4E" w:rsidRPr="0009699E">
        <w:t xml:space="preserve"> </w:t>
      </w:r>
      <w:r w:rsidR="00E136F5" w:rsidRPr="0009699E">
        <w:t xml:space="preserve">– </w:t>
      </w:r>
      <w:r w:rsidR="00AB6147" w:rsidRPr="0009699E">
        <w:t>Two separate but interconnected frameworks</w:t>
      </w:r>
      <w:bookmarkEnd w:id="3"/>
    </w:p>
    <w:p w14:paraId="296475BF" w14:textId="5B160B22" w:rsidR="00945A38" w:rsidRPr="0009699E" w:rsidRDefault="005423B5" w:rsidP="002F5E93">
      <w:pPr>
        <w:pStyle w:val="ListParagraph"/>
        <w:numPr>
          <w:ilvl w:val="0"/>
          <w:numId w:val="7"/>
        </w:numPr>
        <w:spacing w:line="259" w:lineRule="auto"/>
        <w:ind w:left="567" w:hanging="567"/>
        <w:rPr>
          <w:lang w:val="en-NZ"/>
        </w:rPr>
      </w:pPr>
      <w:r w:rsidRPr="0009699E">
        <w:rPr>
          <w:lang w:val="en-NZ"/>
        </w:rPr>
        <w:t xml:space="preserve">The Initial Commission has been tasked with developing an outcomes and monitoring framework </w:t>
      </w:r>
      <w:r w:rsidR="00EA1202" w:rsidRPr="0009699E">
        <w:rPr>
          <w:lang w:val="en-NZ"/>
        </w:rPr>
        <w:t xml:space="preserve">for mental health and wellbeing </w:t>
      </w:r>
      <w:r w:rsidR="00F77AB5" w:rsidRPr="0009699E">
        <w:rPr>
          <w:lang w:val="en-NZ"/>
        </w:rPr>
        <w:t>for the permanent Commission to consider adopting</w:t>
      </w:r>
      <w:r w:rsidR="00D70087" w:rsidRPr="0009699E">
        <w:rPr>
          <w:lang w:val="en-NZ"/>
        </w:rPr>
        <w:t>.</w:t>
      </w:r>
      <w:r w:rsidR="002A0A1B" w:rsidRPr="0009699E">
        <w:rPr>
          <w:rStyle w:val="FootnoteReference"/>
          <w:lang w:val="en-NZ"/>
        </w:rPr>
        <w:footnoteReference w:id="3"/>
      </w:r>
      <w:r w:rsidR="00D70087" w:rsidRPr="0009699E">
        <w:rPr>
          <w:lang w:val="en-NZ"/>
        </w:rPr>
        <w:t xml:space="preserve"> This framework is being developed as two separate but interconnected framework</w:t>
      </w:r>
      <w:r w:rsidR="0015579B" w:rsidRPr="0009699E">
        <w:rPr>
          <w:lang w:val="en-NZ"/>
        </w:rPr>
        <w:t>s</w:t>
      </w:r>
      <w:r w:rsidR="00D70087" w:rsidRPr="0009699E">
        <w:rPr>
          <w:lang w:val="en-NZ"/>
        </w:rPr>
        <w:t>.</w:t>
      </w:r>
    </w:p>
    <w:p w14:paraId="77B5ED24" w14:textId="4CB7275F" w:rsidR="00546A46" w:rsidRPr="0009699E" w:rsidRDefault="00546A46" w:rsidP="008E6A7C">
      <w:pPr>
        <w:pStyle w:val="Heading2"/>
        <w:spacing w:before="360" w:after="120"/>
        <w:rPr>
          <w:i/>
          <w:lang w:val="en-NZ"/>
        </w:rPr>
      </w:pPr>
      <w:bookmarkStart w:id="4" w:name="_Toc55818785"/>
      <w:r w:rsidRPr="0009699E">
        <w:rPr>
          <w:lang w:val="en-NZ"/>
        </w:rPr>
        <w:t xml:space="preserve">The </w:t>
      </w:r>
      <w:r w:rsidRPr="0009699E">
        <w:rPr>
          <w:i/>
          <w:lang w:val="en-NZ"/>
        </w:rPr>
        <w:t xml:space="preserve">He Ara </w:t>
      </w:r>
      <w:r w:rsidR="00381E94" w:rsidRPr="0009699E">
        <w:rPr>
          <w:i/>
          <w:lang w:val="en-NZ"/>
        </w:rPr>
        <w:t>Oranga</w:t>
      </w:r>
      <w:r w:rsidRPr="0009699E">
        <w:rPr>
          <w:i/>
          <w:lang w:val="en-NZ"/>
        </w:rPr>
        <w:t xml:space="preserve"> Wellbeing Outcomes Framework</w:t>
      </w:r>
      <w:bookmarkEnd w:id="4"/>
    </w:p>
    <w:p w14:paraId="03DFF243" w14:textId="338755AA" w:rsidR="00753567" w:rsidRPr="0009699E" w:rsidRDefault="0015579B" w:rsidP="002F5E93">
      <w:pPr>
        <w:pStyle w:val="ListParagraph"/>
        <w:numPr>
          <w:ilvl w:val="0"/>
          <w:numId w:val="7"/>
        </w:numPr>
        <w:spacing w:line="259" w:lineRule="auto"/>
        <w:ind w:left="567" w:hanging="567"/>
        <w:rPr>
          <w:lang w:val="en-NZ"/>
        </w:rPr>
      </w:pPr>
      <w:r w:rsidRPr="0009699E">
        <w:rPr>
          <w:lang w:val="en-NZ"/>
        </w:rPr>
        <w:t xml:space="preserve">The </w:t>
      </w:r>
      <w:r w:rsidRPr="0009699E">
        <w:rPr>
          <w:i/>
          <w:lang w:val="en-NZ"/>
        </w:rPr>
        <w:t xml:space="preserve">He </w:t>
      </w:r>
      <w:r w:rsidR="00392B0F" w:rsidRPr="0009699E">
        <w:rPr>
          <w:i/>
          <w:lang w:val="en-NZ"/>
        </w:rPr>
        <w:t>Ara Oranga Wellbeing Outcomes Framework</w:t>
      </w:r>
      <w:r w:rsidR="00E84BAD" w:rsidRPr="0009699E">
        <w:rPr>
          <w:lang w:val="en-NZ"/>
        </w:rPr>
        <w:t xml:space="preserve"> sets a wellbeing vision for Aotearoa, and describes six domains of wellbeing for M</w:t>
      </w:r>
      <w:r w:rsidR="00E84BAD" w:rsidRPr="0009699E">
        <w:rPr>
          <w:lang w:val="mi-NZ"/>
        </w:rPr>
        <w:t>āo</w:t>
      </w:r>
      <w:r w:rsidR="00E84BAD" w:rsidRPr="0009699E">
        <w:rPr>
          <w:lang w:val="en-NZ"/>
        </w:rPr>
        <w:t xml:space="preserve">ri as tangata whenua, and six </w:t>
      </w:r>
      <w:r w:rsidR="00FA3318" w:rsidRPr="0009699E">
        <w:rPr>
          <w:lang w:val="en-NZ"/>
        </w:rPr>
        <w:t>connected</w:t>
      </w:r>
      <w:r w:rsidR="00E84BAD" w:rsidRPr="0009699E">
        <w:rPr>
          <w:lang w:val="en-NZ"/>
        </w:rPr>
        <w:t xml:space="preserve"> domains of wellbeing for all</w:t>
      </w:r>
      <w:r w:rsidR="00E84BAD" w:rsidRPr="0009699E">
        <w:rPr>
          <w:i/>
          <w:iCs/>
          <w:lang w:val="en-NZ"/>
        </w:rPr>
        <w:t xml:space="preserve"> </w:t>
      </w:r>
      <w:r w:rsidR="00E84BAD" w:rsidRPr="0009699E">
        <w:rPr>
          <w:lang w:val="en-NZ"/>
        </w:rPr>
        <w:t>people in Aotearoa</w:t>
      </w:r>
      <w:r w:rsidR="005A7D45" w:rsidRPr="0009699E">
        <w:rPr>
          <w:lang w:val="en-NZ"/>
        </w:rPr>
        <w:t>.</w:t>
      </w:r>
      <w:r w:rsidR="00473FD2" w:rsidRPr="0009699E">
        <w:rPr>
          <w:rStyle w:val="FootnoteReference"/>
          <w:lang w:val="en-NZ"/>
        </w:rPr>
        <w:footnoteReference w:id="4"/>
      </w:r>
      <w:r w:rsidR="005266D7" w:rsidRPr="0009699E">
        <w:rPr>
          <w:lang w:val="en-NZ"/>
        </w:rPr>
        <w:t xml:space="preserve"> </w:t>
      </w:r>
      <w:r w:rsidR="00C267BF" w:rsidRPr="0009699E">
        <w:rPr>
          <w:lang w:val="en-NZ"/>
        </w:rPr>
        <w:t xml:space="preserve">It </w:t>
      </w:r>
      <w:r w:rsidR="008E2B64" w:rsidRPr="0009699E">
        <w:rPr>
          <w:lang w:val="en-NZ"/>
        </w:rPr>
        <w:t>provides a</w:t>
      </w:r>
      <w:r w:rsidR="005266D7" w:rsidRPr="0009699E">
        <w:rPr>
          <w:lang w:val="en-NZ"/>
        </w:rPr>
        <w:t xml:space="preserve"> common frame for </w:t>
      </w:r>
      <w:r w:rsidR="00FD48B4" w:rsidRPr="0009699E">
        <w:rPr>
          <w:lang w:val="en-NZ"/>
        </w:rPr>
        <w:t xml:space="preserve">the </w:t>
      </w:r>
      <w:r w:rsidR="0007406C" w:rsidRPr="0009699E">
        <w:rPr>
          <w:lang w:val="en-NZ"/>
        </w:rPr>
        <w:t>permanent Commission</w:t>
      </w:r>
      <w:r w:rsidR="00EC7A44" w:rsidRPr="0009699E">
        <w:rPr>
          <w:lang w:val="en-NZ"/>
        </w:rPr>
        <w:t>,</w:t>
      </w:r>
      <w:r w:rsidR="0007406C" w:rsidRPr="0009699E">
        <w:rPr>
          <w:lang w:val="en-NZ"/>
        </w:rPr>
        <w:t xml:space="preserve"> and the wider </w:t>
      </w:r>
      <w:r w:rsidR="005266D7" w:rsidRPr="0009699E">
        <w:rPr>
          <w:lang w:val="en-NZ"/>
        </w:rPr>
        <w:t>mental health and wellbeing sector</w:t>
      </w:r>
      <w:r w:rsidR="00BD5845" w:rsidRPr="0009699E">
        <w:rPr>
          <w:lang w:val="en-NZ"/>
        </w:rPr>
        <w:t>,</w:t>
      </w:r>
      <w:r w:rsidR="005266D7" w:rsidRPr="0009699E">
        <w:rPr>
          <w:lang w:val="en-NZ"/>
        </w:rPr>
        <w:t xml:space="preserve"> to anchor their performance measures to</w:t>
      </w:r>
      <w:r w:rsidR="00BD5845" w:rsidRPr="0009699E">
        <w:rPr>
          <w:lang w:val="en-NZ"/>
        </w:rPr>
        <w:t xml:space="preserve"> and identify areas for partnership and improvement across a collaborative network of mental health and addiction</w:t>
      </w:r>
      <w:r w:rsidR="005266D7" w:rsidRPr="0009699E">
        <w:rPr>
          <w:lang w:val="en-NZ"/>
        </w:rPr>
        <w:t xml:space="preserve"> care.</w:t>
      </w:r>
      <w:r w:rsidR="002328EE" w:rsidRPr="0009699E">
        <w:rPr>
          <w:lang w:val="en-NZ"/>
        </w:rPr>
        <w:t xml:space="preserve"> </w:t>
      </w:r>
      <w:r w:rsidR="0017521D" w:rsidRPr="0009699E">
        <w:rPr>
          <w:lang w:val="en-NZ"/>
        </w:rPr>
        <w:t>The</w:t>
      </w:r>
      <w:r w:rsidR="002E0AC9" w:rsidRPr="0009699E">
        <w:rPr>
          <w:lang w:val="en-NZ"/>
        </w:rPr>
        <w:t xml:space="preserve"> conceptual framework has been developed </w:t>
      </w:r>
      <w:r w:rsidR="00676C58" w:rsidRPr="0009699E">
        <w:rPr>
          <w:lang w:val="en-NZ"/>
        </w:rPr>
        <w:t>and the project is now in a phase of identifying measures and indicators</w:t>
      </w:r>
      <w:r w:rsidR="00753567" w:rsidRPr="0009699E">
        <w:rPr>
          <w:lang w:val="en-NZ"/>
        </w:rPr>
        <w:t>.</w:t>
      </w:r>
    </w:p>
    <w:p w14:paraId="34E1339E" w14:textId="50384F07" w:rsidR="002328EE" w:rsidRPr="008874DE" w:rsidRDefault="00753567" w:rsidP="008E6A7C">
      <w:pPr>
        <w:spacing w:before="240"/>
        <w:rPr>
          <w:rFonts w:cs="Arial"/>
          <w:sz w:val="20"/>
          <w:szCs w:val="20"/>
          <w:lang w:val="en-NZ"/>
        </w:rPr>
      </w:pPr>
      <w:r w:rsidRPr="008874DE">
        <w:rPr>
          <w:rFonts w:cs="Arial"/>
          <w:b/>
          <w:sz w:val="20"/>
          <w:szCs w:val="20"/>
          <w:lang w:val="en-NZ"/>
        </w:rPr>
        <w:t>Figure 1</w:t>
      </w:r>
      <w:r w:rsidR="00EF389E" w:rsidRPr="008874DE">
        <w:rPr>
          <w:rFonts w:cs="Arial"/>
          <w:b/>
          <w:sz w:val="20"/>
          <w:szCs w:val="20"/>
          <w:lang w:val="en-NZ"/>
        </w:rPr>
        <w:t>.</w:t>
      </w:r>
      <w:r w:rsidRPr="008874DE">
        <w:rPr>
          <w:rFonts w:cs="Arial"/>
          <w:b/>
          <w:sz w:val="20"/>
          <w:szCs w:val="20"/>
          <w:lang w:val="en-NZ"/>
        </w:rPr>
        <w:t xml:space="preserve"> </w:t>
      </w:r>
      <w:r w:rsidRPr="008874DE">
        <w:rPr>
          <w:rFonts w:cs="Arial"/>
          <w:b/>
          <w:i/>
          <w:sz w:val="20"/>
          <w:szCs w:val="20"/>
          <w:lang w:val="en-NZ"/>
        </w:rPr>
        <w:t>He Ara Oranga Wellbeing Outcomes Framework</w:t>
      </w:r>
      <w:r w:rsidR="000658D2" w:rsidRPr="008874DE">
        <w:rPr>
          <w:rFonts w:cs="Arial"/>
          <w:b/>
          <w:sz w:val="20"/>
          <w:szCs w:val="20"/>
          <w:lang w:val="en-NZ"/>
        </w:rPr>
        <w:t xml:space="preserve"> project timeline</w:t>
      </w:r>
      <w:r w:rsidR="00AC6691" w:rsidRPr="008874DE">
        <w:rPr>
          <w:rFonts w:cs="Arial"/>
          <w:sz w:val="20"/>
          <w:szCs w:val="20"/>
          <w:lang w:val="en-NZ"/>
        </w:rPr>
        <w:t xml:space="preserve"> </w:t>
      </w:r>
    </w:p>
    <w:p w14:paraId="355648EE" w14:textId="1B3C96C3" w:rsidR="002328EE" w:rsidRPr="0009699E" w:rsidRDefault="00FA0057" w:rsidP="008E6A7C">
      <w:pPr>
        <w:rPr>
          <w:rFonts w:cs="Arial"/>
          <w:lang w:val="en-NZ"/>
        </w:rPr>
      </w:pPr>
      <w:r w:rsidRPr="0009699E">
        <w:rPr>
          <w:rFonts w:cs="Arial"/>
          <w:noProof/>
          <w:lang w:val="en-NZ"/>
        </w:rPr>
        <mc:AlternateContent>
          <mc:Choice Requires="wps">
            <w:drawing>
              <wp:anchor distT="0" distB="0" distL="114300" distR="114300" simplePos="0" relativeHeight="251696128" behindDoc="0" locked="0" layoutInCell="1" allowOverlap="1" wp14:anchorId="1AB924FD" wp14:editId="4F2A7AE2">
                <wp:simplePos x="0" y="0"/>
                <wp:positionH relativeFrom="column">
                  <wp:posOffset>3755390</wp:posOffset>
                </wp:positionH>
                <wp:positionV relativeFrom="paragraph">
                  <wp:posOffset>27940</wp:posOffset>
                </wp:positionV>
                <wp:extent cx="935665" cy="1166954"/>
                <wp:effectExtent l="19050" t="19050" r="17145" b="14605"/>
                <wp:wrapNone/>
                <wp:docPr id="16" name="Rectangle 16"/>
                <wp:cNvGraphicFramePr/>
                <a:graphic xmlns:a="http://schemas.openxmlformats.org/drawingml/2006/main">
                  <a:graphicData uri="http://schemas.microsoft.com/office/word/2010/wordprocessingShape">
                    <wps:wsp>
                      <wps:cNvSpPr/>
                      <wps:spPr>
                        <a:xfrm>
                          <a:off x="0" y="0"/>
                          <a:ext cx="935665" cy="1166954"/>
                        </a:xfrm>
                        <a:prstGeom prst="rect">
                          <a:avLst/>
                        </a:prstGeom>
                        <a:noFill/>
                        <a:ln w="44450">
                          <a:solidFill>
                            <a:srgbClr val="961E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4182E" id="Rectangle 16" o:spid="_x0000_s1026" style="position:absolute;margin-left:295.7pt;margin-top:2.2pt;width:73.65pt;height:91.9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2LoQIAAJEFAAAOAAAAZHJzL2Uyb0RvYy54bWysVMFu2zAMvQ/YPwi6r44zx2uMOkXQrsOA&#10;oi3aDj0rshwbkEVNUuJkXz9Kst2gK3YYloMjieSj3hPJi8tDJ8leGNuCKml6NqNEKA5Vq7Yl/fF8&#10;8+mcEuuYqpgEJUp6FJZerj5+uOh1IebQgKyEIQiibNHrkjbO6SJJLG9Ex+wZaKHQWIPpmMOt2SaV&#10;YT2idzKZz2Z50oOptAEurMXT62ikq4Bf14K7+7q2whFZUrybC18Tvhv/TVYXrNgappuWD9dg/3CL&#10;jrUKk05Q18wxsjPtH1Bdyw1YqN0Zhy6Bum65CByQTTp7w+apYVoELiiO1ZNM9v/B8rv9gyFthW+X&#10;U6JYh2/0iKoxtZWC4BkK1GtboN+TfjDDzuLSsz3UpvP/yIMcgqjHSVRxcITj4fLzIs8XlHA0pWme&#10;LxeZB01eo7Wx7puAjvhFSQ2mD1qy/a110XV08ckU3LRS4jkrpCJ9SbMsW8xChAXZVt7qjdZsN1fS&#10;kD3Dt1/m6dfz+ZD4xA2vIRXexnOMrMLKHaWICR5FjfIgj3nM4AtTTLCMc6FcGk0Nq0TMtpjhb0w2&#10;RgTOUiGgR67xlhP2ADB6RpAROyow+PtQEep6Ch6o/y14igiZQbkpuGsVmPeYSWQ1ZI7+o0hRGq/S&#10;BqojFo+B2FVW85sWX/CWWffADLYRNhyOBnePn1oCvhQMK0oaML/eO/f+WN1opaTHtiyp/bljRlAi&#10;vyus+2WaZb6PwyZbfJnjxpxaNqcWteuuAF8/xSGkeVh6fyfHZW2ge8EJsvZZ0cQUx9wl5c6MmysX&#10;xwXOIC7W6+CGvauZu1VPmntwr6qv0OfDCzN6KGOHDXAHYwuz4k01R18fqWC9c1C3odRfdR30xr4P&#10;hTPMKD9YTvfB63WSrn4DAAD//wMAUEsDBBQABgAIAAAAIQDtDTdf3wAAAAkBAAAPAAAAZHJzL2Rv&#10;d25yZXYueG1sTI/BTsMwDIbvSLxDZCQuFUu3bqyUphNC2gl22EA7Z41pC4lTNVlX3h5zgpNl/Z9+&#10;fy43k7NixCF0nhTMZykIpNqbjhoF72/buxxEiJqMtp5QwTcG2FTXV6UujL/QHsdDbASXUCi0gjbG&#10;vpAy1C06HWa+R+Lsww9OR16HRppBX7jcWblI03vpdEd8odU9PrdYfx3OToGxr3qfHMckoePwmTVb&#10;87LKdkrd3kxPjyAiTvEPhl99VoeKnU7+TCYIq2D1MF8yqmDJg/N1lq9BnBjM8wXIqpT/P6h+AAAA&#10;//8DAFBLAQItABQABgAIAAAAIQC2gziS/gAAAOEBAAATAAAAAAAAAAAAAAAAAAAAAABbQ29udGVu&#10;dF9UeXBlc10ueG1sUEsBAi0AFAAGAAgAAAAhADj9If/WAAAAlAEAAAsAAAAAAAAAAAAAAAAALwEA&#10;AF9yZWxzLy5yZWxzUEsBAi0AFAAGAAgAAAAhAE3IDYuhAgAAkQUAAA4AAAAAAAAAAAAAAAAALgIA&#10;AGRycy9lMm9Eb2MueG1sUEsBAi0AFAAGAAgAAAAhAO0NN1/fAAAACQEAAA8AAAAAAAAAAAAAAAAA&#10;+wQAAGRycy9kb3ducmV2LnhtbFBLBQYAAAAABAAEAPMAAAAHBgAAAAA=&#10;" filled="f" strokecolor="#961e82" strokeweight="3.5pt"/>
            </w:pict>
          </mc:Fallback>
        </mc:AlternateContent>
      </w:r>
      <w:r w:rsidR="00196C5D" w:rsidRPr="0009699E">
        <w:rPr>
          <w:rFonts w:cs="Arial"/>
          <w:noProof/>
        </w:rPr>
        <w:drawing>
          <wp:inline distT="0" distB="0" distL="0" distR="0" wp14:anchorId="3CF221E4" wp14:editId="5DABC13E">
            <wp:extent cx="5905500" cy="1076325"/>
            <wp:effectExtent l="19050" t="76200" r="19050" b="66675"/>
            <wp:docPr id="12" name="Diagram 12">
              <a:extLst xmlns:a="http://schemas.openxmlformats.org/drawingml/2006/main">
                <a:ext uri="{FF2B5EF4-FFF2-40B4-BE49-F238E27FC236}">
                  <a16:creationId xmlns:a16="http://schemas.microsoft.com/office/drawing/2014/main" id="{22F7CF86-EC8C-40C4-913E-13A31DB8F4B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FFA9C50" w14:textId="57173798" w:rsidR="00806935" w:rsidRPr="0009699E" w:rsidRDefault="00513313" w:rsidP="008E6A7C">
      <w:pPr>
        <w:pStyle w:val="Heading2"/>
        <w:spacing w:before="360" w:after="120"/>
        <w:rPr>
          <w:i/>
          <w:lang w:val="en-NZ"/>
        </w:rPr>
      </w:pPr>
      <w:bookmarkStart w:id="5" w:name="_Toc55818786"/>
      <w:r w:rsidRPr="0009699E">
        <w:rPr>
          <w:lang w:val="en-NZ"/>
        </w:rPr>
        <w:t xml:space="preserve">The </w:t>
      </w:r>
      <w:r w:rsidRPr="0009699E">
        <w:rPr>
          <w:i/>
          <w:lang w:val="en-NZ"/>
        </w:rPr>
        <w:t>He Ara Āwhina Service-Level Monitoring Framework</w:t>
      </w:r>
      <w:bookmarkEnd w:id="5"/>
    </w:p>
    <w:p w14:paraId="3DD3E9B2" w14:textId="69EE1AF8" w:rsidR="004B0D92" w:rsidRPr="0009699E" w:rsidRDefault="0052168A" w:rsidP="002F5E93">
      <w:pPr>
        <w:pStyle w:val="ListParagraph"/>
        <w:numPr>
          <w:ilvl w:val="0"/>
          <w:numId w:val="7"/>
        </w:numPr>
        <w:spacing w:line="259" w:lineRule="auto"/>
        <w:ind w:left="567" w:hanging="567"/>
        <w:rPr>
          <w:lang w:val="en-NZ"/>
        </w:rPr>
      </w:pPr>
      <w:r w:rsidRPr="0009699E">
        <w:rPr>
          <w:lang w:val="en-NZ"/>
        </w:rPr>
        <w:t xml:space="preserve">The </w:t>
      </w:r>
      <w:r w:rsidRPr="0009699E">
        <w:rPr>
          <w:i/>
          <w:lang w:val="en-NZ"/>
        </w:rPr>
        <w:t xml:space="preserve">He Ara </w:t>
      </w:r>
      <w:r w:rsidR="00E855FF" w:rsidRPr="0009699E">
        <w:rPr>
          <w:i/>
          <w:lang w:val="en-NZ"/>
        </w:rPr>
        <w:t>Āwhina Service-Level Monitoring Framework</w:t>
      </w:r>
      <w:r w:rsidR="00CA6B94" w:rsidRPr="0009699E">
        <w:rPr>
          <w:lang w:val="en-NZ"/>
        </w:rPr>
        <w:t xml:space="preserve"> provide</w:t>
      </w:r>
      <w:r w:rsidR="0077167F" w:rsidRPr="0009699E">
        <w:rPr>
          <w:lang w:val="en-NZ"/>
        </w:rPr>
        <w:t>s</w:t>
      </w:r>
      <w:r w:rsidR="00CA6B94" w:rsidRPr="0009699E">
        <w:rPr>
          <w:lang w:val="en-NZ"/>
        </w:rPr>
        <w:t xml:space="preserve"> a structure for </w:t>
      </w:r>
      <w:r w:rsidR="0077167F" w:rsidRPr="0009699E">
        <w:rPr>
          <w:lang w:val="en-NZ"/>
        </w:rPr>
        <w:t xml:space="preserve">assessing the performance of mental health services and addiction services </w:t>
      </w:r>
      <w:r w:rsidR="003C7EA5" w:rsidRPr="0009699E">
        <w:rPr>
          <w:lang w:val="en-NZ"/>
        </w:rPr>
        <w:t>and their contribution towards</w:t>
      </w:r>
      <w:r w:rsidR="00FE0BA2" w:rsidRPr="0009699E">
        <w:rPr>
          <w:lang w:val="en-NZ"/>
        </w:rPr>
        <w:t xml:space="preserve"> delivering </w:t>
      </w:r>
      <w:r w:rsidR="00FC3B9F" w:rsidRPr="0009699E">
        <w:rPr>
          <w:lang w:val="en-NZ"/>
        </w:rPr>
        <w:t xml:space="preserve">wellbeing outcomes for Māori as tangata whenua and </w:t>
      </w:r>
      <w:r w:rsidR="00806935" w:rsidRPr="0009699E">
        <w:rPr>
          <w:lang w:val="en-NZ"/>
        </w:rPr>
        <w:t xml:space="preserve">for all people in Aotearoa. </w:t>
      </w:r>
      <w:r w:rsidR="00607FBE" w:rsidRPr="0009699E">
        <w:rPr>
          <w:lang w:val="en-NZ"/>
        </w:rPr>
        <w:t>This framework is at the initial stage of development</w:t>
      </w:r>
      <w:r w:rsidR="00D145B6" w:rsidRPr="0009699E">
        <w:rPr>
          <w:lang w:val="en-NZ"/>
        </w:rPr>
        <w:t xml:space="preserve"> and will hand over to the permanent Commission in Februar</w:t>
      </w:r>
      <w:r w:rsidR="00B9115D" w:rsidRPr="0009699E">
        <w:rPr>
          <w:lang w:val="en-NZ"/>
        </w:rPr>
        <w:t xml:space="preserve">y </w:t>
      </w:r>
      <w:r w:rsidR="00C003C1" w:rsidRPr="0009699E">
        <w:rPr>
          <w:lang w:val="en-NZ"/>
        </w:rPr>
        <w:t xml:space="preserve">2021 </w:t>
      </w:r>
      <w:r w:rsidR="00B9115D" w:rsidRPr="0009699E">
        <w:rPr>
          <w:lang w:val="en-NZ"/>
        </w:rPr>
        <w:t>for completion</w:t>
      </w:r>
      <w:r w:rsidR="000C57E4" w:rsidRPr="0009699E">
        <w:rPr>
          <w:lang w:val="en-NZ"/>
        </w:rPr>
        <w:t>. Steps beyond February are indicative only and subject to the direction of the Commission</w:t>
      </w:r>
      <w:r w:rsidR="00607FBE" w:rsidRPr="0009699E">
        <w:rPr>
          <w:lang w:val="en-NZ"/>
        </w:rPr>
        <w:t>.</w:t>
      </w:r>
      <w:r w:rsidR="00CA6B94" w:rsidRPr="0009699E">
        <w:rPr>
          <w:lang w:val="en-NZ"/>
        </w:rPr>
        <w:t xml:space="preserve"> </w:t>
      </w:r>
    </w:p>
    <w:p w14:paraId="5C082790" w14:textId="2EEAA167" w:rsidR="00662F6D" w:rsidRPr="0009699E" w:rsidRDefault="00662F6D" w:rsidP="008E6A7C">
      <w:pPr>
        <w:spacing w:before="240" w:after="240"/>
        <w:rPr>
          <w:rFonts w:cs="Arial"/>
          <w:b/>
          <w:sz w:val="20"/>
          <w:szCs w:val="20"/>
          <w:lang w:val="en-NZ"/>
        </w:rPr>
      </w:pPr>
      <w:r w:rsidRPr="0009699E">
        <w:rPr>
          <w:rFonts w:cs="Arial"/>
          <w:noProof/>
          <w:lang w:val="en-NZ"/>
        </w:rPr>
        <mc:AlternateContent>
          <mc:Choice Requires="wps">
            <w:drawing>
              <wp:anchor distT="0" distB="0" distL="114300" distR="114300" simplePos="0" relativeHeight="251698176" behindDoc="0" locked="0" layoutInCell="1" allowOverlap="1" wp14:anchorId="00BD5F4A" wp14:editId="739966D5">
                <wp:simplePos x="0" y="0"/>
                <wp:positionH relativeFrom="column">
                  <wp:posOffset>1361440</wp:posOffset>
                </wp:positionH>
                <wp:positionV relativeFrom="paragraph">
                  <wp:posOffset>357504</wp:posOffset>
                </wp:positionV>
                <wp:extent cx="923925" cy="923925"/>
                <wp:effectExtent l="19050" t="19050" r="28575" b="28575"/>
                <wp:wrapNone/>
                <wp:docPr id="17" name="Rectangle 17"/>
                <wp:cNvGraphicFramePr/>
                <a:graphic xmlns:a="http://schemas.openxmlformats.org/drawingml/2006/main">
                  <a:graphicData uri="http://schemas.microsoft.com/office/word/2010/wordprocessingShape">
                    <wps:wsp>
                      <wps:cNvSpPr/>
                      <wps:spPr>
                        <a:xfrm>
                          <a:off x="0" y="0"/>
                          <a:ext cx="923925" cy="923925"/>
                        </a:xfrm>
                        <a:prstGeom prst="rect">
                          <a:avLst/>
                        </a:prstGeom>
                        <a:noFill/>
                        <a:ln w="44450">
                          <a:solidFill>
                            <a:srgbClr val="961E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1D5C8" id="Rectangle 17" o:spid="_x0000_s1026" style="position:absolute;margin-left:107.2pt;margin-top:28.15pt;width:72.75pt;height:7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34InQIAAJAFAAAOAAAAZHJzL2Uyb0RvYy54bWysVMFu2zAMvQ/YPwi6r068pG2MOkXQrsOA&#10;oi3aDj0rshQbkEVNUuJkXz9Kst2gLXYYloNDiuSj+ETy4nLfKrIT1jWgSzo9mVAiNIeq0ZuS/ny+&#10;+XJOifNMV0yBFiU9CEcvl58/XXSmEDnUoCphCYJoV3SmpLX3psgyx2vRMncCRmg0SrAt86jaTVZZ&#10;1iF6q7J8MjnNOrCVscCFc3h6nYx0GfGlFNzfS+mEJ6qkeDcfvzZ+1+GbLS9YsbHM1A3vr8H+4RYt&#10;azQmHaGumWdka5t3UG3DLTiQ/oRDm4GUDRexBqxmOnlTzVPNjIi1IDnOjDS5/wfL73YPljQVvt0Z&#10;JZq1+EaPyBrTGyUIniFBnXEF+j2ZB9trDsVQ7V7aNvxjHWQfST2MpIq9JxwPF/nXRT6nhKOplxEl&#10;ew021vnvAloShJJazB6pZLtb55Pr4BJyabhplMJzVihNupLOZrP5JEY4UE0VrMHo7GZ9pSzZMXz6&#10;xen023keisHER26oKY2HocRUVJT8QYmU4FFIZAfLyFOG0JdihGWcC+2nyVSzSqRs8wn+hmRDREyt&#10;NAIGZIm3HLF7gMEzgQzY6c69fwgVsa3H4L70vwWPETEzaD8Gt40G+1FlCqvqMyf/gaRETWBpDdUB&#10;e8dCGipn+E2DL3jLnH9gFqcI5w03g7/Hj1SALwW9REkN9vdH58EfmxutlHQ4lSV1v7bMCkrUD41t&#10;v5jOZmGMozKbn+Wo2GPL+tiit+0V4OtPcQcZHsXg79UgSgvtCy6QVciKJqY55i4p93ZQrnzaFriC&#10;uFitohuOrmH+Vj8ZHsADq6FDn/cvzJq+jT32/x0ME8yKN92cfEOkhtXWg2xiq7/y2vONYx8bp19R&#10;Ya8c69HrdZEu/wAAAP//AwBQSwMEFAAGAAgAAAAhACugobDgAAAACgEAAA8AAABkcnMvZG93bnJl&#10;di54bWxMj8FOwzAQRO9I/IO1SFwi6qRpqjaNUyGknoBDC+rZjbdJwF5HtpuGv8ecynE1TzNvq+1k&#10;NBvR+d6SgGyWAkNqrOqpFfD5sXtaAfNBkpLaEgr4QQ/b+v6ukqWyV9rjeAgtiyXkSymgC2EoOfdN&#10;h0b6mR2QYna2zsgQT9dy5eQ1lhvN52m65Eb2FBc6OeBLh8334WIEKP0m98lxTBI6uq+83anXIn8X&#10;4vFhet4ACziFGwx/+lEd6uh0shdSnmkB82yxiKiAYpkDi0BerNfATjFJsxXwuuL/X6h/AQAA//8D&#10;AFBLAQItABQABgAIAAAAIQC2gziS/gAAAOEBAAATAAAAAAAAAAAAAAAAAAAAAABbQ29udGVudF9U&#10;eXBlc10ueG1sUEsBAi0AFAAGAAgAAAAhADj9If/WAAAAlAEAAAsAAAAAAAAAAAAAAAAALwEAAF9y&#10;ZWxzLy5yZWxzUEsBAi0AFAAGAAgAAAAhALVTfgidAgAAkAUAAA4AAAAAAAAAAAAAAAAALgIAAGRy&#10;cy9lMm9Eb2MueG1sUEsBAi0AFAAGAAgAAAAhACugobDgAAAACgEAAA8AAAAAAAAAAAAAAAAA9wQA&#10;AGRycy9kb3ducmV2LnhtbFBLBQYAAAAABAAEAPMAAAAEBgAAAAA=&#10;" filled="f" strokecolor="#961e82" strokeweight="3.5pt"/>
            </w:pict>
          </mc:Fallback>
        </mc:AlternateContent>
      </w:r>
      <w:r w:rsidR="004B0D92" w:rsidRPr="0009699E">
        <w:rPr>
          <w:rFonts w:cs="Arial"/>
          <w:b/>
          <w:sz w:val="20"/>
          <w:szCs w:val="20"/>
          <w:lang w:val="en-NZ"/>
        </w:rPr>
        <w:t>Figure 2</w:t>
      </w:r>
      <w:r w:rsidR="00EF389E" w:rsidRPr="0009699E">
        <w:rPr>
          <w:rFonts w:cs="Arial"/>
          <w:b/>
          <w:sz w:val="20"/>
          <w:szCs w:val="20"/>
          <w:lang w:val="en-NZ"/>
        </w:rPr>
        <w:t>.</w:t>
      </w:r>
      <w:r w:rsidR="004B0D92" w:rsidRPr="0009699E">
        <w:rPr>
          <w:rFonts w:cs="Arial"/>
          <w:b/>
          <w:sz w:val="20"/>
          <w:szCs w:val="20"/>
          <w:lang w:val="en-NZ"/>
        </w:rPr>
        <w:t xml:space="preserve"> </w:t>
      </w:r>
      <w:r w:rsidR="004B0D92" w:rsidRPr="0009699E">
        <w:rPr>
          <w:rFonts w:cs="Arial"/>
          <w:b/>
          <w:i/>
          <w:sz w:val="20"/>
          <w:szCs w:val="20"/>
          <w:lang w:val="en-NZ"/>
        </w:rPr>
        <w:t xml:space="preserve">He Ara </w:t>
      </w:r>
      <w:r w:rsidR="00363C3E" w:rsidRPr="0009699E">
        <w:rPr>
          <w:rFonts w:cs="Arial"/>
          <w:b/>
          <w:i/>
          <w:sz w:val="20"/>
          <w:szCs w:val="20"/>
          <w:lang w:val="en-NZ"/>
        </w:rPr>
        <w:t>Āwhina Service-Level Monitoring Framework</w:t>
      </w:r>
      <w:r w:rsidR="00363C3E" w:rsidRPr="0009699E">
        <w:rPr>
          <w:rFonts w:cs="Arial"/>
          <w:b/>
          <w:sz w:val="20"/>
          <w:szCs w:val="20"/>
          <w:lang w:val="en-NZ"/>
        </w:rPr>
        <w:t xml:space="preserve"> </w:t>
      </w:r>
      <w:r w:rsidR="00D145B6" w:rsidRPr="0009699E">
        <w:rPr>
          <w:rFonts w:cs="Arial"/>
          <w:b/>
          <w:sz w:val="20"/>
          <w:szCs w:val="20"/>
          <w:lang w:val="en-NZ"/>
        </w:rPr>
        <w:t>indicative</w:t>
      </w:r>
      <w:r w:rsidR="003D47BE" w:rsidRPr="0009699E">
        <w:rPr>
          <w:rFonts w:cs="Arial"/>
          <w:b/>
          <w:sz w:val="20"/>
          <w:szCs w:val="20"/>
          <w:lang w:val="en-NZ"/>
        </w:rPr>
        <w:t xml:space="preserve"> </w:t>
      </w:r>
      <w:r w:rsidR="00363C3E" w:rsidRPr="0009699E">
        <w:rPr>
          <w:rFonts w:cs="Arial"/>
          <w:b/>
          <w:sz w:val="20"/>
          <w:szCs w:val="20"/>
          <w:lang w:val="en-NZ"/>
        </w:rPr>
        <w:t>project timeline</w:t>
      </w:r>
    </w:p>
    <w:p w14:paraId="48EBB321" w14:textId="469F6916" w:rsidR="00CA6B94" w:rsidRPr="0009699E" w:rsidRDefault="00196C5D" w:rsidP="008E6A7C">
      <w:pPr>
        <w:rPr>
          <w:rFonts w:cs="Arial"/>
          <w:b/>
          <w:sz w:val="20"/>
          <w:szCs w:val="20"/>
          <w:lang w:val="en-NZ"/>
        </w:rPr>
      </w:pPr>
      <w:r w:rsidRPr="0009699E">
        <w:rPr>
          <w:rFonts w:cs="Arial"/>
          <w:noProof/>
        </w:rPr>
        <w:drawing>
          <wp:inline distT="0" distB="0" distL="0" distR="0" wp14:anchorId="2029FB7B" wp14:editId="78FFB296">
            <wp:extent cx="5731510" cy="866554"/>
            <wp:effectExtent l="19050" t="0" r="21590" b="10160"/>
            <wp:docPr id="3" name="Diagram 3">
              <a:extLst xmlns:a="http://schemas.openxmlformats.org/drawingml/2006/main">
                <a:ext uri="{FF2B5EF4-FFF2-40B4-BE49-F238E27FC236}">
                  <a16:creationId xmlns:a16="http://schemas.microsoft.com/office/drawing/2014/main" id="{22F7CF86-EC8C-40C4-913E-13A31DB8F4B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09699E">
        <w:rPr>
          <w:rFonts w:cs="Arial"/>
          <w:lang w:val="en-NZ"/>
        </w:rPr>
        <w:t xml:space="preserve"> </w:t>
      </w:r>
    </w:p>
    <w:p w14:paraId="3DE3CF58" w14:textId="77777777" w:rsidR="00B3403B" w:rsidRPr="0009699E" w:rsidRDefault="00B3403B">
      <w:pPr>
        <w:rPr>
          <w:rFonts w:eastAsia="Times New Roman" w:cs="Arial"/>
          <w:lang w:val="en-NZ" w:eastAsia="en-NZ"/>
        </w:rPr>
      </w:pPr>
      <w:r w:rsidRPr="0009699E">
        <w:rPr>
          <w:rFonts w:cs="Arial"/>
          <w:lang w:val="en-NZ"/>
        </w:rPr>
        <w:br w:type="page"/>
      </w:r>
    </w:p>
    <w:p w14:paraId="36AFCB35" w14:textId="5E8560EA" w:rsidR="000E0BE9" w:rsidRPr="0009699E" w:rsidRDefault="000E0BE9" w:rsidP="002F5E93">
      <w:pPr>
        <w:pStyle w:val="ListParagraph"/>
        <w:numPr>
          <w:ilvl w:val="0"/>
          <w:numId w:val="7"/>
        </w:numPr>
        <w:spacing w:line="259" w:lineRule="auto"/>
        <w:ind w:left="567" w:hanging="567"/>
        <w:rPr>
          <w:lang w:val="en-NZ"/>
        </w:rPr>
      </w:pPr>
      <w:r w:rsidRPr="0009699E">
        <w:rPr>
          <w:lang w:val="en-NZ"/>
        </w:rPr>
        <w:lastRenderedPageBreak/>
        <w:t xml:space="preserve">The monitoring </w:t>
      </w:r>
      <w:r w:rsidR="007D484C" w:rsidRPr="0009699E">
        <w:rPr>
          <w:lang w:val="en-NZ"/>
        </w:rPr>
        <w:t>of</w:t>
      </w:r>
      <w:r w:rsidRPr="0009699E">
        <w:rPr>
          <w:lang w:val="en-NZ"/>
        </w:rPr>
        <w:t xml:space="preserve"> wellbeing outcomes </w:t>
      </w:r>
      <w:r w:rsidR="007D484C" w:rsidRPr="0009699E">
        <w:rPr>
          <w:lang w:val="en-NZ"/>
        </w:rPr>
        <w:t xml:space="preserve">of tāngata whai ora and </w:t>
      </w:r>
      <w:r w:rsidR="00980D6F" w:rsidRPr="0009699E">
        <w:rPr>
          <w:lang w:val="en-NZ"/>
        </w:rPr>
        <w:t xml:space="preserve">their whānau </w:t>
      </w:r>
      <w:r w:rsidRPr="0009699E">
        <w:rPr>
          <w:lang w:val="en-NZ"/>
        </w:rPr>
        <w:t>is shared between the two frameworks. This interconnection focuses the monitoring of services on their contribution to wellbeing outcomes. Alongside these frameworks, the Initial Commission will be making recommendations to address information gaps to monitor performance.</w:t>
      </w:r>
    </w:p>
    <w:p w14:paraId="111393B0" w14:textId="3F9C3418" w:rsidR="000E0BE9" w:rsidRPr="0009699E" w:rsidRDefault="0009699E" w:rsidP="008E6A7C">
      <w:pPr>
        <w:kinsoku w:val="0"/>
        <w:overflowPunct w:val="0"/>
        <w:spacing w:before="240"/>
        <w:textAlignment w:val="baseline"/>
        <w:rPr>
          <w:rFonts w:cs="Arial"/>
          <w:sz w:val="20"/>
          <w:szCs w:val="20"/>
        </w:rPr>
      </w:pPr>
      <w:r w:rsidRPr="0009699E">
        <w:rPr>
          <w:rFonts w:cs="Arial"/>
          <w:noProof/>
        </w:rPr>
        <mc:AlternateContent>
          <mc:Choice Requires="wps">
            <w:drawing>
              <wp:anchor distT="0" distB="0" distL="114300" distR="114300" simplePos="0" relativeHeight="251688960" behindDoc="0" locked="0" layoutInCell="1" allowOverlap="1" wp14:anchorId="742A8BB2" wp14:editId="7F14E761">
                <wp:simplePos x="0" y="0"/>
                <wp:positionH relativeFrom="column">
                  <wp:posOffset>-29210</wp:posOffset>
                </wp:positionH>
                <wp:positionV relativeFrom="paragraph">
                  <wp:posOffset>480060</wp:posOffset>
                </wp:positionV>
                <wp:extent cx="2381250" cy="1745615"/>
                <wp:effectExtent l="57150" t="19050" r="76200" b="83185"/>
                <wp:wrapNone/>
                <wp:docPr id="6" name="Isosceles Triangle 5">
                  <a:extLst xmlns:a="http://schemas.openxmlformats.org/drawingml/2006/main">
                    <a:ext uri="{FF2B5EF4-FFF2-40B4-BE49-F238E27FC236}">
                      <a16:creationId xmlns:a16="http://schemas.microsoft.com/office/drawing/2014/main" id="{4CAAD419-3E5D-466D-BAED-D8DDFD6B5E58}"/>
                    </a:ext>
                  </a:extLst>
                </wp:docPr>
                <wp:cNvGraphicFramePr/>
                <a:graphic xmlns:a="http://schemas.openxmlformats.org/drawingml/2006/main">
                  <a:graphicData uri="http://schemas.microsoft.com/office/word/2010/wordprocessingShape">
                    <wps:wsp>
                      <wps:cNvSpPr/>
                      <wps:spPr>
                        <a:xfrm rot="10800000">
                          <a:off x="0" y="0"/>
                          <a:ext cx="2381250" cy="1745615"/>
                        </a:xfrm>
                        <a:prstGeom prst="triangle">
                          <a:avLst>
                            <a:gd name="adj" fmla="val 50432"/>
                          </a:avLst>
                        </a:prstGeom>
                        <a:solidFill>
                          <a:schemeClr val="bg1"/>
                        </a:solidFill>
                        <a:ln w="57150">
                          <a:solidFill>
                            <a:srgbClr val="961E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AB3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2.3pt;margin-top:37.8pt;width:187.5pt;height:137.4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5VLAMAAKsGAAAOAAAAZHJzL2Uyb0RvYy54bWysVdtu2zAMfR+wfxD07voS202CukMSx0OB&#10;oivWDn1WZDnxIEuepFy6ov8+SraTdi2GYVgfXNEkj3gOaebi06HhaMeUrqXIcHgWYMQElWUt1hn+&#10;dl94Y4y0IaIkXAqW4Uem8afLjx8u9u2URXIjeckUAhChp/s2wxtj2qnva7phDdFnsmUCnJVUDTFg&#10;qrVfKrIH9Ib7URCk/l6qslWSMq3hbd458aXDrypGzZeq0swgnmGozbincs+VffqXF2S6VqTd1LQv&#10;g/xDFQ2pBVx6hMqJIWir6jdQTU2V1LIyZ1Q2vqyqmjLHAdiEwW9s7jakZY4LiKPbo0z6/8HSm92t&#10;QnWZ4RQjQRpo0ZWWmjLONLpXNRFrzlDiuLGDudbGsoRTx+6pKKJ5sixir4CTFwfz2Jsv44lXRKPx&#10;MjovFtEofbbZYTqlihEDc3JVDkqH6d8x6XtuNYp9p7Ur+SlezGZ5HE680TLJvThNc28+W+ZePs7z&#10;Ik+hsmT8bHvsu5qH/46Fv2/11NG3w+KOd+2tgmBraThapodKNUhJmJswGAf2z0kBjUMHN0WPxymy&#10;olB4CczDKIFho+ALz+MkDZO+BotmUVulzWcmG2QPGTa9zg6a7HqR12XfEFJ+x6hqOAzmjnCUBPEo&#10;6gH7YKA3QFp4LXldFjXnzrCfEltwhSA5w6t12Oe+iuIC7TOcnIdQ+FsItV4dASZpuBwP97/AgBq4&#10;AIVP6rmTeeTMAnLxlVXQNStQd8PrugilTJiwc21IybpyEyd510G3FCwT10cHaJErIHrE7gHex+5g&#10;+nibytyGOCb31P+UfMxwN0thjslNLaR6jxkHVv3NXfwgUieNVWkly0f4DN2cweDolhY1TMY10eaW&#10;KOg7vIQlC6OykeonRntYWBnWP7ZEMYz4lYCNMAnj2G44Z8TJeQSGeulZvfSIbbOQMA6hu80dbbzh&#10;w7FSsnmA3Tqzt4KLCAp3Z5gaNRgL0y1S2M6UzWYuDLZaS8y1uGupBbcq2cm8PzwQ1Q7jDl/KjRyW&#10;G5m6Ie4UOsXaTCFnWyOr2ljnSafegI3oBqHf3nblvrRd1Ok35vIXAAAA//8DAFBLAwQUAAYACAAA&#10;ACEAqBUNW98AAAAJAQAADwAAAGRycy9kb3ducmV2LnhtbEyPQU/DMAyF70j8h8hI3LYEWDsoTSdA&#10;oE0gDhu7cMsa0wYap2qyrfx7zAkOlm29p+fP5WL0nTjgEF0gDRdTBQKpDtZRo2H79jS5BhGTIWu6&#10;QKjhGyMsqtOT0hQ2HGmNh01qBIdQLIyGNqW+kDLWLXoTp6FHYu0jDN4kXodG2sEcOdx38lKpXHrj&#10;iC+0pseHFuuvzd5rcOuEN9vlc/65dK+P96uX98Sl9fnZeHcLIuGY/szwi8/oUDHTLuzJRtFpmMxy&#10;dmqYZ9xZv5qrGYgdD5nKQFal/P9B9QMAAP//AwBQSwECLQAUAAYACAAAACEAtoM4kv4AAADhAQAA&#10;EwAAAAAAAAAAAAAAAAAAAAAAW0NvbnRlbnRfVHlwZXNdLnhtbFBLAQItABQABgAIAAAAIQA4/SH/&#10;1gAAAJQBAAALAAAAAAAAAAAAAAAAAC8BAABfcmVscy8ucmVsc1BLAQItABQABgAIAAAAIQDRVL5V&#10;LAMAAKsGAAAOAAAAAAAAAAAAAAAAAC4CAABkcnMvZTJvRG9jLnhtbFBLAQItABQABgAIAAAAIQCo&#10;FQ1b3wAAAAkBAAAPAAAAAAAAAAAAAAAAAIYFAABkcnMvZG93bnJldi54bWxQSwUGAAAAAAQABADz&#10;AAAAkgYAAAAA&#10;" adj="10893" fillcolor="white [3212]" strokecolor="#961e82" strokeweight="4.5pt"/>
            </w:pict>
          </mc:Fallback>
        </mc:AlternateContent>
      </w:r>
      <w:r w:rsidR="000E0BE9" w:rsidRPr="0009699E">
        <w:rPr>
          <w:rFonts w:cs="Arial"/>
          <w:b/>
          <w:bCs/>
          <w:iCs/>
          <w:color w:val="000000" w:themeColor="text1"/>
          <w:kern w:val="24"/>
          <w:sz w:val="20"/>
          <w:szCs w:val="20"/>
        </w:rPr>
        <w:t xml:space="preserve">Figure </w:t>
      </w:r>
      <w:r w:rsidR="00466273" w:rsidRPr="0009699E">
        <w:rPr>
          <w:rFonts w:cs="Arial"/>
          <w:b/>
          <w:bCs/>
          <w:iCs/>
          <w:color w:val="000000" w:themeColor="text1"/>
          <w:kern w:val="24"/>
          <w:sz w:val="20"/>
          <w:szCs w:val="20"/>
        </w:rPr>
        <w:t>3</w:t>
      </w:r>
      <w:r w:rsidR="000E0BE9" w:rsidRPr="0009699E">
        <w:rPr>
          <w:rFonts w:cs="Arial"/>
          <w:b/>
          <w:bCs/>
          <w:iCs/>
          <w:color w:val="000000" w:themeColor="text1"/>
          <w:kern w:val="24"/>
          <w:sz w:val="20"/>
          <w:szCs w:val="20"/>
        </w:rPr>
        <w:t xml:space="preserve">. </w:t>
      </w:r>
      <w:r w:rsidR="000E0BE9" w:rsidRPr="0009699E">
        <w:rPr>
          <w:rFonts w:cs="Arial"/>
          <w:b/>
          <w:bCs/>
          <w:i/>
          <w:iCs/>
          <w:color w:val="000000" w:themeColor="text1"/>
          <w:kern w:val="24"/>
          <w:sz w:val="20"/>
          <w:szCs w:val="20"/>
        </w:rPr>
        <w:t xml:space="preserve">He Ara Oranga Wellbeing Outcomes Framework </w:t>
      </w:r>
      <w:r w:rsidR="000E0BE9" w:rsidRPr="0009699E">
        <w:rPr>
          <w:rFonts w:cs="Arial"/>
          <w:b/>
          <w:bCs/>
          <w:color w:val="000000" w:themeColor="text1"/>
          <w:kern w:val="24"/>
          <w:sz w:val="20"/>
          <w:szCs w:val="20"/>
        </w:rPr>
        <w:t xml:space="preserve">connected to the </w:t>
      </w:r>
      <w:r w:rsidR="000E0BE9" w:rsidRPr="0009699E">
        <w:rPr>
          <w:rFonts w:cs="Arial"/>
          <w:b/>
          <w:bCs/>
          <w:i/>
          <w:color w:val="000000" w:themeColor="text1"/>
          <w:kern w:val="24"/>
          <w:sz w:val="20"/>
          <w:szCs w:val="20"/>
        </w:rPr>
        <w:t>He Ara Āwhina Monitoring Framework</w:t>
      </w:r>
    </w:p>
    <w:p w14:paraId="37157BD6" w14:textId="0EE69985" w:rsidR="000E0BE9" w:rsidRPr="0009699E" w:rsidRDefault="003F34CE" w:rsidP="008E6A7C">
      <w:pPr>
        <w:spacing w:after="120"/>
        <w:rPr>
          <w:rFonts w:cs="Arial"/>
          <w:lang w:val="en-NZ"/>
        </w:rPr>
      </w:pPr>
      <w:r w:rsidRPr="0009699E">
        <w:rPr>
          <w:rFonts w:cs="Arial"/>
          <w:noProof/>
          <w:sz w:val="20"/>
          <w:szCs w:val="20"/>
        </w:rPr>
        <mc:AlternateContent>
          <mc:Choice Requires="wps">
            <w:drawing>
              <wp:anchor distT="0" distB="0" distL="114300" distR="114300" simplePos="0" relativeHeight="251689984" behindDoc="0" locked="0" layoutInCell="1" allowOverlap="1" wp14:anchorId="1FC7185D" wp14:editId="1B28EC40">
                <wp:simplePos x="0" y="0"/>
                <wp:positionH relativeFrom="margin">
                  <wp:posOffset>428625</wp:posOffset>
                </wp:positionH>
                <wp:positionV relativeFrom="paragraph">
                  <wp:posOffset>-635</wp:posOffset>
                </wp:positionV>
                <wp:extent cx="1362075" cy="1718945"/>
                <wp:effectExtent l="0" t="0" r="0" b="0"/>
                <wp:wrapNone/>
                <wp:docPr id="7" name="TextBox 11">
                  <a:extLst xmlns:a="http://schemas.openxmlformats.org/drawingml/2006/main">
                    <a:ext uri="{FF2B5EF4-FFF2-40B4-BE49-F238E27FC236}">
                      <a16:creationId xmlns:a16="http://schemas.microsoft.com/office/drawing/2014/main" id="{93F49BF1-05D4-4FCA-B09D-CB8C64460C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71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68B37" w14:textId="77777777" w:rsidR="00903CCA" w:rsidRPr="0009699E" w:rsidRDefault="00903CCA" w:rsidP="003F34CE">
                            <w:pPr>
                              <w:kinsoku w:val="0"/>
                              <w:overflowPunct w:val="0"/>
                              <w:spacing w:after="240"/>
                              <w:jc w:val="center"/>
                              <w:textAlignment w:val="baseline"/>
                              <w:rPr>
                                <w:sz w:val="20"/>
                                <w:szCs w:val="20"/>
                              </w:rPr>
                            </w:pPr>
                            <w:r w:rsidRPr="008874DE">
                              <w:rPr>
                                <w:rFonts w:eastAsia="Calibri"/>
                                <w:kern w:val="24"/>
                                <w:sz w:val="20"/>
                                <w:szCs w:val="20"/>
                              </w:rPr>
                              <w:t>Cascading of wellbeing outcomes from population-level</w:t>
                            </w:r>
                          </w:p>
                          <w:p w14:paraId="32F77C39" w14:textId="77777777" w:rsidR="00903CCA" w:rsidRPr="0009699E" w:rsidRDefault="00903CCA" w:rsidP="000E0BE9">
                            <w:pPr>
                              <w:kinsoku w:val="0"/>
                              <w:overflowPunct w:val="0"/>
                              <w:spacing w:after="0" w:line="240" w:lineRule="auto"/>
                              <w:jc w:val="center"/>
                              <w:textAlignment w:val="baseline"/>
                              <w:rPr>
                                <w:sz w:val="20"/>
                                <w:szCs w:val="20"/>
                              </w:rPr>
                            </w:pPr>
                            <w:r w:rsidRPr="008874DE">
                              <w:rPr>
                                <w:rFonts w:eastAsia="Calibri"/>
                                <w:kern w:val="24"/>
                                <w:sz w:val="20"/>
                                <w:szCs w:val="20"/>
                              </w:rPr>
                              <w:t>Mental health and</w:t>
                            </w:r>
                          </w:p>
                          <w:p w14:paraId="5B6555DF" w14:textId="77777777" w:rsidR="00903CCA" w:rsidRPr="0009699E" w:rsidRDefault="00903CCA" w:rsidP="000E0BE9">
                            <w:pPr>
                              <w:kinsoku w:val="0"/>
                              <w:overflowPunct w:val="0"/>
                              <w:spacing w:after="0" w:line="240" w:lineRule="auto"/>
                              <w:jc w:val="center"/>
                              <w:textAlignment w:val="baseline"/>
                              <w:rPr>
                                <w:sz w:val="20"/>
                                <w:szCs w:val="20"/>
                              </w:rPr>
                            </w:pPr>
                            <w:r w:rsidRPr="008874DE">
                              <w:rPr>
                                <w:rFonts w:eastAsia="Calibri"/>
                                <w:kern w:val="24"/>
                                <w:sz w:val="20"/>
                                <w:szCs w:val="20"/>
                              </w:rPr>
                              <w:t xml:space="preserve"> addiction </w:t>
                            </w:r>
                          </w:p>
                          <w:p w14:paraId="599C4193" w14:textId="77777777" w:rsidR="00903CCA" w:rsidRPr="0009699E" w:rsidRDefault="00903CCA" w:rsidP="000E0BE9">
                            <w:pPr>
                              <w:kinsoku w:val="0"/>
                              <w:overflowPunct w:val="0"/>
                              <w:spacing w:after="0" w:line="240" w:lineRule="auto"/>
                              <w:jc w:val="center"/>
                              <w:textAlignment w:val="baseline"/>
                              <w:rPr>
                                <w:sz w:val="20"/>
                                <w:szCs w:val="20"/>
                              </w:rPr>
                            </w:pPr>
                            <w:r w:rsidRPr="008874DE">
                              <w:rPr>
                                <w:rFonts w:eastAsia="Calibri"/>
                                <w:kern w:val="24"/>
                                <w:sz w:val="20"/>
                                <w:szCs w:val="20"/>
                              </w:rPr>
                              <w:t>service-level</w:t>
                            </w:r>
                          </w:p>
                          <w:p w14:paraId="5A8C7E04" w14:textId="77777777" w:rsidR="00903CCA" w:rsidRPr="0009699E" w:rsidRDefault="00903CCA" w:rsidP="000E0BE9">
                            <w:pPr>
                              <w:kinsoku w:val="0"/>
                              <w:overflowPunct w:val="0"/>
                              <w:spacing w:after="0" w:line="240" w:lineRule="auto"/>
                              <w:jc w:val="center"/>
                              <w:textAlignment w:val="baseline"/>
                              <w:rPr>
                                <w:sz w:val="20"/>
                                <w:szCs w:val="20"/>
                              </w:rPr>
                            </w:pPr>
                            <w:r w:rsidRPr="008874DE">
                              <w:rPr>
                                <w:rFonts w:eastAsia="Calibri"/>
                                <w:kern w:val="24"/>
                                <w:sz w:val="20"/>
                                <w:szCs w:val="20"/>
                              </w:rPr>
                              <w:t xml:space="preserve"> outcomes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7185D" id="TextBox 11" o:spid="_x0000_s1027" type="#_x0000_t202" style="position:absolute;margin-left:33.75pt;margin-top:-.05pt;width:107.25pt;height:135.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rNAMAAN0GAAAOAAAAZHJzL2Uyb0RvYy54bWysVVuPnDYUfq/U/2D5nQUzhgG0bLQDQxVp&#10;m1barfrsATOggE1s7zKbKP+9x2ZuSVqpTcoD44Pt4/NdfOb2zWEc0AtXupcix+QmwIiLWja92Of4&#10;j6fKSzDShomGDVLwHL9yjd/c/fzT7TxlPJSdHBquECQROpunHHfGTJnv67rjI9M3cuICJlupRmYg&#10;VHu/UWyG7OPgh0EQ+7NUzaRkzbWGr+Uyie9c/rbltfmtbTU3aMgx1GbcW7n3zr79u1uW7RWbur4+&#10;lsG+o4qR9QIOPacqmWHoWfXfpBr7WkktW3NTy9GXbdvX3GEANCT4Cs1jxybusAA5ejrTpP+/tPW7&#10;l98V6pscrzESbASJnvjBbOQBEeIQQfSgjcUGowXTp6oKN9G2ol4FI48GG+pttjT1qnCVbMN1VYSr&#10;+LPdTeKsVpwZcMfb5sQvif9d/UelLTPUdwy7Qj+lq4qmm4p4QVRSj1bFvbcJ0tIrNkkRUxoHRUI/&#10;W2V9V/Pp16Hw50lnDrS1iBs+TsCAOQBkMLCDrKcHWb/XSMiiY2LP75WSc8dZA8QTl/hq65JH2yS7&#10;+VfZAIPs2UiX6NCq0TIHOiPIDgZ8PZvOslnbI1dxGKwjjGqYI2uSpDQ6Fn/aPiltfuFyRHaQYwWu&#10;dunZC2BacJ6W2NOErPphcM4exBcfgJDly9+JmgbpNtkmwGgYb0HUsvTuq4J6cUXWUbkqi6Iki6g0&#10;6/qm4cIecxaV/mdRg0VUW6GWQ9/YdC5Q+10xKPTC4NKCw+A5EnK1zGfkuoyTyHb/xacpCcGcIRgz&#10;TtbgFBp56TpIvICkmzQOaErL6ktID73gPw4JzTlOozBa3PSP2AL3fIuNZWNvoC0O/Zjj5LyIZdaD&#10;W9E4aQ3rh2V8RYUt/0LF4v+L761JF7uaw+7gLpOzs3XzTjavYGFo5eCwTqqPGM3QFnOsPzwzxTEa&#10;3gqwf0ootX3UBTRahxCo65nd9Yx4HgsJIhKMmKgha47NaViYpQ1DH5yYeRCPU20XWgGtmZ8OfzI1&#10;HR1vQNJ38tQOWfaV8Ze1dqeQ93D32t7digssoMQG0EMdOcd+b5v0dexWXf6V7v4CAAD//wMAUEsD&#10;BBQABgAIAAAAIQBtOdPj3QAAAAgBAAAPAAAAZHJzL2Rvd25yZXYueG1sTI/BbsIwEETvlfoP1lbq&#10;DWyiEiCNgxBVr60KtBI3Ey9J1HgdxYakf9/tqdx2NKPZN/l6dK24Yh8aTxpmUwUCqfS2oUrDYf86&#10;WYII0ZA1rSfU8IMB1sX9XW4y6wf6wOsuVoJLKGRGQx1jl0kZyhqdCVPfIbF39r0zkWVfSdubgctd&#10;KxOlUulMQ/yhNh1uayy/dxen4fPtfPx6Uu/Vi5t3gx+VJLeSWj8+jJtnEBHH+B+GP3xGh4KZTv5C&#10;NohWQ7qYc1LDZAaC7WSZ8LQTHwuVgixyeTug+AUAAP//AwBQSwECLQAUAAYACAAAACEAtoM4kv4A&#10;AADhAQAAEwAAAAAAAAAAAAAAAAAAAAAAW0NvbnRlbnRfVHlwZXNdLnhtbFBLAQItABQABgAIAAAA&#10;IQA4/SH/1gAAAJQBAAALAAAAAAAAAAAAAAAAAC8BAABfcmVscy8ucmVsc1BLAQItABQABgAIAAAA&#10;IQDG/gnrNAMAAN0GAAAOAAAAAAAAAAAAAAAAAC4CAABkcnMvZTJvRG9jLnhtbFBLAQItABQABgAI&#10;AAAAIQBtOdPj3QAAAAgBAAAPAAAAAAAAAAAAAAAAAI4FAABkcnMvZG93bnJldi54bWxQSwUGAAAA&#10;AAQABADzAAAAmAYAAAAA&#10;" filled="f" stroked="f">
                <v:textbox>
                  <w:txbxContent>
                    <w:p w14:paraId="02668B37" w14:textId="77777777" w:rsidR="00903CCA" w:rsidRPr="0009699E" w:rsidRDefault="00903CCA" w:rsidP="003F34CE">
                      <w:pPr>
                        <w:kinsoku w:val="0"/>
                        <w:overflowPunct w:val="0"/>
                        <w:spacing w:after="240"/>
                        <w:jc w:val="center"/>
                        <w:textAlignment w:val="baseline"/>
                        <w:rPr>
                          <w:sz w:val="20"/>
                          <w:szCs w:val="20"/>
                        </w:rPr>
                      </w:pPr>
                      <w:r w:rsidRPr="008874DE">
                        <w:rPr>
                          <w:rFonts w:eastAsia="Calibri"/>
                          <w:kern w:val="24"/>
                          <w:sz w:val="20"/>
                          <w:szCs w:val="20"/>
                        </w:rPr>
                        <w:t>Cascading of wellbeing outcomes from population-level</w:t>
                      </w:r>
                    </w:p>
                    <w:p w14:paraId="32F77C39" w14:textId="77777777" w:rsidR="00903CCA" w:rsidRPr="0009699E" w:rsidRDefault="00903CCA" w:rsidP="000E0BE9">
                      <w:pPr>
                        <w:kinsoku w:val="0"/>
                        <w:overflowPunct w:val="0"/>
                        <w:spacing w:after="0" w:line="240" w:lineRule="auto"/>
                        <w:jc w:val="center"/>
                        <w:textAlignment w:val="baseline"/>
                        <w:rPr>
                          <w:sz w:val="20"/>
                          <w:szCs w:val="20"/>
                        </w:rPr>
                      </w:pPr>
                      <w:r w:rsidRPr="008874DE">
                        <w:rPr>
                          <w:rFonts w:eastAsia="Calibri"/>
                          <w:kern w:val="24"/>
                          <w:sz w:val="20"/>
                          <w:szCs w:val="20"/>
                        </w:rPr>
                        <w:t>Mental health and</w:t>
                      </w:r>
                    </w:p>
                    <w:p w14:paraId="5B6555DF" w14:textId="77777777" w:rsidR="00903CCA" w:rsidRPr="0009699E" w:rsidRDefault="00903CCA" w:rsidP="000E0BE9">
                      <w:pPr>
                        <w:kinsoku w:val="0"/>
                        <w:overflowPunct w:val="0"/>
                        <w:spacing w:after="0" w:line="240" w:lineRule="auto"/>
                        <w:jc w:val="center"/>
                        <w:textAlignment w:val="baseline"/>
                        <w:rPr>
                          <w:sz w:val="20"/>
                          <w:szCs w:val="20"/>
                        </w:rPr>
                      </w:pPr>
                      <w:r w:rsidRPr="008874DE">
                        <w:rPr>
                          <w:rFonts w:eastAsia="Calibri"/>
                          <w:kern w:val="24"/>
                          <w:sz w:val="20"/>
                          <w:szCs w:val="20"/>
                        </w:rPr>
                        <w:t xml:space="preserve"> addiction </w:t>
                      </w:r>
                    </w:p>
                    <w:p w14:paraId="599C4193" w14:textId="77777777" w:rsidR="00903CCA" w:rsidRPr="0009699E" w:rsidRDefault="00903CCA" w:rsidP="000E0BE9">
                      <w:pPr>
                        <w:kinsoku w:val="0"/>
                        <w:overflowPunct w:val="0"/>
                        <w:spacing w:after="0" w:line="240" w:lineRule="auto"/>
                        <w:jc w:val="center"/>
                        <w:textAlignment w:val="baseline"/>
                        <w:rPr>
                          <w:sz w:val="20"/>
                          <w:szCs w:val="20"/>
                        </w:rPr>
                      </w:pPr>
                      <w:r w:rsidRPr="008874DE">
                        <w:rPr>
                          <w:rFonts w:eastAsia="Calibri"/>
                          <w:kern w:val="24"/>
                          <w:sz w:val="20"/>
                          <w:szCs w:val="20"/>
                        </w:rPr>
                        <w:t>service-level</w:t>
                      </w:r>
                    </w:p>
                    <w:p w14:paraId="5A8C7E04" w14:textId="77777777" w:rsidR="00903CCA" w:rsidRPr="0009699E" w:rsidRDefault="00903CCA" w:rsidP="000E0BE9">
                      <w:pPr>
                        <w:kinsoku w:val="0"/>
                        <w:overflowPunct w:val="0"/>
                        <w:spacing w:after="0" w:line="240" w:lineRule="auto"/>
                        <w:jc w:val="center"/>
                        <w:textAlignment w:val="baseline"/>
                        <w:rPr>
                          <w:sz w:val="20"/>
                          <w:szCs w:val="20"/>
                        </w:rPr>
                      </w:pPr>
                      <w:r w:rsidRPr="008874DE">
                        <w:rPr>
                          <w:rFonts w:eastAsia="Calibri"/>
                          <w:kern w:val="24"/>
                          <w:sz w:val="20"/>
                          <w:szCs w:val="20"/>
                        </w:rPr>
                        <w:t xml:space="preserve"> outcomes</w:t>
                      </w:r>
                    </w:p>
                  </w:txbxContent>
                </v:textbox>
                <w10:wrap anchorx="margin"/>
              </v:shape>
            </w:pict>
          </mc:Fallback>
        </mc:AlternateContent>
      </w:r>
      <w:r w:rsidR="00B97DAB" w:rsidRPr="008874DE">
        <w:rPr>
          <w:rFonts w:cs="Arial"/>
          <w:noProof/>
        </w:rPr>
        <mc:AlternateContent>
          <mc:Choice Requires="wps">
            <w:drawing>
              <wp:anchor distT="0" distB="0" distL="114300" distR="114300" simplePos="0" relativeHeight="251691008" behindDoc="0" locked="0" layoutInCell="1" allowOverlap="1" wp14:anchorId="29A83778" wp14:editId="08B638F2">
                <wp:simplePos x="0" y="0"/>
                <wp:positionH relativeFrom="column">
                  <wp:posOffset>478952</wp:posOffset>
                </wp:positionH>
                <wp:positionV relativeFrom="paragraph">
                  <wp:posOffset>32385</wp:posOffset>
                </wp:positionV>
                <wp:extent cx="45085" cy="1597660"/>
                <wp:effectExtent l="57150" t="19050" r="88265" b="40640"/>
                <wp:wrapNone/>
                <wp:docPr id="8" name="Straight Arrow Connector 7">
                  <a:extLst xmlns:a="http://schemas.openxmlformats.org/drawingml/2006/main">
                    <a:ext uri="{FF2B5EF4-FFF2-40B4-BE49-F238E27FC236}">
                      <a16:creationId xmlns:a16="http://schemas.microsoft.com/office/drawing/2014/main" id="{7049A573-7E65-4D35-92A7-DBBCEC7FF26E}"/>
                    </a:ext>
                  </a:extLst>
                </wp:docPr>
                <wp:cNvGraphicFramePr/>
                <a:graphic xmlns:a="http://schemas.openxmlformats.org/drawingml/2006/main">
                  <a:graphicData uri="http://schemas.microsoft.com/office/word/2010/wordprocessingShape">
                    <wps:wsp>
                      <wps:cNvCnPr/>
                      <wps:spPr>
                        <a:xfrm>
                          <a:off x="0" y="0"/>
                          <a:ext cx="45085" cy="1597660"/>
                        </a:xfrm>
                        <a:prstGeom prst="straightConnector1">
                          <a:avLst/>
                        </a:prstGeom>
                        <a:ln w="28575">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196A31" id="_x0000_t32" coordsize="21600,21600" o:spt="32" o:oned="t" path="m,l21600,21600e" filled="f">
                <v:path arrowok="t" fillok="f" o:connecttype="none"/>
                <o:lock v:ext="edit" shapetype="t"/>
              </v:shapetype>
              <v:shape id="Straight Arrow Connector 7" o:spid="_x0000_s1026" type="#_x0000_t32" style="position:absolute;margin-left:37.7pt;margin-top:2.55pt;width:3.55pt;height:12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6wcbgIAAB0FAAAOAAAAZHJzL2Uyb0RvYy54bWysVNuOmzAQfa/Uf7B4J1zCJYmWrHKBqlLV&#10;rrrtBzjGJJaMjWw3JFrtv3dsAtur1FZ9ARvPmTnnzJi7+0vL0ZkqzaQovGgWeogKImsmjoX3+VPl&#10;LzykDRY15lLQwrtS7d2vX7+667sVjeVJ8poqBEmEXvVd4Z2M6VZBoMmJtljPZEcFHDZStdjAVh2D&#10;WuEesrc8iMMwC3qp6k5JQrWGr/vh0Fu7/E1DifnQNJoaxAsPuBn3VO55sM9gfYdXR4W7EyM3Gvgf&#10;WLSYCSg6pdpjg9EXxX5K1TKipJaNmRHZBrJpGKFOA6iJwh/UPJ5wR50WMEd3k036/6Ul788PCrG6&#10;8KBRArfQokejMDueDNooJXu0k0KAjVKh3CmkF/NOG6sVVoPGp6qKt2lZJX4FKz8Jt4m/LZOlX8Xz&#10;RRnn1S6eZ88WHWUroig2MC1v69HvKPszPbfOW6eSwDnuiD/lYbLcpPncz8ss9ZP9PPWX8Sb399vt&#10;rtzlQCkrn22nA8d5fDsVQd/plTPBjoxb7sSDgmC7092DskovjWrtG/qFLm54rtPwWBcIfEzScJF6&#10;iMBJlC7zLHPDBSVHcKe0eUNli+yi8PTN5snfyNmLz8Br4DoCbGUuUF948SLNUxemJWd1xTi3h1od&#10;Dzuu0BnDlOfhPNyMtb8LM5jxUtTIXDtos1EMiyOnN2O4AF9eNLuVuXI6FP9IG/AaVA4k3fWkU0lM&#10;CBUmmjJBtIU1QG8ChgNte69/B7zFWyh1V/dvwBPCVZbCTOCWCal+Vd1cRsrNED86MOi2FhxkfXXT&#10;4KyBO+iG5/a/sJf8272Dv/zV1l8BAAD//wMAUEsDBBQABgAIAAAAIQChcGYz3AAAAAcBAAAPAAAA&#10;ZHJzL2Rvd25yZXYueG1sTI7NboMwEITvlfoO1lbqrTFBIYkoS1QhRT2W/DyAgzdAg9cIO0D79HVP&#10;7XE0o2++bDebTow0uNYywnIRgSCurG65Rjif9i9bEM4r1qqzTAhf5GCXPz5kKtV24gONR1+LAGGX&#10;KoTG+z6V0lUNGeUWticO3dUORvkQh1rqQU0BbjoZR9FaGtVyeGhUT0VD1e14Nwgrebh+fO7Lm5ve&#10;9XcRF2V/HkvE56f57RWEp9n/jeFXP6hDHpwu9s7aiQ5hk6zCEiFZggj1Nk5AXBDiZL0BmWfyv3/+&#10;AwAA//8DAFBLAQItABQABgAIAAAAIQC2gziS/gAAAOEBAAATAAAAAAAAAAAAAAAAAAAAAABbQ29u&#10;dGVudF9UeXBlc10ueG1sUEsBAi0AFAAGAAgAAAAhADj9If/WAAAAlAEAAAsAAAAAAAAAAAAAAAAA&#10;LwEAAF9yZWxzLy5yZWxzUEsBAi0AFAAGAAgAAAAhAH0HrBxuAgAAHQUAAA4AAAAAAAAAAAAAAAAA&#10;LgIAAGRycy9lMm9Eb2MueG1sUEsBAi0AFAAGAAgAAAAhAKFwZjPcAAAABwEAAA8AAAAAAAAAAAAA&#10;AAAAyAQAAGRycy9kb3ducmV2LnhtbFBLBQYAAAAABAAEAPMAAADRBQAAAAA=&#10;" strokecolor="#7030a0" strokeweight="2.25pt">
                <v:stroke endarrow="block" joinstyle="miter"/>
              </v:shape>
            </w:pict>
          </mc:Fallback>
        </mc:AlternateContent>
      </w:r>
      <w:r w:rsidR="000E0BE9" w:rsidRPr="008874DE">
        <w:rPr>
          <w:rFonts w:cs="Arial"/>
          <w:noProof/>
        </w:rPr>
        <mc:AlternateContent>
          <mc:Choice Requires="wps">
            <w:drawing>
              <wp:anchor distT="0" distB="0" distL="114300" distR="114300" simplePos="0" relativeHeight="251692032" behindDoc="0" locked="0" layoutInCell="1" allowOverlap="1" wp14:anchorId="40A3C3A4" wp14:editId="01624A26">
                <wp:simplePos x="0" y="0"/>
                <wp:positionH relativeFrom="column">
                  <wp:posOffset>2385391</wp:posOffset>
                </wp:positionH>
                <wp:positionV relativeFrom="paragraph">
                  <wp:posOffset>8614</wp:posOffset>
                </wp:positionV>
                <wp:extent cx="1995778" cy="600164"/>
                <wp:effectExtent l="0" t="0" r="0" b="0"/>
                <wp:wrapNone/>
                <wp:docPr id="10" name="TextBox 10">
                  <a:extLst xmlns:a="http://schemas.openxmlformats.org/drawingml/2006/main">
                    <a:ext uri="{FF2B5EF4-FFF2-40B4-BE49-F238E27FC236}">
                      <a16:creationId xmlns:a16="http://schemas.microsoft.com/office/drawing/2014/main" id="{6B06973E-FF90-489E-A243-A1D595FA00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778" cy="600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B4295" w14:textId="77777777" w:rsidR="00903CCA" w:rsidRPr="00AE1862" w:rsidRDefault="00903CCA" w:rsidP="000E0BE9">
                            <w:pPr>
                              <w:kinsoku w:val="0"/>
                              <w:overflowPunct w:val="0"/>
                              <w:textAlignment w:val="baseline"/>
                              <w:rPr>
                                <w:sz w:val="20"/>
                                <w:szCs w:val="20"/>
                              </w:rPr>
                            </w:pPr>
                            <w:r w:rsidRPr="00AE1862">
                              <w:rPr>
                                <w:rFonts w:eastAsia="Calibri"/>
                                <w:i/>
                                <w:iCs/>
                                <w:color w:val="000000"/>
                                <w:kern w:val="24"/>
                                <w:sz w:val="20"/>
                                <w:szCs w:val="20"/>
                              </w:rPr>
                              <w:t>He Ara Oranga wellbeing outcomes framework</w:t>
                            </w:r>
                          </w:p>
                        </w:txbxContent>
                      </wps:txbx>
                      <wps:bodyPr vert="horz" wrap="square" lIns="91440" tIns="45720" rIns="91440" bIns="45720" numCol="1" anchor="t" anchorCtr="0" compatLnSpc="1">
                        <a:prstTxWarp prst="textNoShape">
                          <a:avLst/>
                        </a:prstTxWarp>
                        <a:spAutoFit/>
                      </wps:bodyPr>
                    </wps:wsp>
                  </a:graphicData>
                </a:graphic>
                <wp14:sizeRelH relativeFrom="margin">
                  <wp14:pctWidth>0</wp14:pctWidth>
                </wp14:sizeRelH>
              </wp:anchor>
            </w:drawing>
          </mc:Choice>
          <mc:Fallback>
            <w:pict>
              <v:shape w14:anchorId="40A3C3A4" id="TextBox 10" o:spid="_x0000_s1028" type="#_x0000_t202" style="position:absolute;margin-left:187.85pt;margin-top:.7pt;width:157.15pt;height:47.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YtNAMAAN0GAAAOAAAAZHJzL2Uyb0RvYy54bWysVVuPozYUfq/U/2D5ncEQQwANs0oCVCtN&#10;t5VmVvvsgAmoYFPbM2R2tP+9xybJZHdbqTceHF+Pz3fxye274zigZ650L0WOgxuCERe1bHpxyPHH&#10;x8pLMNKGiYYNUvAcv3CN3939+MPtPGU8lJ0cGq4QBBE6m6ccd8ZMme/ruuMj0zdy4gIWW6lGZmCo&#10;Dn6j2AzRx8EPCYn9WapmUrLmWsNssSziOxe/bXltfmlbzQ0acgy5Gdcq1+5t69/dsuyg2NT19SkN&#10;9i+yGFkv4NJLqIIZhp5U/12osa+V1LI1N7Ucfdm2fc0dBkATkG/QPHRs4g4LkKOnC036/wtbf3j+&#10;VaG+Ae2AHsFG0OiRH81WHhHMWEgwutfm1FtAvVZVuI3KinoV9DxKttTbljT1qnCVlOG62oWr+Is9&#10;HcRZrTgzYI/3zZngIP57AE5SW2qo7yh2mb7GWxKn61UJt6fEo0laepuQrrxNUERpVG0ISaIvVlrf&#10;ZX/+dSj8edKZQ2094roPE1BgjgAZWHCQ9XQv6980EnLXMXHgG6Xk3HHWAPOBC3x1dImjbZD9/LNs&#10;gEH2ZKQLdGzVaJkDoRFEB4pfLq4DXlFtr0zTaL2Gd1LDWkxIENNT7ufTk9LmJy5HZDs5VuBqF509&#10;A6QF5nmLvUzIqh8G5+xBfDUBfCwzf6ZpStIyKRPq0TAuQdOi8DbVjnpxFayjYlXsdkWwaEqzrm8a&#10;Luw1F03pP9aULJraDLUc+saGcwN12O8GhZ4ZPFowGHwnQq62+Sy4TuOssT1viXVv7zUNQvBmCL6M&#10;k7VHKxp56ZokHgnSbRoTmtKi+hrSfS/4f4eE5hynURgtZvpLbMR932Nj2dgbKItDP+Y4uWximbVg&#10;KRonrWH9sPSvqLDpv1Gx2P/N9taji1vNcX90bym0t1sz72XzAg6GUg4O66T6jNEMZTHH+vcnpjhG&#10;w3sB7k8DSm0ddQMarUMYqOuV/fWKeBp3EkQMMGKihqg5NufuzixlGOrgxMy9eJjq8/OzZn48fmJq&#10;OjnegKQf5Lkcsuwb4y97nXWmDTy9qnev4g0WUGIHUEMdOad6b4v09djtevtXuvsDAAD//wMAUEsD&#10;BBQABgAIAAAAIQCDj1KH3AAAAAgBAAAPAAAAZHJzL2Rvd25yZXYueG1sTI/LTsMwEEX3SPyDNUjs&#10;qF0gLQlxqoqHxKIbSti78RBHxOModpv07xlWsBydqzvnlpvZ9+KEY+wCaVguFAikJtiOWg31x+vN&#10;A4iYDFnTB0INZ4ywqS4vSlPYMNE7nvapFVxCsTAaXEpDIWVsHHoTF2FAYvYVRm8Sn2Mr7WgmLve9&#10;vFVqJb3piD84M+CTw+Z7f/QaUrLb5bl+8fHtc949T041mam1vr6at48gEs7pLwy/+qwOFTsdwpFs&#10;FL2Gu3W25iiDexDMV7nibQcNeZaDrEr5f0D1AwAA//8DAFBLAQItABQABgAIAAAAIQC2gziS/gAA&#10;AOEBAAATAAAAAAAAAAAAAAAAAAAAAABbQ29udGVudF9UeXBlc10ueG1sUEsBAi0AFAAGAAgAAAAh&#10;ADj9If/WAAAAlAEAAAsAAAAAAAAAAAAAAAAALwEAAF9yZWxzLy5yZWxzUEsBAi0AFAAGAAgAAAAh&#10;AKafBi00AwAA3QYAAA4AAAAAAAAAAAAAAAAALgIAAGRycy9lMm9Eb2MueG1sUEsBAi0AFAAGAAgA&#10;AAAhAIOPUofcAAAACAEAAA8AAAAAAAAAAAAAAAAAjgUAAGRycy9kb3ducmV2LnhtbFBLBQYAAAAA&#10;BAAEAPMAAACXBgAAAAA=&#10;" filled="f" stroked="f">
                <v:textbox style="mso-fit-shape-to-text:t">
                  <w:txbxContent>
                    <w:p w14:paraId="5ACB4295" w14:textId="77777777" w:rsidR="00903CCA" w:rsidRPr="00AE1862" w:rsidRDefault="00903CCA" w:rsidP="000E0BE9">
                      <w:pPr>
                        <w:kinsoku w:val="0"/>
                        <w:overflowPunct w:val="0"/>
                        <w:textAlignment w:val="baseline"/>
                        <w:rPr>
                          <w:sz w:val="20"/>
                          <w:szCs w:val="20"/>
                        </w:rPr>
                      </w:pPr>
                      <w:r w:rsidRPr="00AE1862">
                        <w:rPr>
                          <w:rFonts w:eastAsia="Calibri"/>
                          <w:i/>
                          <w:iCs/>
                          <w:color w:val="000000"/>
                          <w:kern w:val="24"/>
                          <w:sz w:val="20"/>
                          <w:szCs w:val="20"/>
                        </w:rPr>
                        <w:t>He Ara Oranga wellbeing outcomes framework</w:t>
                      </w:r>
                    </w:p>
                  </w:txbxContent>
                </v:textbox>
              </v:shape>
            </w:pict>
          </mc:Fallback>
        </mc:AlternateContent>
      </w:r>
    </w:p>
    <w:p w14:paraId="4E3CA3B9" w14:textId="77777777" w:rsidR="000E0BE9" w:rsidRPr="0009699E" w:rsidRDefault="000E0BE9" w:rsidP="008E6A7C">
      <w:pPr>
        <w:spacing w:after="120"/>
        <w:rPr>
          <w:rFonts w:cs="Arial"/>
          <w:lang w:val="en-NZ"/>
        </w:rPr>
      </w:pPr>
    </w:p>
    <w:p w14:paraId="0761C807" w14:textId="5D25E352" w:rsidR="000E0BE9" w:rsidRPr="0009699E" w:rsidRDefault="000E0BE9" w:rsidP="008E6A7C">
      <w:pPr>
        <w:rPr>
          <w:rFonts w:cs="Arial"/>
          <w:lang w:val="en-NZ"/>
        </w:rPr>
      </w:pPr>
      <w:r w:rsidRPr="0009699E">
        <w:rPr>
          <w:rFonts w:cs="Arial"/>
          <w:noProof/>
        </w:rPr>
        <mc:AlternateContent>
          <mc:Choice Requires="wps">
            <w:drawing>
              <wp:anchor distT="0" distB="0" distL="114300" distR="114300" simplePos="0" relativeHeight="251687936" behindDoc="0" locked="0" layoutInCell="1" allowOverlap="1" wp14:anchorId="2EF4D7AC" wp14:editId="78C7A2EB">
                <wp:simplePos x="0" y="0"/>
                <wp:positionH relativeFrom="margin">
                  <wp:posOffset>53163</wp:posOffset>
                </wp:positionH>
                <wp:positionV relativeFrom="paragraph">
                  <wp:posOffset>211381</wp:posOffset>
                </wp:positionV>
                <wp:extent cx="4190338" cy="1020726"/>
                <wp:effectExtent l="19050" t="19050" r="39370" b="46355"/>
                <wp:wrapNone/>
                <wp:docPr id="5" name="Rectangle 4">
                  <a:extLst xmlns:a="http://schemas.openxmlformats.org/drawingml/2006/main">
                    <a:ext uri="{FF2B5EF4-FFF2-40B4-BE49-F238E27FC236}">
                      <a16:creationId xmlns:a16="http://schemas.microsoft.com/office/drawing/2014/main" id="{3B22C00A-20B8-43A7-B59D-59C915246BD2}"/>
                    </a:ext>
                  </a:extLst>
                </wp:docPr>
                <wp:cNvGraphicFramePr/>
                <a:graphic xmlns:a="http://schemas.openxmlformats.org/drawingml/2006/main">
                  <a:graphicData uri="http://schemas.microsoft.com/office/word/2010/wordprocessingShape">
                    <wps:wsp>
                      <wps:cNvSpPr/>
                      <wps:spPr>
                        <a:xfrm>
                          <a:off x="0" y="0"/>
                          <a:ext cx="4190338" cy="1020726"/>
                        </a:xfrm>
                        <a:prstGeom prst="rect">
                          <a:avLst/>
                        </a:prstGeom>
                        <a:solidFill>
                          <a:schemeClr val="bg1"/>
                        </a:solidFill>
                        <a:ln w="57150">
                          <a:solidFill>
                            <a:srgbClr val="7E7E7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437BFFD" id="Rectangle 4" o:spid="_x0000_s1026" style="position:absolute;margin-left:4.2pt;margin-top:16.65pt;width:329.95pt;height:80.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aFufgIAAFQFAAAOAAAAZHJzL2Uyb0RvYy54bWysVG1r2zAQ/j7YfxD+7lpW7KQJdUqdxGMw&#10;ttJuP0CR5dggS0bS8kLpf99Jfum6jjHGErBP1t1z9zx30s3tuRXoyLVplMyC+AoHiEumykYesuDb&#10;1yK8DpCxVJZUKMmz4MJNcLt+/+7m1K04UbUSJdcIQKRZnbosqK3tVlFkWM1baq5UxyVsVkq31MJS&#10;H6JS0xOgtyIiGM+jk9JlpxXjxsDXbb8ZrD1+VXFmv1SV4RaJLIDarH9q/9y7Z7S+oauDpl3dsKEM&#10;+g9VtLSRkHSC2lJL0XfdvIFqG6aVUZW9YqqNVFU1jHsOwCbGv7B5rGnHPRcQx3STTOb/wbLPx3uN&#10;mjIL0gBJ2kKLHkA0Kg+Co8RT4mf7yVhHDqye1FNRkDzdFUlYgBUmOE/CfJcsw4LMrndkUWzIbP7s&#10;ouP5imlOLYzHx3IUOJ7/HYGh1U6aJPIS+0qfZjkhG4zvQoLz6zCZ3S3CPF1uw3S5WcYpSeb5ljy7&#10;1ka+5vHtWUSnzqw8azcj3nzs7jU4u5UB0zE9V7p1b2gQOvtpuUzT4lRg8DGJl3g2g/lmsBdjghdk&#10;PiQdwztt7AeuWuSMLNCgrJeUHqGWvr7RxWUzSjRl0QjhF+4I8I3Q6EhhePeHeAB/5SUkOkHvFnGK&#10;PfKrTaMP+wlgsXP/txigkZAg0Qt9b9mL4K4MIR94BbIDYdJneF0XZYxLG/dbNS15X26K4TcmGyN8&#10;IzygQ66A6IQ9AIyePciI3Ss1+LtQ7k/2FDxQ/1PwFOEzK2mn4LaRSv+OmQBWQ+befxSpl8aptFfl&#10;BY6PtmKj+guGSlYruF+Y1T7YecHR9cyHa8bdDT+vPezLZbj+AQAA//8DAFBLAwQUAAYACAAAACEA&#10;hU9QLt8AAAAIAQAADwAAAGRycy9kb3ducmV2LnhtbEyPwU7DMAyG70i8Q2QkbiyFbFVXmk4ICWlM&#10;2qGDA8esMW1Z41RN1pW3x5zgZuv/9PtzsZldLyYcQ+dJw/0iAYFUe9tRo+H97eUuAxGiIWt6T6jh&#10;GwNsyuurwuTWX6jC6RAbwSUUcqOhjXHIpQx1i86EhR+QOPv0ozOR17GRdjQXLne9fEiSVDrTEV9o&#10;zYDPLdanw9lpeJ12X4M6bav1dvVRrfaDot1eaX17Mz89gog4xz8YfvVZHUp2Ovoz2SB6DdmSQQ1K&#10;KRAcp2nGw5G59TIBWRby/wPlDwAAAP//AwBQSwECLQAUAAYACAAAACEAtoM4kv4AAADhAQAAEwAA&#10;AAAAAAAAAAAAAAAAAAAAW0NvbnRlbnRfVHlwZXNdLnhtbFBLAQItABQABgAIAAAAIQA4/SH/1gAA&#10;AJQBAAALAAAAAAAAAAAAAAAAAC8BAABfcmVscy8ucmVsc1BLAQItABQABgAIAAAAIQDS7aFufgIA&#10;AFQFAAAOAAAAAAAAAAAAAAAAAC4CAABkcnMvZTJvRG9jLnhtbFBLAQItABQABgAIAAAAIQCFT1Au&#10;3wAAAAgBAAAPAAAAAAAAAAAAAAAAANgEAABkcnMvZG93bnJldi54bWxQSwUGAAAAAAQABADzAAAA&#10;5AUAAAAA&#10;" fillcolor="white [3212]" strokecolor="#7e7e7e" strokeweight="4.5pt">
                <w10:wrap anchorx="margin"/>
              </v:rect>
            </w:pict>
          </mc:Fallback>
        </mc:AlternateContent>
      </w:r>
    </w:p>
    <w:p w14:paraId="4D436386" w14:textId="118E9F47" w:rsidR="000E0BE9" w:rsidRPr="0009699E" w:rsidRDefault="00B97DAB" w:rsidP="008E6A7C">
      <w:pPr>
        <w:rPr>
          <w:rFonts w:cs="Arial"/>
          <w:lang w:val="en-NZ"/>
        </w:rPr>
      </w:pPr>
      <w:r w:rsidRPr="0009699E">
        <w:rPr>
          <w:rFonts w:cs="Arial"/>
          <w:noProof/>
        </w:rPr>
        <mc:AlternateContent>
          <mc:Choice Requires="wps">
            <w:drawing>
              <wp:anchor distT="0" distB="0" distL="114300" distR="114300" simplePos="0" relativeHeight="251693056" behindDoc="0" locked="0" layoutInCell="1" allowOverlap="1" wp14:anchorId="391F0745" wp14:editId="268B36F6">
                <wp:simplePos x="0" y="0"/>
                <wp:positionH relativeFrom="column">
                  <wp:posOffset>1788795</wp:posOffset>
                </wp:positionH>
                <wp:positionV relativeFrom="paragraph">
                  <wp:posOffset>48422</wp:posOffset>
                </wp:positionV>
                <wp:extent cx="1796415" cy="969645"/>
                <wp:effectExtent l="0" t="0" r="0" b="0"/>
                <wp:wrapNone/>
                <wp:docPr id="9" name="TextBox 15">
                  <a:extLst xmlns:a="http://schemas.openxmlformats.org/drawingml/2006/main">
                    <a:ext uri="{FF2B5EF4-FFF2-40B4-BE49-F238E27FC236}">
                      <a16:creationId xmlns:a16="http://schemas.microsoft.com/office/drawing/2014/main" id="{61E88D29-1ED9-48BA-B64F-87B7C3FD8A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969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633E2" w14:textId="77777777" w:rsidR="00903CCA" w:rsidRPr="00AE1862" w:rsidRDefault="00903CCA" w:rsidP="000E0BE9">
                            <w:pPr>
                              <w:kinsoku w:val="0"/>
                              <w:overflowPunct w:val="0"/>
                              <w:textAlignment w:val="baseline"/>
                              <w:rPr>
                                <w:sz w:val="20"/>
                                <w:szCs w:val="20"/>
                              </w:rPr>
                            </w:pPr>
                            <w:r w:rsidRPr="00AE1862">
                              <w:rPr>
                                <w:rFonts w:eastAsia="Calibri"/>
                                <w:color w:val="000000"/>
                                <w:kern w:val="24"/>
                                <w:sz w:val="20"/>
                                <w:szCs w:val="20"/>
                              </w:rPr>
                              <w:t>Mental health and addiction service process and structure measures to monitor service quality</w:t>
                            </w:r>
                          </w:p>
                        </w:txbxContent>
                      </wps:txbx>
                      <wps:bodyPr vert="horz" wrap="square" lIns="91440" tIns="45720" rIns="91440" bIns="45720" numCol="1" anchor="t" anchorCtr="0" compatLnSpc="1">
                        <a:prstTxWarp prst="textNoShape">
                          <a:avLst/>
                        </a:prstTxWarp>
                        <a:spAutoFit/>
                      </wps:bodyPr>
                    </wps:wsp>
                  </a:graphicData>
                </a:graphic>
                <wp14:sizeRelH relativeFrom="margin">
                  <wp14:pctWidth>0</wp14:pctWidth>
                </wp14:sizeRelH>
              </wp:anchor>
            </w:drawing>
          </mc:Choice>
          <mc:Fallback>
            <w:pict>
              <v:shape w14:anchorId="391F0745" id="TextBox 15" o:spid="_x0000_s1029" type="#_x0000_t202" style="position:absolute;margin-left:140.85pt;margin-top:3.8pt;width:141.45pt;height:76.3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dg2MgMAANwGAAAOAAAAZHJzL2Uyb0RvYy54bWysVVmPmzoUfq90/4Pld4YlDgE0TJWwVJWm&#10;izRT9dkBE9AFm2t7hkyr/vcemyx0ebgbD8QH28fnW3xy+/o49OiZSdUJnmL/xsOI8UrUHT+k+NNj&#10;6UQYKU15TXvBWYpfmMKv7/54dTuNCQtEK/qaSQRJuEqmMcWt1mPiuqpq2UDVjRgZh8lGyIFqCOXB&#10;rSWdIPvQu4Hnhe4kZD1KUTGl4Gs+T+I7m79pWKU/NI1iGvUphtq0fUv73pu3e3dLk4OkY9tVpzLo&#10;v6hioB2HQy+pcqopepLdL6mGrpJCiUbfVGJwRdN0FbMYAI3v/YTmoaUjs1iAHDVeaFL/X9rq/fNH&#10;ibo6xTFGnA4g0SM76p04In9tEUF0r7TBBqMZ09eyDHbroiROCSOHeDvi7AoSO2WwiopgU2bBKvxm&#10;dvthUklGNbjjbX3m1w//Xv0npQ0zxLUM20K/hn4RRXkQO36Rxw6JdltnFxKw2ma3yVZlHm1zOB2U&#10;dW3N51+Lwp1GlVjQxiJ2+DACA/oIkMHAFrIa70X1p0JcZC3lB7aVUkwtozUQ79vEi61zHmWS7Kd3&#10;ogYG6ZMWNtGxkYNhDnRGkB0M+HIxnWGzMkdu4pAA16iCuTiEYH2q/bx7lEq/YWJAZpBiCaa22ekz&#10;QJphnpeYw7gou763xu75Dx+Aj/nL7zSNvbiIiog4JAgL0DTPnW2ZEScs/c06X+VZlvuzpiRpu7pm&#10;3Bxz0ZT8Y029WVNToRJ9V5t0NpCHfdZL9EzhzoLB4DkRsljmUn9Zxlljs/9q09gPwJtglDKMNg4p&#10;ydqJN17keH68i0OPxCQvf4R033H23yGhCZRcB/P9WRQNQJfYPPv8io0mQ6ehK/bdkOLosogmxoIF&#10;r620mnb9PF5QYcq/UjHb/2p749HZrfq4P9q7tDKnGzPvRf0CDoZODg5rhfyC0QRdMcXqrycqGUb9&#10;Ww7uj31CTBu1AVlvAgjkcma/nOFPQyZARB8jyivImmJ9HmZ67sLQBkeq7/nDWJ2vnzHz4/EzlePJ&#10;8RokfS/O3ZAmPxl/XmutM27h6pWdvRVXWECJCaCFWnJO7d706GVsV13/lO6+AwAA//8DAFBLAwQU&#10;AAYACAAAACEAecMgHt0AAAAJAQAADwAAAGRycy9kb3ducmV2LnhtbEyPTU/DMAyG70j8h8hI3FjS&#10;wbqpNJ0mPiQOXBjlnjWmqWicqsnW7t9jTuxm6330+nG5nX0vTjjGLpCGbKFAIDXBdtRqqD9f7zYg&#10;YjJkTR8INZwxwra6vipNYcNEH3jap1ZwCcXCaHApDYWUsXHoTVyEAYmz7zB6k3gdW2lHM3G57+VS&#10;qVx60xFfcGbAJ4fNz/7oNaRkd9m5fvHx7Wt+f56calam1vr2Zt49gkg4p38Y/vRZHSp2OoQj2Sh6&#10;DctNtmZUwzoHwfkqf+DhwGCu7kFWpbz8oPoFAAD//wMAUEsBAi0AFAAGAAgAAAAhALaDOJL+AAAA&#10;4QEAABMAAAAAAAAAAAAAAAAAAAAAAFtDb250ZW50X1R5cGVzXS54bWxQSwECLQAUAAYACAAAACEA&#10;OP0h/9YAAACUAQAACwAAAAAAAAAAAAAAAAAvAQAAX3JlbHMvLnJlbHNQSwECLQAUAAYACAAAACEA&#10;rJXYNjIDAADcBgAADgAAAAAAAAAAAAAAAAAuAgAAZHJzL2Uyb0RvYy54bWxQSwECLQAUAAYACAAA&#10;ACEAecMgHt0AAAAJAQAADwAAAAAAAAAAAAAAAACMBQAAZHJzL2Rvd25yZXYueG1sUEsFBgAAAAAE&#10;AAQA8wAAAJYGAAAAAA==&#10;" filled="f" stroked="f">
                <v:textbox style="mso-fit-shape-to-text:t">
                  <w:txbxContent>
                    <w:p w14:paraId="42C633E2" w14:textId="77777777" w:rsidR="00903CCA" w:rsidRPr="00AE1862" w:rsidRDefault="00903CCA" w:rsidP="000E0BE9">
                      <w:pPr>
                        <w:kinsoku w:val="0"/>
                        <w:overflowPunct w:val="0"/>
                        <w:textAlignment w:val="baseline"/>
                        <w:rPr>
                          <w:sz w:val="20"/>
                          <w:szCs w:val="20"/>
                        </w:rPr>
                      </w:pPr>
                      <w:r w:rsidRPr="00AE1862">
                        <w:rPr>
                          <w:rFonts w:eastAsia="Calibri"/>
                          <w:color w:val="000000"/>
                          <w:kern w:val="24"/>
                          <w:sz w:val="20"/>
                          <w:szCs w:val="20"/>
                        </w:rPr>
                        <w:t>Mental health and addiction service process and structure measures to monitor service quality</w:t>
                      </w:r>
                    </w:p>
                  </w:txbxContent>
                </v:textbox>
              </v:shape>
            </w:pict>
          </mc:Fallback>
        </mc:AlternateContent>
      </w:r>
      <w:r w:rsidR="000E0BE9" w:rsidRPr="008874DE">
        <w:rPr>
          <w:rFonts w:cs="Arial"/>
          <w:noProof/>
        </w:rPr>
        <mc:AlternateContent>
          <mc:Choice Requires="wps">
            <w:drawing>
              <wp:anchor distT="0" distB="0" distL="114300" distR="114300" simplePos="0" relativeHeight="251694080" behindDoc="0" locked="0" layoutInCell="1" allowOverlap="1" wp14:anchorId="5F7CEDDC" wp14:editId="56BDEC8F">
                <wp:simplePos x="0" y="0"/>
                <wp:positionH relativeFrom="column">
                  <wp:posOffset>4269850</wp:posOffset>
                </wp:positionH>
                <wp:positionV relativeFrom="paragraph">
                  <wp:posOffset>20845</wp:posOffset>
                </wp:positionV>
                <wp:extent cx="1268412" cy="776287"/>
                <wp:effectExtent l="0" t="0" r="0" b="5080"/>
                <wp:wrapNone/>
                <wp:docPr id="11" name="TextBox 14">
                  <a:extLst xmlns:a="http://schemas.openxmlformats.org/drawingml/2006/main">
                    <a:ext uri="{FF2B5EF4-FFF2-40B4-BE49-F238E27FC236}">
                      <a16:creationId xmlns:a16="http://schemas.microsoft.com/office/drawing/2014/main" id="{3573FFAD-E5DE-48FD-942D-3B7D07E7FD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412" cy="776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13234" w14:textId="77777777" w:rsidR="00903CCA" w:rsidRPr="00AE1862" w:rsidRDefault="00903CCA" w:rsidP="000E0BE9">
                            <w:pPr>
                              <w:kinsoku w:val="0"/>
                              <w:overflowPunct w:val="0"/>
                              <w:textAlignment w:val="baseline"/>
                              <w:rPr>
                                <w:sz w:val="20"/>
                                <w:szCs w:val="20"/>
                              </w:rPr>
                            </w:pPr>
                            <w:r>
                              <w:rPr>
                                <w:rFonts w:eastAsia="Calibri"/>
                                <w:i/>
                                <w:iCs/>
                                <w:color w:val="000000"/>
                                <w:kern w:val="24"/>
                                <w:sz w:val="20"/>
                                <w:szCs w:val="20"/>
                              </w:rPr>
                              <w:t xml:space="preserve">He Ara </w:t>
                            </w:r>
                            <w:r>
                              <w:rPr>
                                <w:rFonts w:eastAsia="Calibri"/>
                                <w:i/>
                                <w:iCs/>
                                <w:color w:val="000000"/>
                                <w:kern w:val="24"/>
                                <w:sz w:val="20"/>
                                <w:szCs w:val="20"/>
                                <w:lang w:val="mi-NZ"/>
                              </w:rPr>
                              <w:t>Āwhina</w:t>
                            </w:r>
                            <w:r w:rsidRPr="00AE1862">
                              <w:rPr>
                                <w:rFonts w:eastAsia="Calibri"/>
                                <w:i/>
                                <w:iCs/>
                                <w:color w:val="000000"/>
                                <w:kern w:val="24"/>
                                <w:sz w:val="20"/>
                                <w:szCs w:val="20"/>
                              </w:rPr>
                              <w:t xml:space="preserve"> monitoring framework</w:t>
                            </w: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5F7CEDDC" id="TextBox 14" o:spid="_x0000_s1030" type="#_x0000_t202" style="position:absolute;margin-left:336.2pt;margin-top:1.65pt;width:99.85pt;height:61.1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bgNAMAAN0GAAAOAAAAZHJzL2Uyb0RvYy54bWysVduO2zYQfS/QfyD4rtXFtG5YbbC2xCLA&#10;Ni2wG+SZlihLiEQqJHflbdB/75DyLUkLtEn1IHNE8nDOmcPx7ZvDOKAXrnQvRYHDmwAjLmrZ9GJf&#10;4PdP1Esx0oaJhg1S8AK/co3f3P380+085TySnRwarhCACJ3PU4E7Y6bc93Xd8ZHpGzlxAZOtVCMz&#10;EKq93yg2A/o4+FEQxP4sVTMpWXOt4Wu5TOI7h9+2vDa/ta3mBg0FhtyMeyv33tm3f3fL8r1iU9fX&#10;xzTYd2Qxsl7AoWeokhmGnlX/DdTY10pq2ZqbWo6+bNu+5o4DsAmDr9g8dmzijguIo6ezTPr/g63f&#10;vfyuUN9A7UKMBBuhRk/8YDbygELiKEH0oI0lB6OF1GdKo826osSjMPJIsCHepiKZR6NVWkUJ3Uar&#10;+E+7O4zzWnFmwB5vm5PAYfzvCBxLbaUhvpPYZfp5tU5WlN6XXrUuK4+ktPQyEpXeapOUQVIltLSn&#10;Q2l9l/Pp17Hw50nnjrX1iBs+TiCBOQBlUMFR1tODrD9qJOS2Y2LP75WSc8dZA8qHDvhq64KjLchu&#10;/lU2oCB7NtIBHVo1WuWg0AjQwYGvZ9dZNWt7ZBSnJIwwqmEuSeIoTY65n3ZPSptfuByRHRRYgasd&#10;OnsBSgvN0xJ7mJC0Hwbn7EF88QH0WL78XU2zIKvSKiUeiWJQNShL755uiRfTMFmXq3K7LcOlpiTv&#10;+qbhwh5zrin5zzUNlpraDLUc+sbCuUDtd9tBoRcGlxYMBs9RkKtlPguv0zjV2O6/2DQLI/BmBL6M&#10;08QjlKy9LAlSLwizTRYHJCMl/ZLSQy/4j1NCc4GzdbRezPSP3AL3fMuN5WNvoC0O/Vjg9LyI5daC&#10;lWhcaQ3rh2V8JYVN/yLFYv+L7a1HF7eaw+7g7hKxp1sz72TzCg6GVg4O66T6A6MZ2mKB9adnpjhG&#10;w1sB7s9CQmwfdQFZJxEE6npmdz0jnsethCJCa2GiBtQCm9Nwa5Y2DH1wYuZBPE716fpZMz8dPjA1&#10;HR1voKTv5Kkdsvwr4y9rnXWme7h6tHe34kILJLEB9FAnzrHf2yZ9HbtVl3+lu78AAAD//wMAUEsD&#10;BBQABgAIAAAAIQC+ZFY33gAAAAkBAAAPAAAAZHJzL2Rvd25yZXYueG1sTI/LTsMwEEX3SPyDNUjs&#10;qJOUtFWIU1U8pC7YUMJ+Gps4Ih5Hsdukf890BcvRPbr3TLmdXS/OZgydJwXpIgFhqPG6o1ZB/fn2&#10;sAERIpLG3pNRcDEBttXtTYmF9hN9mPMhtoJLKBSowMY4FFKGxhqHYeEHQ5x9+9Fh5HNspR5x4nLX&#10;yyxJVtJhR7xgcTDP1jQ/h5NTEKPepZf61YX91/z+MtmkybFW6v5u3j2BiGaOfzBc9VkdKnY6+hPp&#10;IHoFq3X2yKiC5RIE55t1loI4MpjlOciqlP8/qH4BAAD//wMAUEsBAi0AFAAGAAgAAAAhALaDOJL+&#10;AAAA4QEAABMAAAAAAAAAAAAAAAAAAAAAAFtDb250ZW50X1R5cGVzXS54bWxQSwECLQAUAAYACAAA&#10;ACEAOP0h/9YAAACUAQAACwAAAAAAAAAAAAAAAAAvAQAAX3JlbHMvLnJlbHNQSwECLQAUAAYACAAA&#10;ACEAwMAW4DQDAADdBgAADgAAAAAAAAAAAAAAAAAuAgAAZHJzL2Uyb0RvYy54bWxQSwECLQAUAAYA&#10;CAAAACEAvmRWN94AAAAJAQAADwAAAAAAAAAAAAAAAACOBQAAZHJzL2Rvd25yZXYueG1sUEsFBgAA&#10;AAAEAAQA8wAAAJkGAAAAAA==&#10;" filled="f" stroked="f">
                <v:textbox style="mso-fit-shape-to-text:t">
                  <w:txbxContent>
                    <w:p w14:paraId="48C13234" w14:textId="77777777" w:rsidR="00903CCA" w:rsidRPr="00AE1862" w:rsidRDefault="00903CCA" w:rsidP="000E0BE9">
                      <w:pPr>
                        <w:kinsoku w:val="0"/>
                        <w:overflowPunct w:val="0"/>
                        <w:textAlignment w:val="baseline"/>
                        <w:rPr>
                          <w:sz w:val="20"/>
                          <w:szCs w:val="20"/>
                        </w:rPr>
                      </w:pPr>
                      <w:r>
                        <w:rPr>
                          <w:rFonts w:eastAsia="Calibri"/>
                          <w:i/>
                          <w:iCs/>
                          <w:color w:val="000000"/>
                          <w:kern w:val="24"/>
                          <w:sz w:val="20"/>
                          <w:szCs w:val="20"/>
                        </w:rPr>
                        <w:t xml:space="preserve">He Ara </w:t>
                      </w:r>
                      <w:r>
                        <w:rPr>
                          <w:rFonts w:eastAsia="Calibri"/>
                          <w:i/>
                          <w:iCs/>
                          <w:color w:val="000000"/>
                          <w:kern w:val="24"/>
                          <w:sz w:val="20"/>
                          <w:szCs w:val="20"/>
                          <w:lang w:val="mi-NZ"/>
                        </w:rPr>
                        <w:t>Āwhina</w:t>
                      </w:r>
                      <w:r w:rsidRPr="00AE1862">
                        <w:rPr>
                          <w:rFonts w:eastAsia="Calibri"/>
                          <w:i/>
                          <w:iCs/>
                          <w:color w:val="000000"/>
                          <w:kern w:val="24"/>
                          <w:sz w:val="20"/>
                          <w:szCs w:val="20"/>
                        </w:rPr>
                        <w:t xml:space="preserve"> monitoring framework</w:t>
                      </w:r>
                    </w:p>
                  </w:txbxContent>
                </v:textbox>
              </v:shape>
            </w:pict>
          </mc:Fallback>
        </mc:AlternateContent>
      </w:r>
    </w:p>
    <w:p w14:paraId="2D4DE140" w14:textId="77777777" w:rsidR="000E0BE9" w:rsidRPr="008874DE" w:rsidRDefault="000E0BE9" w:rsidP="008E6A7C">
      <w:pPr>
        <w:rPr>
          <w:rFonts w:cs="Arial"/>
          <w:lang w:val="en-NZ"/>
        </w:rPr>
      </w:pPr>
    </w:p>
    <w:p w14:paraId="54472D6F" w14:textId="77777777" w:rsidR="00245E6E" w:rsidRPr="008874DE" w:rsidRDefault="00245E6E" w:rsidP="008E6A7C">
      <w:pPr>
        <w:rPr>
          <w:rFonts w:cs="Arial"/>
          <w:lang w:val="en-NZ"/>
        </w:rPr>
      </w:pPr>
    </w:p>
    <w:p w14:paraId="44B31E79" w14:textId="77777777" w:rsidR="00DB2228" w:rsidRPr="008874DE" w:rsidRDefault="00DB2228" w:rsidP="008E6A7C">
      <w:pPr>
        <w:rPr>
          <w:rFonts w:cs="Arial"/>
          <w:lang w:val="en-NZ"/>
        </w:rPr>
      </w:pPr>
    </w:p>
    <w:p w14:paraId="256B4BD4" w14:textId="0C909163" w:rsidR="00C22EE8" w:rsidRPr="0009699E" w:rsidRDefault="00443BC0" w:rsidP="008E6A7C">
      <w:pPr>
        <w:pStyle w:val="Heading2"/>
        <w:spacing w:before="240" w:after="120"/>
      </w:pPr>
      <w:bookmarkStart w:id="6" w:name="_Toc55818787"/>
      <w:r w:rsidRPr="0009699E">
        <w:t>Nex</w:t>
      </w:r>
      <w:r w:rsidR="004F7DD4" w:rsidRPr="0009699E">
        <w:t>t</w:t>
      </w:r>
      <w:r w:rsidR="004D3A86" w:rsidRPr="0009699E">
        <w:t xml:space="preserve"> steps</w:t>
      </w:r>
      <w:bookmarkEnd w:id="6"/>
    </w:p>
    <w:p w14:paraId="35752BC0" w14:textId="591150E3" w:rsidR="00CA19F6" w:rsidRPr="0009699E" w:rsidRDefault="00E94DBA" w:rsidP="002F5E93">
      <w:pPr>
        <w:pStyle w:val="ListParagraph"/>
        <w:numPr>
          <w:ilvl w:val="0"/>
          <w:numId w:val="7"/>
        </w:numPr>
        <w:spacing w:line="259" w:lineRule="auto"/>
        <w:ind w:left="567" w:hanging="567"/>
        <w:rPr>
          <w:lang w:val="en-NZ"/>
        </w:rPr>
      </w:pPr>
      <w:r w:rsidRPr="0009699E">
        <w:rPr>
          <w:lang w:val="en-NZ"/>
        </w:rPr>
        <w:t xml:space="preserve">We request your response to this discussion paper by </w:t>
      </w:r>
      <w:r w:rsidR="0051314E" w:rsidRPr="0051314E">
        <w:rPr>
          <w:b/>
          <w:lang w:val="en-NZ"/>
        </w:rPr>
        <w:t xml:space="preserve">Wednesday </w:t>
      </w:r>
      <w:r w:rsidR="0051314E">
        <w:rPr>
          <w:b/>
          <w:lang w:val="en-NZ"/>
        </w:rPr>
        <w:t>9</w:t>
      </w:r>
      <w:r w:rsidRPr="0009699E">
        <w:rPr>
          <w:b/>
          <w:lang w:val="en-NZ"/>
        </w:rPr>
        <w:t xml:space="preserve"> December 2020</w:t>
      </w:r>
      <w:r w:rsidR="00FC54A5" w:rsidRPr="0009699E">
        <w:rPr>
          <w:lang w:val="en-NZ"/>
        </w:rPr>
        <w:t xml:space="preserve">. </w:t>
      </w:r>
      <w:r w:rsidRPr="0009699E">
        <w:rPr>
          <w:lang w:val="en-NZ"/>
        </w:rPr>
        <w:t xml:space="preserve"> </w:t>
      </w:r>
      <w:r w:rsidR="00A57599" w:rsidRPr="0009699E">
        <w:rPr>
          <w:lang w:val="en-NZ"/>
        </w:rPr>
        <w:t>Alongside your</w:t>
      </w:r>
      <w:r w:rsidR="00B96248" w:rsidRPr="0009699E">
        <w:rPr>
          <w:lang w:val="en-NZ"/>
        </w:rPr>
        <w:t xml:space="preserve"> feedback, we will spend until</w:t>
      </w:r>
      <w:r w:rsidR="008A0212" w:rsidRPr="0009699E">
        <w:rPr>
          <w:lang w:val="en-NZ"/>
        </w:rPr>
        <w:t xml:space="preserve"> the</w:t>
      </w:r>
      <w:r w:rsidR="003A3EDD" w:rsidRPr="0009699E">
        <w:rPr>
          <w:lang w:val="en-NZ"/>
        </w:rPr>
        <w:t xml:space="preserve"> end of 202</w:t>
      </w:r>
      <w:r w:rsidR="006A79D1" w:rsidRPr="0009699E">
        <w:rPr>
          <w:lang w:val="en-NZ"/>
        </w:rPr>
        <w:t xml:space="preserve">0 gathering </w:t>
      </w:r>
      <w:r w:rsidR="00942E6E" w:rsidRPr="0009699E">
        <w:rPr>
          <w:lang w:val="en-NZ"/>
        </w:rPr>
        <w:t xml:space="preserve">and analysing </w:t>
      </w:r>
      <w:r w:rsidR="00E72DDB" w:rsidRPr="0009699E">
        <w:rPr>
          <w:lang w:val="en-NZ"/>
        </w:rPr>
        <w:t xml:space="preserve">views on how to best to approach the </w:t>
      </w:r>
      <w:r w:rsidR="00B97C36" w:rsidRPr="0009699E">
        <w:rPr>
          <w:i/>
          <w:lang w:val="en-NZ"/>
        </w:rPr>
        <w:t xml:space="preserve">He Ara Āwhina Service-Level Monitoring Framework </w:t>
      </w:r>
      <w:r w:rsidR="00B97C36" w:rsidRPr="0009699E">
        <w:rPr>
          <w:lang w:val="en-NZ"/>
        </w:rPr>
        <w:t>and review</w:t>
      </w:r>
      <w:r w:rsidR="00942E6E" w:rsidRPr="0009699E">
        <w:rPr>
          <w:lang w:val="en-NZ"/>
        </w:rPr>
        <w:t>ing</w:t>
      </w:r>
      <w:r w:rsidR="00B97C36" w:rsidRPr="0009699E">
        <w:rPr>
          <w:lang w:val="en-NZ"/>
        </w:rPr>
        <w:t xml:space="preserve"> literature, models and approaches to support </w:t>
      </w:r>
      <w:r w:rsidR="00942E6E" w:rsidRPr="0009699E">
        <w:rPr>
          <w:lang w:val="en-NZ"/>
        </w:rPr>
        <w:t xml:space="preserve">the </w:t>
      </w:r>
      <w:r w:rsidR="00B97C36" w:rsidRPr="0009699E">
        <w:rPr>
          <w:lang w:val="en-NZ"/>
        </w:rPr>
        <w:t>framework</w:t>
      </w:r>
      <w:r w:rsidR="00942E6E" w:rsidRPr="0009699E">
        <w:rPr>
          <w:lang w:val="en-NZ"/>
        </w:rPr>
        <w:t>’s</w:t>
      </w:r>
      <w:r w:rsidR="00B97C36" w:rsidRPr="0009699E">
        <w:rPr>
          <w:lang w:val="en-NZ"/>
        </w:rPr>
        <w:t xml:space="preserve"> de</w:t>
      </w:r>
      <w:r w:rsidR="00B01A6A" w:rsidRPr="0009699E">
        <w:rPr>
          <w:lang w:val="en-NZ"/>
        </w:rPr>
        <w:t>sign</w:t>
      </w:r>
      <w:r w:rsidR="00B97C36" w:rsidRPr="0009699E">
        <w:rPr>
          <w:lang w:val="en-NZ"/>
        </w:rPr>
        <w:t>.</w:t>
      </w:r>
    </w:p>
    <w:p w14:paraId="066F55B8" w14:textId="77777777" w:rsidR="00DE5404" w:rsidRPr="0009699E" w:rsidRDefault="00DE5404" w:rsidP="008E6A7C">
      <w:pPr>
        <w:pStyle w:val="ListParagraph"/>
        <w:numPr>
          <w:ilvl w:val="0"/>
          <w:numId w:val="0"/>
        </w:numPr>
        <w:spacing w:line="259" w:lineRule="auto"/>
        <w:ind w:left="720"/>
        <w:rPr>
          <w:lang w:val="en-NZ"/>
        </w:rPr>
      </w:pPr>
    </w:p>
    <w:p w14:paraId="11240920" w14:textId="13C82515" w:rsidR="00DE5404" w:rsidRPr="0009699E" w:rsidRDefault="00EE3692" w:rsidP="002F5E93">
      <w:pPr>
        <w:pStyle w:val="ListParagraph"/>
        <w:numPr>
          <w:ilvl w:val="0"/>
          <w:numId w:val="7"/>
        </w:numPr>
        <w:spacing w:line="259" w:lineRule="auto"/>
        <w:ind w:left="567" w:hanging="567"/>
        <w:rPr>
          <w:lang w:val="en-NZ"/>
        </w:rPr>
      </w:pPr>
      <w:r w:rsidRPr="0009699E">
        <w:rPr>
          <w:lang w:val="en-NZ"/>
        </w:rPr>
        <w:t xml:space="preserve">In early 2021 we will </w:t>
      </w:r>
      <w:r w:rsidR="007222BA" w:rsidRPr="0009699E">
        <w:rPr>
          <w:lang w:val="en-NZ"/>
        </w:rPr>
        <w:t>report what we</w:t>
      </w:r>
      <w:r w:rsidR="009E2F01" w:rsidRPr="0009699E">
        <w:rPr>
          <w:lang w:val="en-NZ"/>
        </w:rPr>
        <w:t xml:space="preserve"> have</w:t>
      </w:r>
      <w:r w:rsidR="00414581" w:rsidRPr="0009699E">
        <w:rPr>
          <w:lang w:val="en-NZ"/>
        </w:rPr>
        <w:t xml:space="preserve"> learnt from </w:t>
      </w:r>
      <w:r w:rsidR="009E2F01" w:rsidRPr="0009699E">
        <w:rPr>
          <w:lang w:val="en-NZ"/>
        </w:rPr>
        <w:t xml:space="preserve">this co-define stage </w:t>
      </w:r>
      <w:r w:rsidR="0071663A" w:rsidRPr="0009699E">
        <w:rPr>
          <w:lang w:val="en-NZ"/>
        </w:rPr>
        <w:t xml:space="preserve">to the permanent Commission Board </w:t>
      </w:r>
      <w:r w:rsidR="00071ED8" w:rsidRPr="0009699E">
        <w:rPr>
          <w:lang w:val="en-NZ"/>
        </w:rPr>
        <w:t xml:space="preserve">and </w:t>
      </w:r>
      <w:r w:rsidRPr="0009699E">
        <w:rPr>
          <w:lang w:val="en-NZ"/>
        </w:rPr>
        <w:t xml:space="preserve">begin the design of the </w:t>
      </w:r>
      <w:r w:rsidR="00B87717" w:rsidRPr="0009699E">
        <w:rPr>
          <w:i/>
          <w:lang w:val="en-NZ"/>
        </w:rPr>
        <w:t>Framework</w:t>
      </w:r>
      <w:r w:rsidR="00292E4D" w:rsidRPr="0009699E">
        <w:rPr>
          <w:lang w:val="en-NZ"/>
        </w:rPr>
        <w:t xml:space="preserve">, guided by an Expert Advisory </w:t>
      </w:r>
      <w:r w:rsidR="008400AB" w:rsidRPr="0009699E">
        <w:rPr>
          <w:lang w:val="en-NZ"/>
        </w:rPr>
        <w:t>Group bringing expertise f</w:t>
      </w:r>
      <w:r w:rsidR="00090656" w:rsidRPr="0009699E">
        <w:rPr>
          <w:lang w:val="en-NZ"/>
        </w:rPr>
        <w:t>rom</w:t>
      </w:r>
      <w:r w:rsidR="000F2DB2" w:rsidRPr="0009699E">
        <w:rPr>
          <w:lang w:val="en-NZ"/>
        </w:rPr>
        <w:t xml:space="preserve"> perspectives</w:t>
      </w:r>
      <w:r w:rsidR="00090656" w:rsidRPr="0009699E">
        <w:rPr>
          <w:lang w:val="en-NZ"/>
        </w:rPr>
        <w:t xml:space="preserve"> </w:t>
      </w:r>
      <w:r w:rsidR="007E167B" w:rsidRPr="0009699E">
        <w:rPr>
          <w:lang w:val="en-NZ"/>
        </w:rPr>
        <w:t>including</w:t>
      </w:r>
      <w:r w:rsidR="00810A05" w:rsidRPr="0009699E">
        <w:rPr>
          <w:lang w:val="en-NZ"/>
        </w:rPr>
        <w:t xml:space="preserve"> </w:t>
      </w:r>
      <w:r w:rsidR="006D0375" w:rsidRPr="0009699E">
        <w:rPr>
          <w:lang w:val="en-NZ"/>
        </w:rPr>
        <w:t xml:space="preserve">Te Ao Māori, lived experience </w:t>
      </w:r>
      <w:r w:rsidR="00C003C1" w:rsidRPr="0009699E">
        <w:rPr>
          <w:lang w:val="en-NZ"/>
        </w:rPr>
        <w:t xml:space="preserve">of </w:t>
      </w:r>
      <w:r w:rsidR="006D0375" w:rsidRPr="0009699E">
        <w:rPr>
          <w:lang w:val="en-NZ"/>
        </w:rPr>
        <w:t xml:space="preserve">mental </w:t>
      </w:r>
      <w:r w:rsidR="00C003C1" w:rsidRPr="0009699E">
        <w:rPr>
          <w:lang w:val="en-NZ"/>
        </w:rPr>
        <w:t>distress and</w:t>
      </w:r>
      <w:r w:rsidR="006D0375" w:rsidRPr="0009699E">
        <w:rPr>
          <w:lang w:val="en-NZ"/>
        </w:rPr>
        <w:t xml:space="preserve"> addiction and whānau, Pasifika and </w:t>
      </w:r>
      <w:r w:rsidR="00810A05" w:rsidRPr="0009699E">
        <w:rPr>
          <w:lang w:val="en-NZ"/>
        </w:rPr>
        <w:t xml:space="preserve">mental health and addiction service </w:t>
      </w:r>
      <w:r w:rsidR="00473BB4" w:rsidRPr="0009699E">
        <w:rPr>
          <w:lang w:val="en-NZ"/>
        </w:rPr>
        <w:t xml:space="preserve">quality and </w:t>
      </w:r>
      <w:r w:rsidR="00810A05" w:rsidRPr="0009699E">
        <w:rPr>
          <w:lang w:val="en-NZ"/>
        </w:rPr>
        <w:t>improvement</w:t>
      </w:r>
      <w:r w:rsidR="00C57A55" w:rsidRPr="0009699E">
        <w:rPr>
          <w:lang w:val="en-NZ"/>
        </w:rPr>
        <w:t>.</w:t>
      </w:r>
      <w:r w:rsidR="00090656" w:rsidRPr="0009699E">
        <w:rPr>
          <w:lang w:val="en-NZ"/>
        </w:rPr>
        <w:t xml:space="preserve"> </w:t>
      </w:r>
      <w:r w:rsidR="00C57A55" w:rsidRPr="0009699E">
        <w:rPr>
          <w:lang w:val="en-NZ"/>
        </w:rPr>
        <w:t xml:space="preserve">At this stage, the plan is to </w:t>
      </w:r>
      <w:r w:rsidR="00D83E4A" w:rsidRPr="0009699E">
        <w:rPr>
          <w:lang w:val="en-NZ"/>
        </w:rPr>
        <w:t>complete the</w:t>
      </w:r>
      <w:r w:rsidR="0059648C" w:rsidRPr="0009699E">
        <w:rPr>
          <w:lang w:val="en-NZ"/>
        </w:rPr>
        <w:t xml:space="preserve"> design </w:t>
      </w:r>
      <w:r w:rsidR="00F668BE" w:rsidRPr="0009699E">
        <w:rPr>
          <w:lang w:val="en-NZ"/>
        </w:rPr>
        <w:t>and data</w:t>
      </w:r>
      <w:r w:rsidR="007309E8" w:rsidRPr="0009699E">
        <w:rPr>
          <w:lang w:val="en-NZ"/>
        </w:rPr>
        <w:t>/</w:t>
      </w:r>
      <w:r w:rsidR="00D83E4A" w:rsidRPr="0009699E">
        <w:rPr>
          <w:lang w:val="en-NZ"/>
        </w:rPr>
        <w:t>methodology</w:t>
      </w:r>
      <w:r w:rsidR="00F668BE" w:rsidRPr="0009699E">
        <w:rPr>
          <w:lang w:val="en-NZ"/>
        </w:rPr>
        <w:t xml:space="preserve"> phase</w:t>
      </w:r>
      <w:r w:rsidR="007A2FB7" w:rsidRPr="0009699E">
        <w:rPr>
          <w:lang w:val="en-NZ"/>
        </w:rPr>
        <w:t>s</w:t>
      </w:r>
      <w:r w:rsidR="00F668BE" w:rsidRPr="0009699E">
        <w:rPr>
          <w:lang w:val="en-NZ"/>
        </w:rPr>
        <w:t xml:space="preserve"> </w:t>
      </w:r>
      <w:r w:rsidR="00744F9F" w:rsidRPr="0009699E">
        <w:rPr>
          <w:lang w:val="en-NZ"/>
        </w:rPr>
        <w:t xml:space="preserve">in the first </w:t>
      </w:r>
      <w:r w:rsidR="007A2FB7" w:rsidRPr="0009699E">
        <w:rPr>
          <w:lang w:val="en-NZ"/>
        </w:rPr>
        <w:t>half of</w:t>
      </w:r>
      <w:r w:rsidR="00C22EE8" w:rsidRPr="0009699E">
        <w:rPr>
          <w:lang w:val="en-NZ"/>
        </w:rPr>
        <w:t xml:space="preserve"> 2021</w:t>
      </w:r>
      <w:r w:rsidR="00FC54A5" w:rsidRPr="0009699E">
        <w:rPr>
          <w:lang w:val="en-NZ"/>
        </w:rPr>
        <w:t xml:space="preserve"> with the support of </w:t>
      </w:r>
      <w:r w:rsidR="00D26540" w:rsidRPr="0009699E">
        <w:rPr>
          <w:lang w:val="en-NZ"/>
        </w:rPr>
        <w:t>technical experts</w:t>
      </w:r>
      <w:r w:rsidR="007A2FB7" w:rsidRPr="0009699E">
        <w:rPr>
          <w:lang w:val="en-NZ"/>
        </w:rPr>
        <w:t>, and publish a monitoring report applying the framework in the second half of 2021</w:t>
      </w:r>
      <w:r w:rsidR="00C22EE8" w:rsidRPr="0009699E">
        <w:rPr>
          <w:lang w:val="en-NZ"/>
        </w:rPr>
        <w:t>.</w:t>
      </w:r>
      <w:r w:rsidR="007A2FB7" w:rsidRPr="0009699E">
        <w:rPr>
          <w:lang w:val="en-NZ"/>
        </w:rPr>
        <w:t xml:space="preserve"> These dates are subject to the direction of the permanent Commission.</w:t>
      </w:r>
    </w:p>
    <w:p w14:paraId="07EE3410" w14:textId="77777777" w:rsidR="00DE5404" w:rsidRPr="0009699E" w:rsidRDefault="00DE5404" w:rsidP="008E6A7C">
      <w:pPr>
        <w:pStyle w:val="ListParagraph"/>
        <w:numPr>
          <w:ilvl w:val="0"/>
          <w:numId w:val="0"/>
        </w:numPr>
        <w:spacing w:line="259" w:lineRule="auto"/>
        <w:ind w:left="720"/>
        <w:rPr>
          <w:lang w:val="en-NZ"/>
        </w:rPr>
      </w:pPr>
    </w:p>
    <w:p w14:paraId="31B00D3A" w14:textId="50A2D075" w:rsidR="00C22EE8" w:rsidRPr="0009699E" w:rsidRDefault="00CF4183" w:rsidP="002F5E93">
      <w:pPr>
        <w:pStyle w:val="ListParagraph"/>
        <w:numPr>
          <w:ilvl w:val="0"/>
          <w:numId w:val="7"/>
        </w:numPr>
        <w:spacing w:line="259" w:lineRule="auto"/>
        <w:ind w:left="567" w:hanging="567"/>
        <w:rPr>
          <w:lang w:val="en-NZ"/>
        </w:rPr>
      </w:pPr>
      <w:r w:rsidRPr="0009699E">
        <w:rPr>
          <w:lang w:val="en-NZ"/>
        </w:rPr>
        <w:t xml:space="preserve">There will be future opportunities for </w:t>
      </w:r>
      <w:r w:rsidR="00916624" w:rsidRPr="0009699E">
        <w:rPr>
          <w:lang w:val="en-NZ"/>
        </w:rPr>
        <w:t>you</w:t>
      </w:r>
      <w:r w:rsidR="00C95F94" w:rsidRPr="0009699E">
        <w:rPr>
          <w:lang w:val="en-NZ"/>
        </w:rPr>
        <w:t xml:space="preserve">, </w:t>
      </w:r>
      <w:r w:rsidR="00916624" w:rsidRPr="0009699E">
        <w:rPr>
          <w:lang w:val="en-NZ"/>
        </w:rPr>
        <w:t xml:space="preserve">your organisation and a wider group of </w:t>
      </w:r>
      <w:r w:rsidR="00C2350C" w:rsidRPr="0009699E">
        <w:rPr>
          <w:lang w:val="en-NZ"/>
        </w:rPr>
        <w:t>people and organisations</w:t>
      </w:r>
      <w:r w:rsidRPr="0009699E">
        <w:rPr>
          <w:lang w:val="en-NZ"/>
        </w:rPr>
        <w:t xml:space="preserve"> to review and </w:t>
      </w:r>
      <w:r w:rsidR="004D3A86" w:rsidRPr="0009699E">
        <w:rPr>
          <w:lang w:val="en-NZ"/>
        </w:rPr>
        <w:t xml:space="preserve">provide </w:t>
      </w:r>
      <w:r w:rsidRPr="0009699E">
        <w:rPr>
          <w:lang w:val="en-NZ"/>
        </w:rPr>
        <w:t xml:space="preserve">feedback on </w:t>
      </w:r>
      <w:r w:rsidR="007006BA" w:rsidRPr="0009699E">
        <w:rPr>
          <w:lang w:val="en-NZ"/>
        </w:rPr>
        <w:t>the</w:t>
      </w:r>
      <w:r w:rsidR="008625D8" w:rsidRPr="0009699E">
        <w:rPr>
          <w:lang w:val="en-NZ"/>
        </w:rPr>
        <w:t xml:space="preserve"> </w:t>
      </w:r>
      <w:r w:rsidRPr="0009699E">
        <w:rPr>
          <w:lang w:val="en-NZ"/>
        </w:rPr>
        <w:t>framework</w:t>
      </w:r>
      <w:r w:rsidR="007006BA" w:rsidRPr="0009699E">
        <w:rPr>
          <w:lang w:val="en-NZ"/>
        </w:rPr>
        <w:t xml:space="preserve"> as it develops</w:t>
      </w:r>
      <w:r w:rsidRPr="0009699E">
        <w:rPr>
          <w:lang w:val="en-NZ"/>
        </w:rPr>
        <w:t>.</w:t>
      </w:r>
      <w:r w:rsidR="004D3A86" w:rsidRPr="0009699E">
        <w:rPr>
          <w:lang w:val="en-NZ"/>
        </w:rPr>
        <w:t xml:space="preserve"> We will </w:t>
      </w:r>
      <w:r w:rsidR="00EF1460" w:rsidRPr="0009699E">
        <w:rPr>
          <w:lang w:val="en-NZ"/>
        </w:rPr>
        <w:t>communicate</w:t>
      </w:r>
      <w:r w:rsidR="004D3A86" w:rsidRPr="0009699E">
        <w:rPr>
          <w:lang w:val="en-NZ"/>
        </w:rPr>
        <w:t xml:space="preserve"> these</w:t>
      </w:r>
      <w:r w:rsidR="00E25BBB" w:rsidRPr="0009699E">
        <w:rPr>
          <w:lang w:val="en-NZ"/>
        </w:rPr>
        <w:t xml:space="preserve"> opportunities </w:t>
      </w:r>
      <w:r w:rsidR="007F0625" w:rsidRPr="0009699E">
        <w:rPr>
          <w:lang w:val="en-NZ"/>
        </w:rPr>
        <w:t>a</w:t>
      </w:r>
      <w:r w:rsidR="008A7A06" w:rsidRPr="0009699E">
        <w:rPr>
          <w:lang w:val="en-NZ"/>
        </w:rPr>
        <w:t>s they arise</w:t>
      </w:r>
      <w:r w:rsidR="004D3A86" w:rsidRPr="0009699E">
        <w:rPr>
          <w:lang w:val="en-NZ"/>
        </w:rPr>
        <w:t>.</w:t>
      </w:r>
    </w:p>
    <w:p w14:paraId="522B600D" w14:textId="77777777" w:rsidR="00B3403B" w:rsidRPr="0009699E" w:rsidRDefault="00B3403B">
      <w:pPr>
        <w:rPr>
          <w:rFonts w:eastAsiaTheme="majorEastAsia" w:cs="Arial"/>
          <w:b/>
          <w:sz w:val="32"/>
          <w:szCs w:val="32"/>
          <w:lang w:val="en-NZ"/>
        </w:rPr>
      </w:pPr>
      <w:r w:rsidRPr="008874DE">
        <w:rPr>
          <w:rFonts w:cs="Arial"/>
          <w:lang w:val="en-NZ"/>
        </w:rPr>
        <w:br w:type="page"/>
      </w:r>
    </w:p>
    <w:p w14:paraId="39BB7D6C" w14:textId="2AD89726" w:rsidR="000646BD" w:rsidRPr="0009699E" w:rsidRDefault="000646BD" w:rsidP="008E6A7C">
      <w:pPr>
        <w:pStyle w:val="Heading1"/>
        <w:rPr>
          <w:lang w:val="en-NZ"/>
        </w:rPr>
      </w:pPr>
      <w:bookmarkStart w:id="7" w:name="_Toc55818788"/>
      <w:r w:rsidRPr="0009699E">
        <w:rPr>
          <w:lang w:val="en-NZ"/>
        </w:rPr>
        <w:lastRenderedPageBreak/>
        <w:t xml:space="preserve">Co-defining </w:t>
      </w:r>
      <w:r w:rsidR="002661A0" w:rsidRPr="0009699E">
        <w:rPr>
          <w:lang w:val="en-NZ"/>
        </w:rPr>
        <w:t xml:space="preserve">expectations and </w:t>
      </w:r>
      <w:r w:rsidR="00844953" w:rsidRPr="0009699E">
        <w:rPr>
          <w:lang w:val="en-NZ"/>
        </w:rPr>
        <w:t>approach to monitoring and advocating for service-improvement</w:t>
      </w:r>
      <w:bookmarkEnd w:id="7"/>
    </w:p>
    <w:p w14:paraId="2B0542C1" w14:textId="77777777" w:rsidR="00E336F0" w:rsidRPr="0009699E" w:rsidRDefault="007B7B7D" w:rsidP="008E6A7C">
      <w:pPr>
        <w:pStyle w:val="Heading2"/>
        <w:rPr>
          <w:lang w:val="en-NZ"/>
        </w:rPr>
      </w:pPr>
      <w:bookmarkStart w:id="8" w:name="_Toc55818789"/>
      <w:r w:rsidRPr="0009699E">
        <w:rPr>
          <w:lang w:val="en-NZ"/>
        </w:rPr>
        <w:t xml:space="preserve">Co-define question 1: </w:t>
      </w:r>
      <w:r w:rsidR="00CA02BF" w:rsidRPr="0009699E">
        <w:rPr>
          <w:lang w:val="en-NZ"/>
        </w:rPr>
        <w:t>Why monitor services?</w:t>
      </w:r>
      <w:bookmarkEnd w:id="8"/>
      <w:r w:rsidR="0036032D" w:rsidRPr="0009699E">
        <w:rPr>
          <w:lang w:val="en-NZ"/>
        </w:rPr>
        <w:t xml:space="preserve"> </w:t>
      </w:r>
    </w:p>
    <w:p w14:paraId="2A2BAC14" w14:textId="7E187568" w:rsidR="001A2966" w:rsidRPr="0009699E" w:rsidRDefault="00E336F0" w:rsidP="002F5E93">
      <w:pPr>
        <w:pStyle w:val="ListParagraph"/>
        <w:numPr>
          <w:ilvl w:val="0"/>
          <w:numId w:val="7"/>
        </w:numPr>
        <w:spacing w:line="259" w:lineRule="auto"/>
        <w:ind w:left="567" w:hanging="567"/>
        <w:rPr>
          <w:lang w:val="en-NZ"/>
        </w:rPr>
      </w:pPr>
      <w:r w:rsidRPr="0009699E">
        <w:rPr>
          <w:lang w:val="en-NZ"/>
        </w:rPr>
        <w:t>The purpose of this question is to e</w:t>
      </w:r>
      <w:r w:rsidR="001A2966" w:rsidRPr="0009699E">
        <w:rPr>
          <w:lang w:val="en-NZ"/>
        </w:rPr>
        <w:t>nsur</w:t>
      </w:r>
      <w:r w:rsidR="00804FCC" w:rsidRPr="0009699E">
        <w:rPr>
          <w:lang w:val="en-NZ"/>
        </w:rPr>
        <w:t>e t</w:t>
      </w:r>
      <w:r w:rsidR="003B4310" w:rsidRPr="0009699E">
        <w:rPr>
          <w:lang w:val="en-NZ"/>
        </w:rPr>
        <w:t>hat</w:t>
      </w:r>
      <w:r w:rsidR="001A2966" w:rsidRPr="0009699E">
        <w:rPr>
          <w:lang w:val="en-NZ"/>
        </w:rPr>
        <w:t xml:space="preserve"> the Commission’s </w:t>
      </w:r>
      <w:r w:rsidR="0038161A" w:rsidRPr="0009699E">
        <w:rPr>
          <w:lang w:val="en-NZ"/>
        </w:rPr>
        <w:t>function to monitor and advoc</w:t>
      </w:r>
      <w:r w:rsidR="00937F1A" w:rsidRPr="0009699E">
        <w:rPr>
          <w:lang w:val="en-NZ"/>
        </w:rPr>
        <w:t xml:space="preserve">ate for improvement to mental health services and addiction services </w:t>
      </w:r>
      <w:r w:rsidR="001A2966" w:rsidRPr="0009699E">
        <w:rPr>
          <w:lang w:val="en-NZ"/>
        </w:rPr>
        <w:t>has the greatest impact</w:t>
      </w:r>
      <w:r w:rsidR="00937F1A" w:rsidRPr="0009699E">
        <w:rPr>
          <w:lang w:val="en-NZ"/>
        </w:rPr>
        <w:t>.</w:t>
      </w:r>
      <w:r w:rsidR="000B38B6" w:rsidRPr="0009699E">
        <w:rPr>
          <w:lang w:val="en-NZ"/>
        </w:rPr>
        <w:t xml:space="preserve"> This function</w:t>
      </w:r>
      <w:r w:rsidR="00011423" w:rsidRPr="0009699E">
        <w:rPr>
          <w:lang w:val="en-NZ"/>
        </w:rPr>
        <w:t xml:space="preserve"> is currently carried out by the Mental Health Commissioner </w:t>
      </w:r>
      <w:r w:rsidR="00C06B97" w:rsidRPr="0009699E">
        <w:rPr>
          <w:lang w:val="en-NZ"/>
        </w:rPr>
        <w:t>under</w:t>
      </w:r>
      <w:r w:rsidR="00011423" w:rsidRPr="0009699E">
        <w:rPr>
          <w:lang w:val="en-NZ"/>
        </w:rPr>
        <w:t xml:space="preserve"> the Health and Disability Commissioner Act 1994</w:t>
      </w:r>
      <w:r w:rsidR="00C06B97" w:rsidRPr="0009699E">
        <w:rPr>
          <w:lang w:val="en-NZ"/>
        </w:rPr>
        <w:t xml:space="preserve"> and will be transferred to the permanent Commission</w:t>
      </w:r>
      <w:r w:rsidR="000B38B6" w:rsidRPr="0009699E">
        <w:rPr>
          <w:lang w:val="en-NZ"/>
        </w:rPr>
        <w:t xml:space="preserve">. </w:t>
      </w:r>
      <w:r w:rsidR="00C06B97" w:rsidRPr="0009699E">
        <w:rPr>
          <w:lang w:val="en-NZ"/>
        </w:rPr>
        <w:t xml:space="preserve">How the Commission best delivers </w:t>
      </w:r>
      <w:r w:rsidR="006E622C" w:rsidRPr="0009699E">
        <w:rPr>
          <w:lang w:val="en-NZ"/>
        </w:rPr>
        <w:t xml:space="preserve">on </w:t>
      </w:r>
      <w:r w:rsidR="00C06B97" w:rsidRPr="0009699E">
        <w:rPr>
          <w:lang w:val="en-NZ"/>
        </w:rPr>
        <w:t>this function needs to be</w:t>
      </w:r>
      <w:r w:rsidR="000B38B6" w:rsidRPr="0009699E">
        <w:rPr>
          <w:lang w:val="en-NZ"/>
        </w:rPr>
        <w:t xml:space="preserve"> </w:t>
      </w:r>
      <w:r w:rsidR="00C06B97" w:rsidRPr="0009699E">
        <w:rPr>
          <w:lang w:val="en-NZ"/>
        </w:rPr>
        <w:t>designed</w:t>
      </w:r>
      <w:r w:rsidR="00011423" w:rsidRPr="0009699E">
        <w:rPr>
          <w:lang w:val="en-NZ"/>
        </w:rPr>
        <w:t xml:space="preserve"> </w:t>
      </w:r>
      <w:r w:rsidR="000B38B6" w:rsidRPr="0009699E">
        <w:rPr>
          <w:lang w:val="en-NZ"/>
        </w:rPr>
        <w:t xml:space="preserve">in-light-of </w:t>
      </w:r>
      <w:r w:rsidR="00C06B97" w:rsidRPr="0009699E">
        <w:rPr>
          <w:lang w:val="en-NZ"/>
        </w:rPr>
        <w:t>the Commission’s</w:t>
      </w:r>
      <w:r w:rsidR="000B38B6" w:rsidRPr="0009699E">
        <w:rPr>
          <w:lang w:val="en-NZ"/>
        </w:rPr>
        <w:t xml:space="preserve"> objective, powers and functions, and the broader monitoring</w:t>
      </w:r>
      <w:r w:rsidR="00C06B97" w:rsidRPr="0009699E">
        <w:rPr>
          <w:lang w:val="en-NZ"/>
        </w:rPr>
        <w:t xml:space="preserve"> and advocacy</w:t>
      </w:r>
      <w:r w:rsidR="000B38B6" w:rsidRPr="0009699E">
        <w:rPr>
          <w:lang w:val="en-NZ"/>
        </w:rPr>
        <w:t xml:space="preserve"> landscape.</w:t>
      </w:r>
    </w:p>
    <w:p w14:paraId="541EB814" w14:textId="77777777" w:rsidR="003B4310" w:rsidRPr="0009699E" w:rsidRDefault="003B4310" w:rsidP="008E6A7C">
      <w:pPr>
        <w:pStyle w:val="ListParagraph"/>
        <w:numPr>
          <w:ilvl w:val="0"/>
          <w:numId w:val="0"/>
        </w:numPr>
        <w:spacing w:line="259" w:lineRule="auto"/>
        <w:ind w:left="567"/>
        <w:rPr>
          <w:lang w:val="en-NZ"/>
        </w:rPr>
      </w:pPr>
    </w:p>
    <w:p w14:paraId="3BEBAB0D" w14:textId="50B60B2A" w:rsidR="008B0BFA" w:rsidRPr="0009699E" w:rsidRDefault="00F7152B" w:rsidP="009A4435">
      <w:pPr>
        <w:pStyle w:val="ListParagraph"/>
        <w:numPr>
          <w:ilvl w:val="0"/>
          <w:numId w:val="7"/>
        </w:numPr>
        <w:spacing w:line="259" w:lineRule="auto"/>
        <w:ind w:left="567" w:hanging="567"/>
        <w:rPr>
          <w:lang w:val="en-NZ"/>
        </w:rPr>
      </w:pPr>
      <w:r w:rsidRPr="0009699E">
        <w:rPr>
          <w:lang w:val="en-NZ"/>
        </w:rPr>
        <w:t xml:space="preserve">The Commission </w:t>
      </w:r>
      <w:r w:rsidR="0098373F" w:rsidRPr="0009699E">
        <w:rPr>
          <w:lang w:val="en-NZ"/>
        </w:rPr>
        <w:t xml:space="preserve">is an independent </w:t>
      </w:r>
      <w:r w:rsidR="005B5D32" w:rsidRPr="0009699E">
        <w:rPr>
          <w:lang w:val="en-NZ"/>
        </w:rPr>
        <w:t xml:space="preserve">voice to champion and hold </w:t>
      </w:r>
      <w:r w:rsidR="00C003C1" w:rsidRPr="0009699E">
        <w:rPr>
          <w:lang w:val="en-NZ"/>
        </w:rPr>
        <w:t>G</w:t>
      </w:r>
      <w:r w:rsidR="005B5D32" w:rsidRPr="0009699E">
        <w:rPr>
          <w:lang w:val="en-NZ"/>
        </w:rPr>
        <w:t xml:space="preserve">overnment to account for delivering </w:t>
      </w:r>
      <w:r w:rsidR="00707C1A" w:rsidRPr="0009699E">
        <w:rPr>
          <w:lang w:val="en-NZ"/>
        </w:rPr>
        <w:t>“</w:t>
      </w:r>
      <w:r w:rsidR="002A4CCC" w:rsidRPr="0009699E">
        <w:rPr>
          <w:lang w:val="en-NZ"/>
        </w:rPr>
        <w:t xml:space="preserve">better and equitable mental health and wellbeing outcomes for people in New Zealand” (s10 Mental Health and Wellbeing Commission Act 2020 </w:t>
      </w:r>
      <w:r w:rsidR="008E3733" w:rsidRPr="0009699E">
        <w:rPr>
          <w:lang w:val="en-NZ"/>
        </w:rPr>
        <w:t>(the Act)</w:t>
      </w:r>
      <w:r w:rsidR="002A4CCC" w:rsidRPr="0009699E">
        <w:rPr>
          <w:lang w:val="en-NZ"/>
        </w:rPr>
        <w:t xml:space="preserve">). </w:t>
      </w:r>
      <w:r w:rsidR="008E3733" w:rsidRPr="0009699E">
        <w:rPr>
          <w:lang w:val="en-NZ"/>
        </w:rPr>
        <w:t>The Commission has powers to report publicly and make recommendations</w:t>
      </w:r>
      <w:r w:rsidR="009A4435" w:rsidRPr="0009699E">
        <w:rPr>
          <w:lang w:val="en-NZ"/>
        </w:rPr>
        <w:t>; a</w:t>
      </w:r>
      <w:r w:rsidR="008E3733" w:rsidRPr="0009699E">
        <w:rPr>
          <w:lang w:val="en-NZ"/>
        </w:rPr>
        <w:t xml:space="preserve"> duty to uphold Te Tiriti o Waitangi, engage with and understand the perspectives of Māori</w:t>
      </w:r>
      <w:r w:rsidR="009A4435" w:rsidRPr="0009699E">
        <w:rPr>
          <w:lang w:val="en-NZ"/>
        </w:rPr>
        <w:t>, and have particular regard to the experience of, and outcomes for M</w:t>
      </w:r>
      <w:r w:rsidR="009A4435" w:rsidRPr="0009699E">
        <w:rPr>
          <w:lang w:val="mi-NZ"/>
        </w:rPr>
        <w:t>ā</w:t>
      </w:r>
      <w:r w:rsidR="009A4435" w:rsidRPr="0009699E">
        <w:rPr>
          <w:lang w:val="en-NZ"/>
        </w:rPr>
        <w:t xml:space="preserve">ori; </w:t>
      </w:r>
      <w:r w:rsidR="008E3733" w:rsidRPr="0009699E">
        <w:rPr>
          <w:lang w:val="en-NZ"/>
        </w:rPr>
        <w:t xml:space="preserve">and </w:t>
      </w:r>
      <w:r w:rsidR="00197D12" w:rsidRPr="0009699E">
        <w:rPr>
          <w:lang w:val="en-NZ"/>
        </w:rPr>
        <w:t xml:space="preserve">to </w:t>
      </w:r>
      <w:r w:rsidR="008E3733" w:rsidRPr="0009699E">
        <w:rPr>
          <w:lang w:val="en-NZ"/>
        </w:rPr>
        <w:t xml:space="preserve">advocate for the collective interests of people who experience mental distress or addiction and those who support them. These features create a unique lens to speak into the mental health and wellbeing system and support the transformation </w:t>
      </w:r>
      <w:r w:rsidR="009158E0" w:rsidRPr="0009699E">
        <w:rPr>
          <w:lang w:val="en-NZ"/>
        </w:rPr>
        <w:t>vision of</w:t>
      </w:r>
      <w:r w:rsidR="008E3733" w:rsidRPr="0009699E">
        <w:rPr>
          <w:lang w:val="en-NZ"/>
        </w:rPr>
        <w:t xml:space="preserve"> </w:t>
      </w:r>
      <w:r w:rsidR="008E3733" w:rsidRPr="0009699E">
        <w:rPr>
          <w:i/>
          <w:lang w:val="en-NZ"/>
        </w:rPr>
        <w:t>He Ara Oranga.</w:t>
      </w:r>
    </w:p>
    <w:p w14:paraId="41185937" w14:textId="77777777" w:rsidR="008B0BFA" w:rsidRPr="0009699E" w:rsidRDefault="008B0BFA" w:rsidP="008E6A7C">
      <w:pPr>
        <w:pStyle w:val="ListParagraph"/>
        <w:numPr>
          <w:ilvl w:val="0"/>
          <w:numId w:val="0"/>
        </w:numPr>
        <w:spacing w:line="259" w:lineRule="auto"/>
        <w:ind w:left="567"/>
        <w:rPr>
          <w:lang w:val="en-NZ"/>
        </w:rPr>
      </w:pPr>
    </w:p>
    <w:p w14:paraId="3580CDC8" w14:textId="0B6521E4" w:rsidR="001071C9" w:rsidRPr="0009699E" w:rsidRDefault="0090208B" w:rsidP="002F5E93">
      <w:pPr>
        <w:pStyle w:val="ListParagraph"/>
        <w:numPr>
          <w:ilvl w:val="0"/>
          <w:numId w:val="7"/>
        </w:numPr>
        <w:spacing w:line="259" w:lineRule="auto"/>
        <w:ind w:left="567" w:hanging="567"/>
        <w:rPr>
          <w:lang w:val="en-NZ"/>
        </w:rPr>
      </w:pPr>
      <w:r w:rsidRPr="0009699E">
        <w:rPr>
          <w:lang w:val="en-NZ"/>
        </w:rPr>
        <w:t>We are mindful that monitoring can encompass a broad range of activities from the process of observing to being very active, and that many others that have a role in mental health service and addiction service monitoring and improvement (see Appendix</w:t>
      </w:r>
      <w:r w:rsidR="0053624A" w:rsidRPr="0009699E">
        <w:rPr>
          <w:lang w:val="en-NZ"/>
        </w:rPr>
        <w:t xml:space="preserve"> </w:t>
      </w:r>
      <w:r w:rsidR="00411891" w:rsidRPr="0009699E">
        <w:rPr>
          <w:lang w:val="en-NZ"/>
        </w:rPr>
        <w:t>1</w:t>
      </w:r>
      <w:r w:rsidRPr="0009699E">
        <w:rPr>
          <w:lang w:val="en-NZ"/>
        </w:rPr>
        <w:t xml:space="preserve">). It is vital that the Commission makes best use of its powers and unique lens for greatest influence. We want to hear what you consider what will add the most value and is most important in relation to the Commission carrying out its monitoring and advocacy function. </w:t>
      </w:r>
    </w:p>
    <w:p w14:paraId="36CE576E" w14:textId="6ED725E9" w:rsidR="00513E69" w:rsidRPr="0009699E" w:rsidRDefault="00C16348" w:rsidP="008E6A7C">
      <w:pPr>
        <w:pStyle w:val="TableText"/>
        <w:spacing w:before="120" w:after="120" w:line="259" w:lineRule="auto"/>
        <w:rPr>
          <w:b/>
          <w:sz w:val="22"/>
        </w:rPr>
      </w:pPr>
      <w:r w:rsidRPr="0009699E">
        <w:rPr>
          <w:b/>
          <w:noProof/>
        </w:rPr>
        <mc:AlternateContent>
          <mc:Choice Requires="wps">
            <w:drawing>
              <wp:anchor distT="0" distB="0" distL="114300" distR="114300" simplePos="0" relativeHeight="251695104" behindDoc="0" locked="0" layoutInCell="1" allowOverlap="1" wp14:anchorId="661D83D4" wp14:editId="0022E3B4">
                <wp:simplePos x="0" y="0"/>
                <wp:positionH relativeFrom="margin">
                  <wp:align>right</wp:align>
                </wp:positionH>
                <wp:positionV relativeFrom="paragraph">
                  <wp:posOffset>121285</wp:posOffset>
                </wp:positionV>
                <wp:extent cx="5565775" cy="1919236"/>
                <wp:effectExtent l="0" t="0" r="15875" b="24130"/>
                <wp:wrapNone/>
                <wp:docPr id="1" name="Text Box 1"/>
                <wp:cNvGraphicFramePr/>
                <a:graphic xmlns:a="http://schemas.openxmlformats.org/drawingml/2006/main">
                  <a:graphicData uri="http://schemas.microsoft.com/office/word/2010/wordprocessingShape">
                    <wps:wsp>
                      <wps:cNvSpPr txBox="1"/>
                      <wps:spPr>
                        <a:xfrm>
                          <a:off x="0" y="0"/>
                          <a:ext cx="5565775" cy="1919236"/>
                        </a:xfrm>
                        <a:prstGeom prst="rect">
                          <a:avLst/>
                        </a:prstGeom>
                        <a:solidFill>
                          <a:schemeClr val="lt1"/>
                        </a:solidFill>
                        <a:ln w="6350">
                          <a:solidFill>
                            <a:prstClr val="black"/>
                          </a:solidFill>
                        </a:ln>
                      </wps:spPr>
                      <wps:txbx>
                        <w:txbxContent>
                          <w:p w14:paraId="70C0B609" w14:textId="5DB47284" w:rsidR="00903CCA" w:rsidRPr="00C16348" w:rsidRDefault="00903CCA" w:rsidP="00C16348">
                            <w:pPr>
                              <w:spacing w:line="276" w:lineRule="auto"/>
                              <w:rPr>
                                <w:b/>
                                <w:lang w:val="en-NZ"/>
                              </w:rPr>
                            </w:pPr>
                            <w:r>
                              <w:rPr>
                                <w:b/>
                                <w:lang w:val="en-NZ"/>
                              </w:rPr>
                              <w:t>Co-define question 1</w:t>
                            </w:r>
                            <w:r w:rsidRPr="00C16348">
                              <w:rPr>
                                <w:b/>
                                <w:lang w:val="en-NZ"/>
                              </w:rPr>
                              <w:t>:</w:t>
                            </w:r>
                            <w:r>
                              <w:rPr>
                                <w:b/>
                                <w:lang w:val="en-NZ"/>
                              </w:rPr>
                              <w:t xml:space="preserve"> Why monitor services?</w:t>
                            </w:r>
                            <w:r w:rsidRPr="00C16348">
                              <w:rPr>
                                <w:b/>
                                <w:lang w:val="en-NZ"/>
                              </w:rPr>
                              <w:t xml:space="preserve"> </w:t>
                            </w:r>
                          </w:p>
                          <w:p w14:paraId="1CC68C96" w14:textId="784305F5" w:rsidR="00903CCA" w:rsidRDefault="00903CCA" w:rsidP="002F5E93">
                            <w:pPr>
                              <w:pStyle w:val="ListParagraph"/>
                              <w:numPr>
                                <w:ilvl w:val="0"/>
                                <w:numId w:val="6"/>
                              </w:numPr>
                              <w:spacing w:line="276" w:lineRule="auto"/>
                              <w:rPr>
                                <w:lang w:val="en-NZ"/>
                              </w:rPr>
                            </w:pPr>
                            <w:r w:rsidRPr="00A84586">
                              <w:rPr>
                                <w:lang w:val="en-NZ"/>
                              </w:rPr>
                              <w:t>What qualities and attributes would you like to see in the Mental Health and Wellbeing Commission’s</w:t>
                            </w:r>
                            <w:r>
                              <w:rPr>
                                <w:lang w:val="en-NZ"/>
                              </w:rPr>
                              <w:t xml:space="preserve"> function to monitor and advocate for improvement to mental health services and addiction services</w:t>
                            </w:r>
                            <w:r w:rsidRPr="00A84586">
                              <w:rPr>
                                <w:lang w:val="en-NZ"/>
                              </w:rPr>
                              <w:t xml:space="preserve">? </w:t>
                            </w:r>
                          </w:p>
                          <w:p w14:paraId="273E19E2" w14:textId="444870F8" w:rsidR="00903CCA" w:rsidRDefault="00903CCA" w:rsidP="002F5E93">
                            <w:pPr>
                              <w:pStyle w:val="ListParagraph"/>
                              <w:numPr>
                                <w:ilvl w:val="0"/>
                                <w:numId w:val="6"/>
                              </w:numPr>
                              <w:spacing w:line="276" w:lineRule="auto"/>
                              <w:rPr>
                                <w:lang w:val="en-NZ"/>
                              </w:rPr>
                            </w:pPr>
                            <w:r>
                              <w:rPr>
                                <w:lang w:val="en-NZ"/>
                              </w:rPr>
                              <w:t xml:space="preserve">How could the Commission </w:t>
                            </w:r>
                            <w:r w:rsidRPr="00A84586">
                              <w:rPr>
                                <w:lang w:val="en-NZ"/>
                              </w:rPr>
                              <w:t xml:space="preserve">add </w:t>
                            </w:r>
                            <w:r>
                              <w:rPr>
                                <w:lang w:val="en-NZ"/>
                              </w:rPr>
                              <w:t>v</w:t>
                            </w:r>
                            <w:r w:rsidRPr="00A84586">
                              <w:rPr>
                                <w:lang w:val="en-NZ"/>
                              </w:rPr>
                              <w:t xml:space="preserve">alue and provide the greatest impact to improve wellbeing outcomes for people and whānau accessing those services? </w:t>
                            </w:r>
                          </w:p>
                          <w:p w14:paraId="2F9A3065" w14:textId="68B5E052" w:rsidR="000F63E4" w:rsidRPr="000C1161" w:rsidRDefault="000F63E4" w:rsidP="00A67A3C">
                            <w:pPr>
                              <w:pStyle w:val="ListParagraph"/>
                              <w:numPr>
                                <w:ilvl w:val="0"/>
                                <w:numId w:val="6"/>
                              </w:numPr>
                              <w:tabs>
                                <w:tab w:val="left" w:pos="4678"/>
                              </w:tabs>
                              <w:spacing w:line="276" w:lineRule="auto"/>
                              <w:rPr>
                                <w:lang w:val="en-NZ"/>
                              </w:rPr>
                            </w:pPr>
                            <w:r>
                              <w:t>How c</w:t>
                            </w:r>
                            <w:r w:rsidR="006C331C">
                              <w:t xml:space="preserve">ould </w:t>
                            </w:r>
                            <w:r w:rsidR="002E09F1">
                              <w:t>the Commission provide greatest impact for</w:t>
                            </w:r>
                            <w:r>
                              <w:t xml:space="preserve"> equitable outcomes for </w:t>
                            </w:r>
                            <w:r w:rsidR="002E09F1">
                              <w:t>Māori</w:t>
                            </w:r>
                            <w:r w:rsidR="00136885">
                              <w:t xml:space="preserve"> in its monitoring of</w:t>
                            </w:r>
                            <w:r w:rsidR="00433E46">
                              <w:t xml:space="preserve"> and advocacy for</w:t>
                            </w:r>
                            <w:r w:rsidR="00136885">
                              <w:t xml:space="preserve"> service</w:t>
                            </w:r>
                            <w:r w:rsidR="00433E46">
                              <w:t xml:space="preserve"> improvement</w:t>
                            </w:r>
                            <w:r>
                              <w:t>?</w:t>
                            </w:r>
                          </w:p>
                          <w:p w14:paraId="19B4E9B7" w14:textId="77777777" w:rsidR="00903CCA" w:rsidRPr="00C16348" w:rsidRDefault="00903CCA" w:rsidP="00C16348">
                            <w:pPr>
                              <w:pStyle w:val="TableText"/>
                              <w:spacing w:before="120" w:after="120" w:line="276" w:lineRule="auto"/>
                              <w:rPr>
                                <w:b/>
                                <w:sz w:val="22"/>
                              </w:rPr>
                            </w:pPr>
                          </w:p>
                          <w:p w14:paraId="0E7F5762" w14:textId="77777777" w:rsidR="00903CCA" w:rsidRDefault="00903C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D83D4" id="Text Box 1" o:spid="_x0000_s1031" type="#_x0000_t202" style="position:absolute;margin-left:387.05pt;margin-top:9.55pt;width:438.25pt;height:151.1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olTwIAAKkEAAAOAAAAZHJzL2Uyb0RvYy54bWysVMGO2jAQvVfqP1i+lxCWQIkIK8qKqhLa&#10;XQmqPRvHIVEdj2sbEvr1HTuBZbc9Vb2Y8czL88ybGeb3bS3JSRhbgcpoPBhSIhSHvFKHjH7frT99&#10;psQ6pnImQYmMnoWl94uPH+aNTsUISpC5MARJlE0bndHSOZ1GkeWlqJkdgBYKgwWYmjm8mkOUG9Yg&#10;ey2j0XA4iRowuTbAhbXofeiCdBH4i0Jw91QUVjgiM4q5uXCacO79GS3mLD0YpsuK92mwf8iiZpXC&#10;R69UD8wxcjTVH1R1xQ1YKNyAQx1BUVRchBqwmnj4rpptybQItaA4Vl9lsv+Plj+eng2pcuwdJYrV&#10;2KKdaB35Ai2JvTqNtimCthphrkW3R/Z+i05fdFuY2v9iOQTjqPP5qq0n4+hMkkkynSaUcIzFs3g2&#10;upt4nuj1c22s+yqgJt7IqMHmBU3ZaWNdB71A/GsWZJWvKynDxQ+MWElDTgxbLV1IEsnfoKQiTUYn&#10;d8kwEL+Jeerr93vJ+I8+vRsU8kmFOXtRuuK95dp9GyRMLsLsIT+jXga6ebOaryuk3zDrnpnBAUOJ&#10;cGncEx6FBMwJeouSEsyvv/k9HvuOUUoaHNiM2p9HZgQl8pvCiZjF47Gf8HAZJ9MRXsxtZH8bUcd6&#10;BSgUdh2zC6bHO3kxCwP1C+7W0r+KIaY4vp1RdzFXrlsj3E0ulssAwpnWzG3UVnNP7RvjZd21L8zo&#10;vq0OJ+IRLqPN0nfd7bD+SwXLo4OiCq33Oneq9vLjPoTh6XfXL9ztPaBe/2EWvwEAAP//AwBQSwME&#10;FAAGAAgAAAAhAAOcLyTbAAAABwEAAA8AAABkcnMvZG93bnJldi54bWxMj8FOwzAQRO9I/IO1SNyo&#10;k1aUNMSpABUunCiIsxtvbYt4HcVuGv6e5QTHnRnNvG22c+jFhGPykRSUiwIEUheNJ6vg4/35pgKR&#10;siaj+0io4BsTbNvLi0bXJp7pDad9toJLKNVagct5qKVMncOg0yIOSOwd4xh05nO00oz6zOWhl8ui&#10;WMugPfGC0wM+Oey+9qegYPdoN7ar9Oh2lfF+mj+Pr/ZFqeur+eEeRMY5/4XhF5/RoWWmQzyRSaJX&#10;wI9kVjclCHaru/UtiIOC1bJcgWwb+Z+//QEAAP//AwBQSwECLQAUAAYACAAAACEAtoM4kv4AAADh&#10;AQAAEwAAAAAAAAAAAAAAAAAAAAAAW0NvbnRlbnRfVHlwZXNdLnhtbFBLAQItABQABgAIAAAAIQA4&#10;/SH/1gAAAJQBAAALAAAAAAAAAAAAAAAAAC8BAABfcmVscy8ucmVsc1BLAQItABQABgAIAAAAIQBV&#10;sfolTwIAAKkEAAAOAAAAAAAAAAAAAAAAAC4CAABkcnMvZTJvRG9jLnhtbFBLAQItABQABgAIAAAA&#10;IQADnC8k2wAAAAcBAAAPAAAAAAAAAAAAAAAAAKkEAABkcnMvZG93bnJldi54bWxQSwUGAAAAAAQA&#10;BADzAAAAsQUAAAAA&#10;" fillcolor="white [3201]" strokeweight=".5pt">
                <v:textbox>
                  <w:txbxContent>
                    <w:p w14:paraId="70C0B609" w14:textId="5DB47284" w:rsidR="00903CCA" w:rsidRPr="00C16348" w:rsidRDefault="00903CCA" w:rsidP="00C16348">
                      <w:pPr>
                        <w:spacing w:line="276" w:lineRule="auto"/>
                        <w:rPr>
                          <w:b/>
                          <w:lang w:val="en-NZ"/>
                        </w:rPr>
                      </w:pPr>
                      <w:r>
                        <w:rPr>
                          <w:b/>
                          <w:lang w:val="en-NZ"/>
                        </w:rPr>
                        <w:t>Co-define question 1</w:t>
                      </w:r>
                      <w:r w:rsidRPr="00C16348">
                        <w:rPr>
                          <w:b/>
                          <w:lang w:val="en-NZ"/>
                        </w:rPr>
                        <w:t>:</w:t>
                      </w:r>
                      <w:r>
                        <w:rPr>
                          <w:b/>
                          <w:lang w:val="en-NZ"/>
                        </w:rPr>
                        <w:t xml:space="preserve"> Why monitor services?</w:t>
                      </w:r>
                      <w:r w:rsidRPr="00C16348">
                        <w:rPr>
                          <w:b/>
                          <w:lang w:val="en-NZ"/>
                        </w:rPr>
                        <w:t xml:space="preserve"> </w:t>
                      </w:r>
                    </w:p>
                    <w:p w14:paraId="1CC68C96" w14:textId="784305F5" w:rsidR="00903CCA" w:rsidRDefault="00903CCA" w:rsidP="002F5E93">
                      <w:pPr>
                        <w:pStyle w:val="ListParagraph"/>
                        <w:numPr>
                          <w:ilvl w:val="0"/>
                          <w:numId w:val="6"/>
                        </w:numPr>
                        <w:spacing w:line="276" w:lineRule="auto"/>
                        <w:rPr>
                          <w:lang w:val="en-NZ"/>
                        </w:rPr>
                      </w:pPr>
                      <w:r w:rsidRPr="00A84586">
                        <w:rPr>
                          <w:lang w:val="en-NZ"/>
                        </w:rPr>
                        <w:t>What qualities and attributes would you like to see in the Mental Health and Wellbeing Commission’s</w:t>
                      </w:r>
                      <w:r>
                        <w:rPr>
                          <w:lang w:val="en-NZ"/>
                        </w:rPr>
                        <w:t xml:space="preserve"> function to monitor and advocate for improvement to mental health services and addiction services</w:t>
                      </w:r>
                      <w:r w:rsidRPr="00A84586">
                        <w:rPr>
                          <w:lang w:val="en-NZ"/>
                        </w:rPr>
                        <w:t xml:space="preserve">? </w:t>
                      </w:r>
                    </w:p>
                    <w:p w14:paraId="273E19E2" w14:textId="444870F8" w:rsidR="00903CCA" w:rsidRDefault="00903CCA" w:rsidP="002F5E93">
                      <w:pPr>
                        <w:pStyle w:val="ListParagraph"/>
                        <w:numPr>
                          <w:ilvl w:val="0"/>
                          <w:numId w:val="6"/>
                        </w:numPr>
                        <w:spacing w:line="276" w:lineRule="auto"/>
                        <w:rPr>
                          <w:lang w:val="en-NZ"/>
                        </w:rPr>
                      </w:pPr>
                      <w:r>
                        <w:rPr>
                          <w:lang w:val="en-NZ"/>
                        </w:rPr>
                        <w:t xml:space="preserve">How could the Commission </w:t>
                      </w:r>
                      <w:r w:rsidRPr="00A84586">
                        <w:rPr>
                          <w:lang w:val="en-NZ"/>
                        </w:rPr>
                        <w:t xml:space="preserve">add </w:t>
                      </w:r>
                      <w:r>
                        <w:rPr>
                          <w:lang w:val="en-NZ"/>
                        </w:rPr>
                        <w:t>v</w:t>
                      </w:r>
                      <w:r w:rsidRPr="00A84586">
                        <w:rPr>
                          <w:lang w:val="en-NZ"/>
                        </w:rPr>
                        <w:t xml:space="preserve">alue and provide the greatest impact to improve wellbeing outcomes for people and whānau accessing those services? </w:t>
                      </w:r>
                    </w:p>
                    <w:p w14:paraId="2F9A3065" w14:textId="68B5E052" w:rsidR="000F63E4" w:rsidRPr="000C1161" w:rsidRDefault="000F63E4" w:rsidP="00A67A3C">
                      <w:pPr>
                        <w:pStyle w:val="ListParagraph"/>
                        <w:numPr>
                          <w:ilvl w:val="0"/>
                          <w:numId w:val="6"/>
                        </w:numPr>
                        <w:tabs>
                          <w:tab w:val="left" w:pos="4678"/>
                        </w:tabs>
                        <w:spacing w:line="276" w:lineRule="auto"/>
                        <w:rPr>
                          <w:lang w:val="en-NZ"/>
                        </w:rPr>
                      </w:pPr>
                      <w:r>
                        <w:t>How c</w:t>
                      </w:r>
                      <w:r w:rsidR="006C331C">
                        <w:t xml:space="preserve">ould </w:t>
                      </w:r>
                      <w:r w:rsidR="002E09F1">
                        <w:t>the Commission provide greatest impact for</w:t>
                      </w:r>
                      <w:r>
                        <w:t xml:space="preserve"> equitable outcomes for </w:t>
                      </w:r>
                      <w:r w:rsidR="002E09F1">
                        <w:t>Māori</w:t>
                      </w:r>
                      <w:r w:rsidR="00136885">
                        <w:t xml:space="preserve"> in its monitoring of</w:t>
                      </w:r>
                      <w:r w:rsidR="00433E46">
                        <w:t xml:space="preserve"> and advocacy for</w:t>
                      </w:r>
                      <w:r w:rsidR="00136885">
                        <w:t xml:space="preserve"> service</w:t>
                      </w:r>
                      <w:r w:rsidR="00433E46">
                        <w:t xml:space="preserve"> improvement</w:t>
                      </w:r>
                      <w:r>
                        <w:t>?</w:t>
                      </w:r>
                    </w:p>
                    <w:p w14:paraId="19B4E9B7" w14:textId="77777777" w:rsidR="00903CCA" w:rsidRPr="00C16348" w:rsidRDefault="00903CCA" w:rsidP="00C16348">
                      <w:pPr>
                        <w:pStyle w:val="TableText"/>
                        <w:spacing w:before="120" w:after="120" w:line="276" w:lineRule="auto"/>
                        <w:rPr>
                          <w:b/>
                          <w:sz w:val="22"/>
                        </w:rPr>
                      </w:pPr>
                    </w:p>
                    <w:p w14:paraId="0E7F5762" w14:textId="77777777" w:rsidR="00903CCA" w:rsidRDefault="00903CCA"/>
                  </w:txbxContent>
                </v:textbox>
                <w10:wrap anchorx="margin"/>
              </v:shape>
            </w:pict>
          </mc:Fallback>
        </mc:AlternateContent>
      </w:r>
    </w:p>
    <w:p w14:paraId="544F5B79" w14:textId="03750C26" w:rsidR="00513E69" w:rsidRPr="0009699E" w:rsidRDefault="00513E69" w:rsidP="008E6A7C">
      <w:pPr>
        <w:pStyle w:val="ListParagraph"/>
        <w:numPr>
          <w:ilvl w:val="0"/>
          <w:numId w:val="0"/>
        </w:numPr>
        <w:spacing w:line="259" w:lineRule="auto"/>
        <w:ind w:left="720"/>
        <w:rPr>
          <w:lang w:val="en-NZ"/>
        </w:rPr>
      </w:pPr>
    </w:p>
    <w:p w14:paraId="3C5FC374" w14:textId="77777777" w:rsidR="00513E69" w:rsidRPr="0009699E" w:rsidRDefault="00513E69" w:rsidP="008E6A7C">
      <w:pPr>
        <w:pStyle w:val="ListParagraph"/>
        <w:numPr>
          <w:ilvl w:val="0"/>
          <w:numId w:val="0"/>
        </w:numPr>
        <w:spacing w:line="259" w:lineRule="auto"/>
        <w:ind w:left="720"/>
        <w:rPr>
          <w:lang w:val="en-NZ"/>
        </w:rPr>
      </w:pPr>
    </w:p>
    <w:p w14:paraId="4ED39EE3" w14:textId="77777777" w:rsidR="00C16348" w:rsidRPr="0009699E" w:rsidRDefault="00C16348" w:rsidP="008E6A7C">
      <w:pPr>
        <w:pStyle w:val="ListParagraph"/>
        <w:numPr>
          <w:ilvl w:val="0"/>
          <w:numId w:val="0"/>
        </w:numPr>
        <w:spacing w:line="259" w:lineRule="auto"/>
        <w:ind w:left="567"/>
        <w:contextualSpacing w:val="0"/>
        <w:rPr>
          <w:b/>
          <w:sz w:val="20"/>
          <w:szCs w:val="20"/>
          <w:lang w:val="en-NZ"/>
        </w:rPr>
      </w:pPr>
      <w:r w:rsidRPr="0009699E">
        <w:rPr>
          <w:b/>
          <w:sz w:val="20"/>
          <w:szCs w:val="20"/>
          <w:lang w:val="en-NZ"/>
        </w:rPr>
        <w:br w:type="page"/>
      </w:r>
    </w:p>
    <w:p w14:paraId="644375BB" w14:textId="404A653A" w:rsidR="00356E50" w:rsidRPr="0009699E" w:rsidRDefault="0030022B" w:rsidP="008E6A7C">
      <w:pPr>
        <w:pStyle w:val="Heading2"/>
        <w:rPr>
          <w:lang w:val="en-NZ"/>
        </w:rPr>
      </w:pPr>
      <w:bookmarkStart w:id="9" w:name="_Toc55818790"/>
      <w:r w:rsidRPr="0009699E">
        <w:rPr>
          <w:lang w:val="en-NZ"/>
        </w:rPr>
        <w:lastRenderedPageBreak/>
        <w:t>Co-define question 2</w:t>
      </w:r>
      <w:r w:rsidR="00356E50" w:rsidRPr="0009699E">
        <w:rPr>
          <w:lang w:val="en-NZ"/>
        </w:rPr>
        <w:t xml:space="preserve">: </w:t>
      </w:r>
      <w:r w:rsidR="0036032D" w:rsidRPr="0009699E">
        <w:rPr>
          <w:lang w:val="en-NZ"/>
        </w:rPr>
        <w:t>Monitor what?</w:t>
      </w:r>
      <w:bookmarkEnd w:id="9"/>
      <w:r w:rsidR="0036032D" w:rsidRPr="0009699E">
        <w:rPr>
          <w:lang w:val="en-NZ"/>
        </w:rPr>
        <w:t xml:space="preserve"> </w:t>
      </w:r>
    </w:p>
    <w:p w14:paraId="2D485B44" w14:textId="1D0F8E29" w:rsidR="00323892" w:rsidRPr="008874DE" w:rsidRDefault="00356E50" w:rsidP="002F5E93">
      <w:pPr>
        <w:pStyle w:val="ListParagraph"/>
        <w:numPr>
          <w:ilvl w:val="0"/>
          <w:numId w:val="7"/>
        </w:numPr>
        <w:spacing w:line="259" w:lineRule="auto"/>
        <w:ind w:left="567" w:hanging="567"/>
        <w:rPr>
          <w:lang w:val="en-NZ"/>
        </w:rPr>
      </w:pPr>
      <w:r w:rsidRPr="0009699E">
        <w:rPr>
          <w:lang w:val="en-NZ"/>
        </w:rPr>
        <w:t xml:space="preserve">The purpose of this co-define question is to define the scope of </w:t>
      </w:r>
      <w:r w:rsidR="00726B21" w:rsidRPr="0009699E">
        <w:rPr>
          <w:lang w:val="en-NZ"/>
        </w:rPr>
        <w:t xml:space="preserve">services that will be monitored as part of the </w:t>
      </w:r>
      <w:r w:rsidR="00726B21" w:rsidRPr="0009699E">
        <w:rPr>
          <w:i/>
          <w:lang w:val="en-NZ"/>
        </w:rPr>
        <w:t xml:space="preserve">He Ara Āwhina Service-Level Monitoring Framework. </w:t>
      </w:r>
      <w:r w:rsidR="000B43C1" w:rsidRPr="0009699E">
        <w:rPr>
          <w:lang w:val="en-NZ"/>
        </w:rPr>
        <w:t xml:space="preserve">While there </w:t>
      </w:r>
      <w:r w:rsidR="00D01787" w:rsidRPr="0009699E">
        <w:rPr>
          <w:lang w:val="en-NZ"/>
        </w:rPr>
        <w:t>is no common definition of mental health services and addiction services</w:t>
      </w:r>
      <w:r w:rsidR="000B43C1" w:rsidRPr="0009699E">
        <w:rPr>
          <w:lang w:val="en-NZ"/>
        </w:rPr>
        <w:t>, w</w:t>
      </w:r>
      <w:r w:rsidR="000E2672" w:rsidRPr="0009699E">
        <w:rPr>
          <w:lang w:val="en-NZ"/>
        </w:rPr>
        <w:t xml:space="preserve">e note that </w:t>
      </w:r>
      <w:r w:rsidR="000B43C1" w:rsidRPr="0009699E">
        <w:rPr>
          <w:lang w:val="en-NZ"/>
        </w:rPr>
        <w:t>se</w:t>
      </w:r>
      <w:r w:rsidR="00133328" w:rsidRPr="0009699E">
        <w:rPr>
          <w:lang w:val="en-NZ"/>
        </w:rPr>
        <w:t>rvices are a subset of approaches that support mental health and wellbeing</w:t>
      </w:r>
      <w:r w:rsidR="008755F8" w:rsidRPr="0009699E">
        <w:rPr>
          <w:lang w:val="en-NZ"/>
        </w:rPr>
        <w:t>,</w:t>
      </w:r>
      <w:r w:rsidR="00133328" w:rsidRPr="0009699E">
        <w:rPr>
          <w:lang w:val="en-NZ"/>
        </w:rPr>
        <w:t xml:space="preserve"> </w:t>
      </w:r>
      <w:r w:rsidR="00004016" w:rsidRPr="0009699E">
        <w:rPr>
          <w:lang w:val="en-NZ"/>
        </w:rPr>
        <w:t xml:space="preserve">and of the factors and activities that affect mental health and wellbeing. </w:t>
      </w:r>
      <w:r w:rsidR="00197269" w:rsidRPr="0009699E">
        <w:rPr>
          <w:lang w:val="en-NZ"/>
        </w:rPr>
        <w:t xml:space="preserve">These distinctions are set out in the Act </w:t>
      </w:r>
      <w:r w:rsidR="003D65DB" w:rsidRPr="0009699E">
        <w:rPr>
          <w:lang w:val="en-NZ"/>
        </w:rPr>
        <w:t>with</w:t>
      </w:r>
      <w:r w:rsidR="00A02230" w:rsidRPr="0009699E">
        <w:rPr>
          <w:lang w:val="en-NZ"/>
        </w:rPr>
        <w:t xml:space="preserve"> different functions associated</w:t>
      </w:r>
      <w:r w:rsidR="003D65DB" w:rsidRPr="0009699E">
        <w:rPr>
          <w:lang w:val="en-NZ"/>
        </w:rPr>
        <w:t xml:space="preserve"> with them</w:t>
      </w:r>
      <w:r w:rsidR="00DC6133" w:rsidRPr="0009699E">
        <w:rPr>
          <w:lang w:val="en-NZ"/>
        </w:rPr>
        <w:t xml:space="preserve"> (see Figure </w:t>
      </w:r>
      <w:r w:rsidR="00C56B9A" w:rsidRPr="0009699E">
        <w:rPr>
          <w:lang w:val="en-NZ"/>
        </w:rPr>
        <w:t>4</w:t>
      </w:r>
      <w:r w:rsidR="00DC6133" w:rsidRPr="0009699E">
        <w:rPr>
          <w:lang w:val="en-NZ"/>
        </w:rPr>
        <w:t>)</w:t>
      </w:r>
      <w:r w:rsidR="00580EDF" w:rsidRPr="0009699E">
        <w:rPr>
          <w:lang w:val="en-NZ"/>
        </w:rPr>
        <w:t xml:space="preserve">. </w:t>
      </w:r>
    </w:p>
    <w:p w14:paraId="31DFC194" w14:textId="0BC9DB24" w:rsidR="00377554" w:rsidRDefault="003C0DEA" w:rsidP="008E6A7C">
      <w:pPr>
        <w:rPr>
          <w:rFonts w:cs="Arial"/>
          <w:b/>
          <w:sz w:val="20"/>
          <w:szCs w:val="20"/>
          <w:lang w:val="en-NZ"/>
        </w:rPr>
      </w:pPr>
      <w:bookmarkStart w:id="10" w:name="_Hlk52179806"/>
      <w:r w:rsidRPr="008874DE">
        <w:rPr>
          <w:rFonts w:cs="Arial"/>
          <w:b/>
          <w:sz w:val="20"/>
          <w:szCs w:val="20"/>
          <w:lang w:val="en-NZ"/>
        </w:rPr>
        <w:t>Figure</w:t>
      </w:r>
      <w:r w:rsidR="00CE24EC" w:rsidRPr="008874DE">
        <w:rPr>
          <w:rFonts w:cs="Arial"/>
          <w:b/>
          <w:sz w:val="20"/>
          <w:szCs w:val="20"/>
          <w:lang w:val="en-NZ"/>
        </w:rPr>
        <w:t xml:space="preserve"> </w:t>
      </w:r>
      <w:r w:rsidR="00CF64A5" w:rsidRPr="008874DE">
        <w:rPr>
          <w:rFonts w:cs="Arial"/>
          <w:b/>
          <w:sz w:val="20"/>
          <w:szCs w:val="20"/>
          <w:lang w:val="en-NZ"/>
        </w:rPr>
        <w:t>4</w:t>
      </w:r>
      <w:r w:rsidRPr="008874DE">
        <w:rPr>
          <w:rFonts w:cs="Arial"/>
          <w:b/>
          <w:sz w:val="20"/>
          <w:szCs w:val="20"/>
          <w:lang w:val="en-NZ"/>
        </w:rPr>
        <w:t xml:space="preserve"> </w:t>
      </w:r>
      <w:r w:rsidR="00A46FC8" w:rsidRPr="008874DE">
        <w:rPr>
          <w:rFonts w:cs="Arial"/>
          <w:b/>
          <w:sz w:val="20"/>
          <w:szCs w:val="20"/>
          <w:lang w:val="en-NZ"/>
        </w:rPr>
        <w:t>–</w:t>
      </w:r>
      <w:r w:rsidRPr="008874DE">
        <w:rPr>
          <w:rFonts w:cs="Arial"/>
          <w:b/>
          <w:sz w:val="20"/>
          <w:szCs w:val="20"/>
          <w:lang w:val="en-NZ"/>
        </w:rPr>
        <w:t xml:space="preserve"> </w:t>
      </w:r>
      <w:r w:rsidR="00A46FC8" w:rsidRPr="008874DE">
        <w:rPr>
          <w:rFonts w:cs="Arial"/>
          <w:b/>
          <w:sz w:val="20"/>
          <w:szCs w:val="20"/>
          <w:lang w:val="en-NZ"/>
        </w:rPr>
        <w:t xml:space="preserve">Terms and </w:t>
      </w:r>
      <w:r w:rsidR="005325BD" w:rsidRPr="008874DE">
        <w:rPr>
          <w:rFonts w:cs="Arial"/>
          <w:b/>
          <w:sz w:val="20"/>
          <w:szCs w:val="20"/>
          <w:lang w:val="en-NZ"/>
        </w:rPr>
        <w:t xml:space="preserve">associated </w:t>
      </w:r>
      <w:r w:rsidR="00A46FC8" w:rsidRPr="008874DE">
        <w:rPr>
          <w:rFonts w:cs="Arial"/>
          <w:b/>
          <w:sz w:val="20"/>
          <w:szCs w:val="20"/>
          <w:lang w:val="en-NZ"/>
        </w:rPr>
        <w:t>functions</w:t>
      </w:r>
      <w:r w:rsidR="005325BD" w:rsidRPr="008874DE">
        <w:rPr>
          <w:rFonts w:cs="Arial"/>
          <w:b/>
          <w:sz w:val="20"/>
          <w:szCs w:val="20"/>
          <w:lang w:val="en-NZ"/>
        </w:rPr>
        <w:t xml:space="preserve"> relating</w:t>
      </w:r>
      <w:r w:rsidR="00981EFB" w:rsidRPr="008874DE">
        <w:rPr>
          <w:rFonts w:cs="Arial"/>
          <w:b/>
          <w:sz w:val="20"/>
          <w:szCs w:val="20"/>
          <w:lang w:val="en-NZ"/>
        </w:rPr>
        <w:t xml:space="preserve"> to mental health and wellbeing </w:t>
      </w:r>
      <w:r w:rsidR="0069189A" w:rsidRPr="008874DE">
        <w:rPr>
          <w:rFonts w:cs="Arial"/>
          <w:b/>
          <w:sz w:val="20"/>
          <w:szCs w:val="20"/>
          <w:lang w:val="en-NZ"/>
        </w:rPr>
        <w:t>i</w:t>
      </w:r>
      <w:r w:rsidR="00981EFB" w:rsidRPr="008874DE">
        <w:rPr>
          <w:rFonts w:cs="Arial"/>
          <w:b/>
          <w:sz w:val="20"/>
          <w:szCs w:val="20"/>
          <w:lang w:val="en-NZ"/>
        </w:rPr>
        <w:t>nterventions</w:t>
      </w:r>
      <w:r w:rsidR="005325BD" w:rsidRPr="008874DE">
        <w:rPr>
          <w:rFonts w:cs="Arial"/>
          <w:b/>
          <w:sz w:val="20"/>
          <w:szCs w:val="20"/>
          <w:lang w:val="en-NZ"/>
        </w:rPr>
        <w:t xml:space="preserve"> </w:t>
      </w:r>
      <w:r w:rsidR="00A46FC8" w:rsidRPr="008874DE">
        <w:rPr>
          <w:rFonts w:cs="Arial"/>
          <w:b/>
          <w:sz w:val="20"/>
          <w:szCs w:val="20"/>
          <w:lang w:val="en-NZ"/>
        </w:rPr>
        <w:t xml:space="preserve"> </w:t>
      </w:r>
    </w:p>
    <w:p w14:paraId="7FFAF2D5" w14:textId="08E3245A" w:rsidR="00144DD2" w:rsidRPr="008874DE" w:rsidRDefault="00144DD2" w:rsidP="008E6A7C">
      <w:pPr>
        <w:rPr>
          <w:rFonts w:cs="Arial"/>
          <w:b/>
          <w:sz w:val="20"/>
          <w:szCs w:val="20"/>
          <w:lang w:val="en-NZ"/>
        </w:rPr>
      </w:pPr>
      <w:r w:rsidRPr="0009699E">
        <w:rPr>
          <w:rFonts w:cs="Arial"/>
          <w:b/>
          <w:noProof/>
          <w:sz w:val="20"/>
          <w:szCs w:val="20"/>
        </w:rPr>
        <mc:AlternateContent>
          <mc:Choice Requires="wps">
            <w:drawing>
              <wp:anchor distT="0" distB="0" distL="114300" distR="114300" simplePos="0" relativeHeight="251675648" behindDoc="0" locked="0" layoutInCell="1" allowOverlap="1" wp14:anchorId="14674CDF" wp14:editId="1C160536">
                <wp:simplePos x="0" y="0"/>
                <wp:positionH relativeFrom="margin">
                  <wp:posOffset>4323715</wp:posOffset>
                </wp:positionH>
                <wp:positionV relativeFrom="paragraph">
                  <wp:posOffset>14605</wp:posOffset>
                </wp:positionV>
                <wp:extent cx="1626870" cy="338455"/>
                <wp:effectExtent l="0" t="0" r="0" b="0"/>
                <wp:wrapNone/>
                <wp:docPr id="18" name="TextBox 17">
                  <a:extLst xmlns:a="http://schemas.openxmlformats.org/drawingml/2006/main">
                    <a:ext uri="{FF2B5EF4-FFF2-40B4-BE49-F238E27FC236}">
                      <a16:creationId xmlns:a16="http://schemas.microsoft.com/office/drawing/2014/main" id="{1F25A9F3-E94A-4D23-8800-411BC4DDAB8E}"/>
                    </a:ext>
                  </a:extLst>
                </wp:docPr>
                <wp:cNvGraphicFramePr/>
                <a:graphic xmlns:a="http://schemas.openxmlformats.org/drawingml/2006/main">
                  <a:graphicData uri="http://schemas.microsoft.com/office/word/2010/wordprocessingShape">
                    <wps:wsp>
                      <wps:cNvSpPr txBox="1"/>
                      <wps:spPr>
                        <a:xfrm>
                          <a:off x="0" y="0"/>
                          <a:ext cx="1626870" cy="338455"/>
                        </a:xfrm>
                        <a:prstGeom prst="rect">
                          <a:avLst/>
                        </a:prstGeom>
                        <a:noFill/>
                      </wps:spPr>
                      <wps:txbx>
                        <w:txbxContent>
                          <w:p w14:paraId="49C2B55B" w14:textId="6A61BA83" w:rsidR="00903CCA" w:rsidRPr="008874DE" w:rsidRDefault="00903CCA" w:rsidP="008A1AAB">
                            <w:pPr>
                              <w:rPr>
                                <w:rFonts w:cs="Arial"/>
                                <w:szCs w:val="18"/>
                              </w:rPr>
                            </w:pPr>
                            <w:r w:rsidRPr="008874DE">
                              <w:rPr>
                                <w:rFonts w:cs="Arial"/>
                                <w:color w:val="000000" w:themeColor="text1"/>
                                <w:kern w:val="24"/>
                                <w:szCs w:val="18"/>
                                <w:lang w:val="mi-NZ"/>
                              </w:rPr>
                              <w:t xml:space="preserve">Monitor and advocate for improvement </w:t>
                            </w:r>
                          </w:p>
                        </w:txbxContent>
                      </wps:txbx>
                      <wps:bodyPr wrap="square" rtlCol="0">
                        <a:spAutoFit/>
                      </wps:bodyPr>
                    </wps:wsp>
                  </a:graphicData>
                </a:graphic>
                <wp14:sizeRelH relativeFrom="margin">
                  <wp14:pctWidth>0</wp14:pctWidth>
                </wp14:sizeRelH>
              </wp:anchor>
            </w:drawing>
          </mc:Choice>
          <mc:Fallback>
            <w:pict>
              <v:shape w14:anchorId="14674CDF" id="TextBox 17" o:spid="_x0000_s1032" type="#_x0000_t202" style="position:absolute;margin-left:340.45pt;margin-top:1.15pt;width:128.1pt;height:26.6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62DAIAAPEDAAAOAAAAZHJzL2Uyb0RvYy54bWysU9uOmzAQfa/Uf7D8TriGEBSyCgGqStW2&#10;0m4/wDEmQQLs2k4gWu2/d+xctuq+rKq+mLGHOT7nzHj1MPUdOjGpWj5k2J95GLGB8rod9hn++Vw5&#10;CUZKk6EmHR9Yhs9M4Yf150+rUaQs4Afe1UwiABlUOooMH7QWqesqemA9UTMu2ADJhsueaNjKvVtL&#10;MgJ637mB58XuyGUtJKdMKTgtLkm8tvhNw6j+3jSKadRlGLhpu0q77szqrlck3UsiDi290iD/wKIn&#10;7QCX3qEKogk6yvYdVN9SyRVv9Izy3uVN01JmNYAa3/tLzdOBCGa1gDlK3G1S/w+WPp5+SNTW0Dvo&#10;1EB66NEzm3TOJ+QvrCTYfVPaiIPoIuqlqoJ8XlaRU0HkRF4eOXkZLZ0qCJMyWFTbIIxfTbUfp1Qy&#10;omE8vtY3g/34YwKurTbWRK612DJ98atgvllWoVMuo40TFUHoJInnOZHv59uoKDZ5Ur6a1rqW8+1r&#10;VbijUKlVbWbEhk8CLNATSAYXTJk5V3BoNE+N7M0XWoUgDzN0vs+N8YOaojiIkwWkKOTCMInm8+vt&#10;t2ohlf7CeI9MkGEJc2m9JScgdSF6+8VcNvCq7Tpz/kbFRHraTdaC+EZzx+szsB9hgjOsfh2JZBhJ&#10;3W25HXgDpsTmqAHQ3mNQLjVXcJgr68/1DZjB/XNv/3p7qevfAAAA//8DAFBLAwQUAAYACAAAACEA&#10;vQPwf90AAAAIAQAADwAAAGRycy9kb3ducmV2LnhtbEyPzU7DMBCE70i8g7VI3KiTVgltiFNV/Egc&#10;uFDCfRsvcUS8jmK3Sd8e91SOoxnNfFNuZ9uLE42+c6wgXSQgiBunO24V1F9vD2sQPiBr7B2TgjN5&#10;2Fa3NyUW2k38Sad9aEUsYV+gAhPCUEjpG0MW/cINxNH7caPFEOXYSj3iFMttL5dJkkuLHccFgwM9&#10;G2p+90erIAS9S8/1q/Xv3/PHy2SSJsNaqfu7efcEItAcrmG44Ed0qCLTwR1Ze9EryNfJJkYVLFcg&#10;or9ZPaYgDgqyLAdZlfL/geoPAAD//wMAUEsBAi0AFAAGAAgAAAAhALaDOJL+AAAA4QEAABMAAAAA&#10;AAAAAAAAAAAAAAAAAFtDb250ZW50X1R5cGVzXS54bWxQSwECLQAUAAYACAAAACEAOP0h/9YAAACU&#10;AQAACwAAAAAAAAAAAAAAAAAvAQAAX3JlbHMvLnJlbHNQSwECLQAUAAYACAAAACEALZZetgwCAADx&#10;AwAADgAAAAAAAAAAAAAAAAAuAgAAZHJzL2Uyb0RvYy54bWxQSwECLQAUAAYACAAAACEAvQPwf90A&#10;AAAIAQAADwAAAAAAAAAAAAAAAABmBAAAZHJzL2Rvd25yZXYueG1sUEsFBgAAAAAEAAQA8wAAAHAF&#10;AAAAAA==&#10;" filled="f" stroked="f">
                <v:textbox style="mso-fit-shape-to-text:t">
                  <w:txbxContent>
                    <w:p w14:paraId="49C2B55B" w14:textId="6A61BA83" w:rsidR="00903CCA" w:rsidRPr="008874DE" w:rsidRDefault="00903CCA" w:rsidP="008A1AAB">
                      <w:pPr>
                        <w:rPr>
                          <w:rFonts w:cs="Arial"/>
                          <w:szCs w:val="18"/>
                        </w:rPr>
                      </w:pPr>
                      <w:r w:rsidRPr="008874DE">
                        <w:rPr>
                          <w:rFonts w:cs="Arial"/>
                          <w:color w:val="000000" w:themeColor="text1"/>
                          <w:kern w:val="24"/>
                          <w:szCs w:val="18"/>
                          <w:lang w:val="mi-NZ"/>
                        </w:rPr>
                        <w:t xml:space="preserve">Monitor and advocate for improvement </w:t>
                      </w:r>
                    </w:p>
                  </w:txbxContent>
                </v:textbox>
                <w10:wrap anchorx="margin"/>
              </v:shape>
            </w:pict>
          </mc:Fallback>
        </mc:AlternateContent>
      </w:r>
      <w:r w:rsidRPr="008874DE">
        <w:rPr>
          <w:rFonts w:cs="Arial"/>
          <w:b/>
          <w:noProof/>
          <w:sz w:val="20"/>
          <w:szCs w:val="20"/>
        </w:rPr>
        <mc:AlternateContent>
          <mc:Choice Requires="wps">
            <w:drawing>
              <wp:anchor distT="0" distB="0" distL="114300" distR="114300" simplePos="0" relativeHeight="251669504" behindDoc="0" locked="0" layoutInCell="1" allowOverlap="1" wp14:anchorId="68685112" wp14:editId="68986F3C">
                <wp:simplePos x="0" y="0"/>
                <wp:positionH relativeFrom="margin">
                  <wp:posOffset>437515</wp:posOffset>
                </wp:positionH>
                <wp:positionV relativeFrom="paragraph">
                  <wp:posOffset>88264</wp:posOffset>
                </wp:positionV>
                <wp:extent cx="4857750" cy="3076575"/>
                <wp:effectExtent l="0" t="0" r="19050" b="28575"/>
                <wp:wrapNone/>
                <wp:docPr id="31" name="Oval 4">
                  <a:extLst xmlns:a="http://schemas.openxmlformats.org/drawingml/2006/main"/>
                </wp:docPr>
                <wp:cNvGraphicFramePr/>
                <a:graphic xmlns:a="http://schemas.openxmlformats.org/drawingml/2006/main">
                  <a:graphicData uri="http://schemas.microsoft.com/office/word/2010/wordprocessingShape">
                    <wps:wsp>
                      <wps:cNvSpPr/>
                      <wps:spPr>
                        <a:xfrm>
                          <a:off x="0" y="0"/>
                          <a:ext cx="4857750" cy="3076575"/>
                        </a:xfrm>
                        <a:prstGeom prst="ellipse">
                          <a:avLst/>
                        </a:prstGeom>
                        <a:solidFill>
                          <a:srgbClr val="A7D7FF"/>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D81938" w14:textId="77777777" w:rsidR="00903CCA" w:rsidRPr="008874DE" w:rsidRDefault="00903CCA" w:rsidP="00F67470">
                            <w:pPr>
                              <w:jc w:val="center"/>
                              <w:rPr>
                                <w:rFonts w:cs="Arial"/>
                                <w:color w:val="000000" w:themeColor="text1"/>
                                <w:kern w:val="24"/>
                                <w:sz w:val="20"/>
                                <w:szCs w:val="20"/>
                                <w:lang w:val="mi-NZ"/>
                              </w:rPr>
                            </w:pPr>
                          </w:p>
                          <w:p w14:paraId="454A62F7" w14:textId="51E02238" w:rsidR="00903CCA" w:rsidRPr="008874DE" w:rsidRDefault="00903CCA" w:rsidP="005B0D93">
                            <w:pPr>
                              <w:spacing w:after="0"/>
                              <w:rPr>
                                <w:rFonts w:cs="Arial"/>
                                <w:color w:val="000000" w:themeColor="text1"/>
                                <w:kern w:val="24"/>
                                <w:sz w:val="20"/>
                                <w:szCs w:val="20"/>
                                <w:lang w:val="mi-NZ"/>
                              </w:rPr>
                            </w:pPr>
                          </w:p>
                          <w:p w14:paraId="1E8DB1D0" w14:textId="15AC6B2A" w:rsidR="00903CCA" w:rsidRPr="008874DE" w:rsidRDefault="00903CCA" w:rsidP="005B0D93">
                            <w:pPr>
                              <w:spacing w:after="0"/>
                              <w:rPr>
                                <w:rFonts w:cs="Arial"/>
                                <w:color w:val="000000" w:themeColor="text1"/>
                                <w:kern w:val="24"/>
                                <w:sz w:val="20"/>
                                <w:szCs w:val="20"/>
                                <w:lang w:val="mi-NZ"/>
                              </w:rPr>
                            </w:pPr>
                          </w:p>
                          <w:p w14:paraId="1297D844" w14:textId="2B1F241E" w:rsidR="00903CCA" w:rsidRDefault="00903CCA" w:rsidP="005B0D93">
                            <w:pPr>
                              <w:spacing w:after="0"/>
                              <w:rPr>
                                <w:rFonts w:cs="Arial"/>
                                <w:color w:val="000000" w:themeColor="text1"/>
                                <w:kern w:val="24"/>
                                <w:sz w:val="20"/>
                                <w:szCs w:val="20"/>
                                <w:lang w:val="mi-NZ"/>
                              </w:rPr>
                            </w:pPr>
                          </w:p>
                          <w:p w14:paraId="64B96A7D" w14:textId="38372436" w:rsidR="00144DD2" w:rsidRDefault="00144DD2" w:rsidP="005B0D93">
                            <w:pPr>
                              <w:spacing w:after="0"/>
                              <w:rPr>
                                <w:rFonts w:cs="Arial"/>
                                <w:color w:val="000000" w:themeColor="text1"/>
                                <w:kern w:val="24"/>
                                <w:sz w:val="20"/>
                                <w:szCs w:val="20"/>
                                <w:lang w:val="mi-NZ"/>
                              </w:rPr>
                            </w:pPr>
                          </w:p>
                          <w:p w14:paraId="36750D8D" w14:textId="43959D35" w:rsidR="00144DD2" w:rsidRDefault="00144DD2" w:rsidP="005B0D93">
                            <w:pPr>
                              <w:spacing w:after="0"/>
                              <w:rPr>
                                <w:rFonts w:cs="Arial"/>
                                <w:color w:val="000000" w:themeColor="text1"/>
                                <w:kern w:val="24"/>
                                <w:sz w:val="20"/>
                                <w:szCs w:val="20"/>
                                <w:lang w:val="mi-NZ"/>
                              </w:rPr>
                            </w:pPr>
                          </w:p>
                          <w:p w14:paraId="5DBCE2ED" w14:textId="325A94C9" w:rsidR="00144DD2" w:rsidRDefault="00144DD2" w:rsidP="005B0D93">
                            <w:pPr>
                              <w:spacing w:after="0"/>
                              <w:rPr>
                                <w:rFonts w:cs="Arial"/>
                                <w:color w:val="000000" w:themeColor="text1"/>
                                <w:kern w:val="24"/>
                                <w:sz w:val="20"/>
                                <w:szCs w:val="20"/>
                                <w:lang w:val="mi-NZ"/>
                              </w:rPr>
                            </w:pPr>
                          </w:p>
                          <w:p w14:paraId="580AB211" w14:textId="2D5E2838" w:rsidR="00144DD2" w:rsidRDefault="00144DD2" w:rsidP="005B0D93">
                            <w:pPr>
                              <w:spacing w:after="0"/>
                              <w:rPr>
                                <w:rFonts w:cs="Arial"/>
                                <w:color w:val="000000" w:themeColor="text1"/>
                                <w:kern w:val="24"/>
                                <w:sz w:val="20"/>
                                <w:szCs w:val="20"/>
                                <w:lang w:val="mi-NZ"/>
                              </w:rPr>
                            </w:pPr>
                          </w:p>
                          <w:p w14:paraId="1039B15B" w14:textId="77777777" w:rsidR="00144DD2" w:rsidRPr="008874DE" w:rsidRDefault="00144DD2" w:rsidP="005B0D93">
                            <w:pPr>
                              <w:spacing w:after="0"/>
                              <w:rPr>
                                <w:rFonts w:cs="Arial"/>
                                <w:color w:val="000000" w:themeColor="text1"/>
                                <w:kern w:val="24"/>
                                <w:sz w:val="20"/>
                                <w:szCs w:val="20"/>
                                <w:lang w:val="mi-NZ"/>
                              </w:rPr>
                            </w:pPr>
                          </w:p>
                          <w:p w14:paraId="4181FFF1" w14:textId="6D8AA325" w:rsidR="00903CCA" w:rsidRPr="008874DE" w:rsidRDefault="00903CCA" w:rsidP="000E4F09">
                            <w:pPr>
                              <w:spacing w:after="0" w:line="240" w:lineRule="auto"/>
                              <w:jc w:val="center"/>
                              <w:rPr>
                                <w:rFonts w:cs="Arial"/>
                                <w:color w:val="000000" w:themeColor="text1"/>
                                <w:kern w:val="24"/>
                                <w:szCs w:val="18"/>
                                <w:lang w:val="mi-NZ"/>
                              </w:rPr>
                            </w:pPr>
                            <w:r w:rsidRPr="008874DE">
                              <w:rPr>
                                <w:rFonts w:cs="Arial"/>
                                <w:color w:val="000000" w:themeColor="text1"/>
                                <w:kern w:val="24"/>
                                <w:szCs w:val="18"/>
                                <w:lang w:val="mi-NZ"/>
                              </w:rPr>
                              <w:t>Approaches to mental health and wellbeing</w:t>
                            </w:r>
                          </w:p>
                          <w:p w14:paraId="7AA1B108" w14:textId="109A9073" w:rsidR="00903CCA" w:rsidRPr="008874DE" w:rsidRDefault="00903CCA" w:rsidP="002A1182">
                            <w:pPr>
                              <w:spacing w:after="0"/>
                              <w:jc w:val="center"/>
                              <w:rPr>
                                <w:rFonts w:cs="Arial"/>
                                <w:color w:val="000000" w:themeColor="text1"/>
                                <w:kern w:val="24"/>
                                <w:szCs w:val="18"/>
                                <w:lang w:val="mi-NZ"/>
                              </w:rPr>
                            </w:pPr>
                            <w:r w:rsidRPr="008874DE">
                              <w:rPr>
                                <w:rFonts w:cs="Arial"/>
                                <w:color w:val="000000" w:themeColor="text1"/>
                                <w:kern w:val="24"/>
                                <w:szCs w:val="18"/>
                                <w:lang w:val="mi-NZ"/>
                              </w:rPr>
                              <w:t xml:space="preserve">(s11(1)(c)) </w:t>
                            </w:r>
                          </w:p>
                          <w:p w14:paraId="7FCFCCD8" w14:textId="77777777" w:rsidR="00903CCA" w:rsidRPr="008874DE" w:rsidRDefault="00903CCA" w:rsidP="002A1182">
                            <w:pPr>
                              <w:spacing w:after="0"/>
                              <w:jc w:val="center"/>
                              <w:rPr>
                                <w:rFonts w:cs="Arial"/>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68685112" id="Oval 4" o:spid="_x0000_s1033" style="position:absolute;margin-left:34.45pt;margin-top:6.95pt;width:382.5pt;height:24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aEOgIAAOIEAAAOAAAAZHJzL2Uyb0RvYy54bWysVE1v2zAMvQ/YfxB0X+ykTVwYcYqiQXbZ&#10;1mLdfoAiS7EAfU1SYuffj5Ict12LHYZdZIki3yOfSK9vByXRiTkvjG7wfFZixDQ1rdCHBv/8sft0&#10;g5EPRLdEGs0afGYe324+flj3tmYL0xnZMocARPu6tw3uQrB1UXjaMUX8zFim4ZIbp0iAozsUrSM9&#10;oCtZLMpyVfTGtdYZyrwH6zZf4k3C55zR8MC5ZwHJBkNuIa0urfu4Fps1qQ+O2E7QMQ3yD1koIjSQ&#10;TlBbEgg6OvEGSgnqjDc8zKhRheFcUJZqgGrm5R/VPHXEslQLiOPtJJP/f7D02+nRIdE2+GqOkSYK&#10;3ujhRCS6TuWwIXzxAUQqeuvr5BylTdsn++jgJp48bGP1A3cqfqEuNCSRz5PIAIUoGK9vllW1hLeg&#10;cHdVVqtltYzPUDyHW+fDZ2YUipsGMymF9VEIUpPTmA+pL17R7I0U7U5ImQ7usL+XDkEZDb6rttVu&#10;NxK8cpP6bWRsOzbF7g/zRCqP6qtpM95qWZapbSDf1KXRPWX/AhzuInoSLWuTVApnySKn1N8ZB9FB&#10;jUUimIAyB6GU6ZC5fUdals2R+X3qBBiROUgwYY8Ar2u6YGfFR/8YytK0TMHl3xLLwVNEYjY6TMFK&#10;aOPeA5BQ1cic/S8iZWmiSmHYD6khq+gZLXvTnqFJe5jSBvtfR+IYRi7Ie5OHmmjaGZhpGjKnNnfH&#10;YLiY+jYDjFQwSOm5xqGPk/rynLyef02b3wAAAP//AwBQSwMEFAAGAAgAAAAhAJWgAoTfAAAACQEA&#10;AA8AAABkcnMvZG93bnJldi54bWxMj01Lw0AQhu+C/2EZwZvdaEpJYzZFihVBpPbj4HGaHZPY7GzJ&#10;btv4752e9DQf78s7zxSzwXXqRH1oPRu4HyWgiCtvW64NbDeLuwxUiMgWO89k4IcCzMrrqwJz68+8&#10;otM61kpCOORooInxkGsdqoYchpE/EIv25XuHUca+1rbHs4S7Tj8kyUQ7bFkuNHigeUPVfn10Bt4+&#10;7CuulsMifX/B7zl+7p83vDXm9mZ4egQVaYh/ZrjgCzqUwrTzR7ZBdQYm2VScsk+lip6ll2ZnYDzN&#10;xqDLQv//oPwFAAD//wMAUEsBAi0AFAAGAAgAAAAhALaDOJL+AAAA4QEAABMAAAAAAAAAAAAAAAAA&#10;AAAAAFtDb250ZW50X1R5cGVzXS54bWxQSwECLQAUAAYACAAAACEAOP0h/9YAAACUAQAACwAAAAAA&#10;AAAAAAAAAAAvAQAAX3JlbHMvLnJlbHNQSwECLQAUAAYACAAAACEALnZGhDoCAADiBAAADgAAAAAA&#10;AAAAAAAAAAAuAgAAZHJzL2Uyb0RvYy54bWxQSwECLQAUAAYACAAAACEAlaAChN8AAAAJAQAADwAA&#10;AAAAAAAAAAAAAACUBAAAZHJzL2Rvd25yZXYueG1sUEsFBgAAAAAEAAQA8wAAAKAFAAAAAA==&#10;" fillcolor="#a7d7ff" strokecolor="#a5a5a5 [2092]" strokeweight="1pt">
                <v:stroke joinstyle="miter"/>
                <v:textbox>
                  <w:txbxContent>
                    <w:p w14:paraId="24D81938" w14:textId="77777777" w:rsidR="00903CCA" w:rsidRPr="008874DE" w:rsidRDefault="00903CCA" w:rsidP="00F67470">
                      <w:pPr>
                        <w:jc w:val="center"/>
                        <w:rPr>
                          <w:rFonts w:cs="Arial"/>
                          <w:color w:val="000000" w:themeColor="text1"/>
                          <w:kern w:val="24"/>
                          <w:sz w:val="20"/>
                          <w:szCs w:val="20"/>
                          <w:lang w:val="mi-NZ"/>
                        </w:rPr>
                      </w:pPr>
                    </w:p>
                    <w:p w14:paraId="454A62F7" w14:textId="51E02238" w:rsidR="00903CCA" w:rsidRPr="008874DE" w:rsidRDefault="00903CCA" w:rsidP="005B0D93">
                      <w:pPr>
                        <w:spacing w:after="0"/>
                        <w:rPr>
                          <w:rFonts w:cs="Arial"/>
                          <w:color w:val="000000" w:themeColor="text1"/>
                          <w:kern w:val="24"/>
                          <w:sz w:val="20"/>
                          <w:szCs w:val="20"/>
                          <w:lang w:val="mi-NZ"/>
                        </w:rPr>
                      </w:pPr>
                    </w:p>
                    <w:p w14:paraId="1E8DB1D0" w14:textId="15AC6B2A" w:rsidR="00903CCA" w:rsidRPr="008874DE" w:rsidRDefault="00903CCA" w:rsidP="005B0D93">
                      <w:pPr>
                        <w:spacing w:after="0"/>
                        <w:rPr>
                          <w:rFonts w:cs="Arial"/>
                          <w:color w:val="000000" w:themeColor="text1"/>
                          <w:kern w:val="24"/>
                          <w:sz w:val="20"/>
                          <w:szCs w:val="20"/>
                          <w:lang w:val="mi-NZ"/>
                        </w:rPr>
                      </w:pPr>
                    </w:p>
                    <w:p w14:paraId="1297D844" w14:textId="2B1F241E" w:rsidR="00903CCA" w:rsidRDefault="00903CCA" w:rsidP="005B0D93">
                      <w:pPr>
                        <w:spacing w:after="0"/>
                        <w:rPr>
                          <w:rFonts w:cs="Arial"/>
                          <w:color w:val="000000" w:themeColor="text1"/>
                          <w:kern w:val="24"/>
                          <w:sz w:val="20"/>
                          <w:szCs w:val="20"/>
                          <w:lang w:val="mi-NZ"/>
                        </w:rPr>
                      </w:pPr>
                    </w:p>
                    <w:p w14:paraId="64B96A7D" w14:textId="38372436" w:rsidR="00144DD2" w:rsidRDefault="00144DD2" w:rsidP="005B0D93">
                      <w:pPr>
                        <w:spacing w:after="0"/>
                        <w:rPr>
                          <w:rFonts w:cs="Arial"/>
                          <w:color w:val="000000" w:themeColor="text1"/>
                          <w:kern w:val="24"/>
                          <w:sz w:val="20"/>
                          <w:szCs w:val="20"/>
                          <w:lang w:val="mi-NZ"/>
                        </w:rPr>
                      </w:pPr>
                    </w:p>
                    <w:p w14:paraId="36750D8D" w14:textId="43959D35" w:rsidR="00144DD2" w:rsidRDefault="00144DD2" w:rsidP="005B0D93">
                      <w:pPr>
                        <w:spacing w:after="0"/>
                        <w:rPr>
                          <w:rFonts w:cs="Arial"/>
                          <w:color w:val="000000" w:themeColor="text1"/>
                          <w:kern w:val="24"/>
                          <w:sz w:val="20"/>
                          <w:szCs w:val="20"/>
                          <w:lang w:val="mi-NZ"/>
                        </w:rPr>
                      </w:pPr>
                    </w:p>
                    <w:p w14:paraId="5DBCE2ED" w14:textId="325A94C9" w:rsidR="00144DD2" w:rsidRDefault="00144DD2" w:rsidP="005B0D93">
                      <w:pPr>
                        <w:spacing w:after="0"/>
                        <w:rPr>
                          <w:rFonts w:cs="Arial"/>
                          <w:color w:val="000000" w:themeColor="text1"/>
                          <w:kern w:val="24"/>
                          <w:sz w:val="20"/>
                          <w:szCs w:val="20"/>
                          <w:lang w:val="mi-NZ"/>
                        </w:rPr>
                      </w:pPr>
                    </w:p>
                    <w:p w14:paraId="580AB211" w14:textId="2D5E2838" w:rsidR="00144DD2" w:rsidRDefault="00144DD2" w:rsidP="005B0D93">
                      <w:pPr>
                        <w:spacing w:after="0"/>
                        <w:rPr>
                          <w:rFonts w:cs="Arial"/>
                          <w:color w:val="000000" w:themeColor="text1"/>
                          <w:kern w:val="24"/>
                          <w:sz w:val="20"/>
                          <w:szCs w:val="20"/>
                          <w:lang w:val="mi-NZ"/>
                        </w:rPr>
                      </w:pPr>
                    </w:p>
                    <w:p w14:paraId="1039B15B" w14:textId="77777777" w:rsidR="00144DD2" w:rsidRPr="008874DE" w:rsidRDefault="00144DD2" w:rsidP="005B0D93">
                      <w:pPr>
                        <w:spacing w:after="0"/>
                        <w:rPr>
                          <w:rFonts w:cs="Arial"/>
                          <w:color w:val="000000" w:themeColor="text1"/>
                          <w:kern w:val="24"/>
                          <w:sz w:val="20"/>
                          <w:szCs w:val="20"/>
                          <w:lang w:val="mi-NZ"/>
                        </w:rPr>
                      </w:pPr>
                    </w:p>
                    <w:p w14:paraId="4181FFF1" w14:textId="6D8AA325" w:rsidR="00903CCA" w:rsidRPr="008874DE" w:rsidRDefault="00903CCA" w:rsidP="000E4F09">
                      <w:pPr>
                        <w:spacing w:after="0" w:line="240" w:lineRule="auto"/>
                        <w:jc w:val="center"/>
                        <w:rPr>
                          <w:rFonts w:cs="Arial"/>
                          <w:color w:val="000000" w:themeColor="text1"/>
                          <w:kern w:val="24"/>
                          <w:szCs w:val="18"/>
                          <w:lang w:val="mi-NZ"/>
                        </w:rPr>
                      </w:pPr>
                      <w:r w:rsidRPr="008874DE">
                        <w:rPr>
                          <w:rFonts w:cs="Arial"/>
                          <w:color w:val="000000" w:themeColor="text1"/>
                          <w:kern w:val="24"/>
                          <w:szCs w:val="18"/>
                          <w:lang w:val="mi-NZ"/>
                        </w:rPr>
                        <w:t>Approaches to mental health and wellbeing</w:t>
                      </w:r>
                    </w:p>
                    <w:p w14:paraId="7AA1B108" w14:textId="109A9073" w:rsidR="00903CCA" w:rsidRPr="008874DE" w:rsidRDefault="00903CCA" w:rsidP="002A1182">
                      <w:pPr>
                        <w:spacing w:after="0"/>
                        <w:jc w:val="center"/>
                        <w:rPr>
                          <w:rFonts w:cs="Arial"/>
                          <w:color w:val="000000" w:themeColor="text1"/>
                          <w:kern w:val="24"/>
                          <w:szCs w:val="18"/>
                          <w:lang w:val="mi-NZ"/>
                        </w:rPr>
                      </w:pPr>
                      <w:r w:rsidRPr="008874DE">
                        <w:rPr>
                          <w:rFonts w:cs="Arial"/>
                          <w:color w:val="000000" w:themeColor="text1"/>
                          <w:kern w:val="24"/>
                          <w:szCs w:val="18"/>
                          <w:lang w:val="mi-NZ"/>
                        </w:rPr>
                        <w:t xml:space="preserve">(s11(1)(c)) </w:t>
                      </w:r>
                    </w:p>
                    <w:p w14:paraId="7FCFCCD8" w14:textId="77777777" w:rsidR="00903CCA" w:rsidRPr="008874DE" w:rsidRDefault="00903CCA" w:rsidP="002A1182">
                      <w:pPr>
                        <w:spacing w:after="0"/>
                        <w:jc w:val="center"/>
                        <w:rPr>
                          <w:rFonts w:cs="Arial"/>
                          <w:sz w:val="24"/>
                          <w:szCs w:val="24"/>
                        </w:rPr>
                      </w:pPr>
                    </w:p>
                  </w:txbxContent>
                </v:textbox>
                <w10:wrap anchorx="margin"/>
              </v:oval>
            </w:pict>
          </mc:Fallback>
        </mc:AlternateContent>
      </w:r>
      <w:r w:rsidRPr="008874DE">
        <w:rPr>
          <w:rFonts w:cs="Arial"/>
          <w:b/>
          <w:bCs/>
          <w:noProof/>
          <w:color w:val="961E82"/>
          <w:kern w:val="24"/>
          <w:sz w:val="20"/>
          <w:szCs w:val="20"/>
        </w:rPr>
        <mc:AlternateContent>
          <mc:Choice Requires="wps">
            <w:drawing>
              <wp:anchor distT="0" distB="0" distL="114300" distR="114300" simplePos="0" relativeHeight="251667456" behindDoc="0" locked="0" layoutInCell="1" allowOverlap="1" wp14:anchorId="3BEF45AD" wp14:editId="365DB3D8">
                <wp:simplePos x="0" y="0"/>
                <wp:positionH relativeFrom="margin">
                  <wp:posOffset>151765</wp:posOffset>
                </wp:positionH>
                <wp:positionV relativeFrom="paragraph">
                  <wp:posOffset>12065</wp:posOffset>
                </wp:positionV>
                <wp:extent cx="5411470" cy="4629150"/>
                <wp:effectExtent l="0" t="0" r="17780" b="19050"/>
                <wp:wrapNone/>
                <wp:docPr id="30" name="Oval 5">
                  <a:extLst xmlns:a="http://schemas.openxmlformats.org/drawingml/2006/main"/>
                </wp:docPr>
                <wp:cNvGraphicFramePr/>
                <a:graphic xmlns:a="http://schemas.openxmlformats.org/drawingml/2006/main">
                  <a:graphicData uri="http://schemas.microsoft.com/office/word/2010/wordprocessingShape">
                    <wps:wsp>
                      <wps:cNvSpPr/>
                      <wps:spPr>
                        <a:xfrm>
                          <a:off x="0" y="0"/>
                          <a:ext cx="5411470" cy="4629150"/>
                        </a:xfrm>
                        <a:prstGeom prst="ellipse">
                          <a:avLst/>
                        </a:prstGeom>
                        <a:solidFill>
                          <a:srgbClr val="EEF8C8"/>
                        </a:solidFill>
                        <a:ln>
                          <a:solidFill>
                            <a:srgbClr val="7E7E7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AFE50" w14:textId="77777777" w:rsidR="00903CCA" w:rsidRPr="008874DE" w:rsidRDefault="00903CCA" w:rsidP="00A8697C">
                            <w:pPr>
                              <w:jc w:val="center"/>
                              <w:rPr>
                                <w:rFonts w:cs="Arial"/>
                                <w:color w:val="000000" w:themeColor="text1"/>
                                <w:kern w:val="24"/>
                                <w:sz w:val="20"/>
                                <w:szCs w:val="20"/>
                              </w:rPr>
                            </w:pPr>
                          </w:p>
                          <w:p w14:paraId="6FEB436B" w14:textId="77777777" w:rsidR="00903CCA" w:rsidRPr="008874DE" w:rsidRDefault="00903CCA" w:rsidP="00A8697C">
                            <w:pPr>
                              <w:jc w:val="center"/>
                              <w:rPr>
                                <w:rFonts w:cs="Arial"/>
                                <w:color w:val="000000" w:themeColor="text1"/>
                                <w:kern w:val="24"/>
                                <w:sz w:val="20"/>
                                <w:szCs w:val="20"/>
                              </w:rPr>
                            </w:pPr>
                          </w:p>
                          <w:p w14:paraId="518DC5BC" w14:textId="77777777" w:rsidR="00903CCA" w:rsidRPr="008874DE" w:rsidRDefault="00903CCA" w:rsidP="00A8697C">
                            <w:pPr>
                              <w:jc w:val="center"/>
                              <w:rPr>
                                <w:rFonts w:cs="Arial"/>
                                <w:color w:val="000000" w:themeColor="text1"/>
                                <w:kern w:val="24"/>
                                <w:sz w:val="20"/>
                                <w:szCs w:val="20"/>
                              </w:rPr>
                            </w:pPr>
                          </w:p>
                          <w:p w14:paraId="3E1F4591" w14:textId="7ABB2E6F" w:rsidR="00903CCA" w:rsidRPr="008874DE" w:rsidRDefault="00903CCA" w:rsidP="00A8697C">
                            <w:pPr>
                              <w:jc w:val="center"/>
                              <w:rPr>
                                <w:rFonts w:cs="Arial"/>
                                <w:color w:val="000000" w:themeColor="text1"/>
                                <w:kern w:val="24"/>
                                <w:sz w:val="20"/>
                                <w:szCs w:val="20"/>
                              </w:rPr>
                            </w:pPr>
                          </w:p>
                          <w:p w14:paraId="79F1415F" w14:textId="3765CCD4" w:rsidR="00903CCA" w:rsidRPr="008874DE" w:rsidRDefault="00903CCA" w:rsidP="00A8697C">
                            <w:pPr>
                              <w:jc w:val="center"/>
                              <w:rPr>
                                <w:rFonts w:cs="Arial"/>
                                <w:color w:val="000000" w:themeColor="text1"/>
                                <w:kern w:val="24"/>
                                <w:sz w:val="20"/>
                                <w:szCs w:val="20"/>
                              </w:rPr>
                            </w:pPr>
                          </w:p>
                          <w:p w14:paraId="576FA978" w14:textId="5C7F4571" w:rsidR="00903CCA" w:rsidRDefault="00903CCA" w:rsidP="005B0D93">
                            <w:pPr>
                              <w:spacing w:after="0"/>
                              <w:jc w:val="center"/>
                              <w:rPr>
                                <w:rFonts w:cs="Arial"/>
                                <w:color w:val="000000" w:themeColor="text1"/>
                                <w:kern w:val="24"/>
                                <w:szCs w:val="20"/>
                              </w:rPr>
                            </w:pPr>
                          </w:p>
                          <w:p w14:paraId="1997EFEC" w14:textId="74DBEB7A" w:rsidR="00144DD2" w:rsidRDefault="00144DD2" w:rsidP="005B0D93">
                            <w:pPr>
                              <w:spacing w:after="0"/>
                              <w:jc w:val="center"/>
                              <w:rPr>
                                <w:rFonts w:cs="Arial"/>
                                <w:color w:val="000000" w:themeColor="text1"/>
                                <w:kern w:val="24"/>
                                <w:szCs w:val="20"/>
                              </w:rPr>
                            </w:pPr>
                          </w:p>
                          <w:p w14:paraId="33E590BF" w14:textId="1055AEB4" w:rsidR="00144DD2" w:rsidRDefault="00144DD2" w:rsidP="005B0D93">
                            <w:pPr>
                              <w:spacing w:after="0"/>
                              <w:jc w:val="center"/>
                              <w:rPr>
                                <w:rFonts w:cs="Arial"/>
                                <w:color w:val="000000" w:themeColor="text1"/>
                                <w:kern w:val="24"/>
                                <w:szCs w:val="20"/>
                              </w:rPr>
                            </w:pPr>
                          </w:p>
                          <w:p w14:paraId="745FE7E5" w14:textId="77777777" w:rsidR="00144DD2" w:rsidRDefault="00144DD2" w:rsidP="005B0D93">
                            <w:pPr>
                              <w:spacing w:after="0"/>
                              <w:jc w:val="center"/>
                              <w:rPr>
                                <w:rFonts w:cs="Arial"/>
                                <w:color w:val="000000" w:themeColor="text1"/>
                                <w:kern w:val="24"/>
                                <w:szCs w:val="20"/>
                              </w:rPr>
                            </w:pPr>
                          </w:p>
                          <w:p w14:paraId="49322432" w14:textId="23A35D78" w:rsidR="00144DD2" w:rsidRDefault="00144DD2" w:rsidP="005B0D93">
                            <w:pPr>
                              <w:spacing w:after="0"/>
                              <w:jc w:val="center"/>
                              <w:rPr>
                                <w:rFonts w:cs="Arial"/>
                                <w:color w:val="000000" w:themeColor="text1"/>
                                <w:kern w:val="24"/>
                                <w:szCs w:val="20"/>
                              </w:rPr>
                            </w:pPr>
                          </w:p>
                          <w:p w14:paraId="4D458D20" w14:textId="7038B75E" w:rsidR="00144DD2" w:rsidRDefault="00144DD2" w:rsidP="005B0D93">
                            <w:pPr>
                              <w:spacing w:after="0"/>
                              <w:jc w:val="center"/>
                              <w:rPr>
                                <w:rFonts w:cs="Arial"/>
                                <w:color w:val="000000" w:themeColor="text1"/>
                                <w:kern w:val="24"/>
                                <w:szCs w:val="20"/>
                              </w:rPr>
                            </w:pPr>
                          </w:p>
                          <w:p w14:paraId="4ADF85A9" w14:textId="77777777" w:rsidR="00144DD2" w:rsidRPr="008874DE" w:rsidRDefault="00144DD2" w:rsidP="005B0D93">
                            <w:pPr>
                              <w:spacing w:after="0"/>
                              <w:jc w:val="center"/>
                              <w:rPr>
                                <w:rFonts w:cs="Arial"/>
                                <w:color w:val="000000" w:themeColor="text1"/>
                                <w:kern w:val="24"/>
                                <w:szCs w:val="20"/>
                              </w:rPr>
                            </w:pPr>
                          </w:p>
                          <w:p w14:paraId="1235219C" w14:textId="79303D38" w:rsidR="00903CCA" w:rsidRPr="008874DE" w:rsidRDefault="00903CCA" w:rsidP="000E4F09">
                            <w:pPr>
                              <w:spacing w:after="0" w:line="240" w:lineRule="auto"/>
                              <w:jc w:val="center"/>
                              <w:rPr>
                                <w:rFonts w:cs="Arial"/>
                                <w:color w:val="000000" w:themeColor="text1"/>
                                <w:kern w:val="24"/>
                                <w:szCs w:val="18"/>
                              </w:rPr>
                            </w:pPr>
                            <w:r w:rsidRPr="008874DE">
                              <w:rPr>
                                <w:rFonts w:cs="Arial"/>
                                <w:color w:val="000000" w:themeColor="text1"/>
                                <w:kern w:val="24"/>
                                <w:szCs w:val="18"/>
                              </w:rPr>
                              <w:t>Factors and activities that affect people’s mental health and wellbeing</w:t>
                            </w:r>
                          </w:p>
                          <w:p w14:paraId="7934EBEC" w14:textId="7E4228A7" w:rsidR="00903CCA" w:rsidRPr="008874DE" w:rsidRDefault="00903CCA" w:rsidP="002A1182">
                            <w:pPr>
                              <w:spacing w:after="0"/>
                              <w:jc w:val="center"/>
                              <w:rPr>
                                <w:rFonts w:cs="Arial"/>
                                <w:color w:val="000000" w:themeColor="text1"/>
                                <w:kern w:val="24"/>
                                <w:szCs w:val="18"/>
                              </w:rPr>
                            </w:pPr>
                            <w:r w:rsidRPr="008874DE">
                              <w:rPr>
                                <w:rFonts w:cs="Arial"/>
                                <w:color w:val="000000" w:themeColor="text1"/>
                                <w:kern w:val="24"/>
                                <w:szCs w:val="18"/>
                              </w:rPr>
                              <w:t xml:space="preserve"> (ss11(2)(b) and (c))</w:t>
                            </w:r>
                          </w:p>
                          <w:p w14:paraId="4B1E8102" w14:textId="77777777" w:rsidR="009A4435" w:rsidRPr="008874DE" w:rsidRDefault="009A4435" w:rsidP="002A1182">
                            <w:pPr>
                              <w:spacing w:after="0"/>
                              <w:jc w:val="center"/>
                              <w:rPr>
                                <w:rFonts w:cs="Arial"/>
                                <w:sz w:val="18"/>
                                <w:szCs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3BEF45AD" id="Oval 5" o:spid="_x0000_s1034" style="position:absolute;margin-left:11.95pt;margin-top:.95pt;width:426.1pt;height:36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qBLAIAAL8EAAAOAAAAZHJzL2Uyb0RvYy54bWysVNuO2jAQfa/Uf7D8XpJQ2KURYVWx0Jeq&#10;u+q2H2Acm1jyrbYh4e87tkO27Vb7UBUkY3tmzsw5nmF9NyiJzsx5YXSDq1mJEdPUtEIfG/z92/7d&#10;CiMfiG6JNJo1+MI8vtu8fbPubc3mpjOyZQ4BiPZ1bxvchWDrovC0Y4r4mbFMg5Ebp0iAozsWrSM9&#10;oCtZzMvypuiNa60zlHkPt/fZiDcJn3NGwwPnngUkGwy1hbS6tB7iWmzWpD46YjtBxzLIP1ShiNCQ&#10;dIK6J4GgkxMvoJSgznjDw4waVRjOBWWJA7Cpyj/YPHXEssQFxPF2ksn/P1j65fzokGgb/B7k0UTB&#10;Gz2ciUTLRIcN4bMPIFLRW18n5yht2j7ZRweWePKwjewH7lT8BV5oSCJfJpEBClG4XC6qanELySjY&#10;FjfzD9UyPUPxHG6dD5+YUShuGsykFNZHIUhNzmM9pL56xWtvpGj3Qsp0cMfDVjoENBq82+1X21V8&#10;Z0jwm5vUr0fe7uL3ZSTgxNCkSCaeJAgXySKg1F8ZB0WB6jyVnHqZTQURSpkOVTZ1pGW5zmUJn2uy&#10;2P0xIhWdACMyB34T9ghw9cwgV+zMdvSPoSyNwhRcvlZYDp4iUmajwxSshDbubwASWI2Zs/9VpCxN&#10;VCkMhyF1W3qReHMw7QU6sIcRbLD/cSKOYeSC3Jo8sUTTzsDA0pBzavPxFAwXU1NmgDEVTEnSbJzo&#10;OIa/npPX8//O5icAAAD//wMAUEsDBBQABgAIAAAAIQAlZLBj3gAAAAgBAAAPAAAAZHJzL2Rvd25y&#10;ZXYueG1sTI9BT8MwDIXvSPyHyEjcWLoNtrU0nRDSjhxWNnHNGq/tSJyqSdfCr8ec4GTZ7+n5e/l2&#10;clZcsQ+tJwXzWQICqfKmpVrB4X33sAERoiajrSdU8IUBtsXtTa4z40fa47WMteAQCplW0MTYZVKG&#10;qkGnw8x3SKydfe905LWvpen1yOHOykWSrKTTLfGHRnf42mD1WQ5OQTricCjt/u38dPnGj8fLzibH&#10;o1L3d9PLM4iIU/wzwy8+o0PBTCc/kAnCKlgsU3bynQfLm/VqDuKkYL1MUpBFLv8XKH4AAAD//wMA&#10;UEsBAi0AFAAGAAgAAAAhALaDOJL+AAAA4QEAABMAAAAAAAAAAAAAAAAAAAAAAFtDb250ZW50X1R5&#10;cGVzXS54bWxQSwECLQAUAAYACAAAACEAOP0h/9YAAACUAQAACwAAAAAAAAAAAAAAAAAvAQAAX3Jl&#10;bHMvLnJlbHNQSwECLQAUAAYACAAAACEAD8oKgSwCAAC/BAAADgAAAAAAAAAAAAAAAAAuAgAAZHJz&#10;L2Uyb0RvYy54bWxQSwECLQAUAAYACAAAACEAJWSwY94AAAAIAQAADwAAAAAAAAAAAAAAAACGBAAA&#10;ZHJzL2Rvd25yZXYueG1sUEsFBgAAAAAEAAQA8wAAAJEFAAAAAA==&#10;" fillcolor="#eef8c8" strokecolor="#7e7e7e" strokeweight="1pt">
                <v:stroke joinstyle="miter"/>
                <v:textbox>
                  <w:txbxContent>
                    <w:p w14:paraId="064AFE50" w14:textId="77777777" w:rsidR="00903CCA" w:rsidRPr="008874DE" w:rsidRDefault="00903CCA" w:rsidP="00A8697C">
                      <w:pPr>
                        <w:jc w:val="center"/>
                        <w:rPr>
                          <w:rFonts w:cs="Arial"/>
                          <w:color w:val="000000" w:themeColor="text1"/>
                          <w:kern w:val="24"/>
                          <w:sz w:val="20"/>
                          <w:szCs w:val="20"/>
                        </w:rPr>
                      </w:pPr>
                    </w:p>
                    <w:p w14:paraId="6FEB436B" w14:textId="77777777" w:rsidR="00903CCA" w:rsidRPr="008874DE" w:rsidRDefault="00903CCA" w:rsidP="00A8697C">
                      <w:pPr>
                        <w:jc w:val="center"/>
                        <w:rPr>
                          <w:rFonts w:cs="Arial"/>
                          <w:color w:val="000000" w:themeColor="text1"/>
                          <w:kern w:val="24"/>
                          <w:sz w:val="20"/>
                          <w:szCs w:val="20"/>
                        </w:rPr>
                      </w:pPr>
                    </w:p>
                    <w:p w14:paraId="518DC5BC" w14:textId="77777777" w:rsidR="00903CCA" w:rsidRPr="008874DE" w:rsidRDefault="00903CCA" w:rsidP="00A8697C">
                      <w:pPr>
                        <w:jc w:val="center"/>
                        <w:rPr>
                          <w:rFonts w:cs="Arial"/>
                          <w:color w:val="000000" w:themeColor="text1"/>
                          <w:kern w:val="24"/>
                          <w:sz w:val="20"/>
                          <w:szCs w:val="20"/>
                        </w:rPr>
                      </w:pPr>
                    </w:p>
                    <w:p w14:paraId="3E1F4591" w14:textId="7ABB2E6F" w:rsidR="00903CCA" w:rsidRPr="008874DE" w:rsidRDefault="00903CCA" w:rsidP="00A8697C">
                      <w:pPr>
                        <w:jc w:val="center"/>
                        <w:rPr>
                          <w:rFonts w:cs="Arial"/>
                          <w:color w:val="000000" w:themeColor="text1"/>
                          <w:kern w:val="24"/>
                          <w:sz w:val="20"/>
                          <w:szCs w:val="20"/>
                        </w:rPr>
                      </w:pPr>
                    </w:p>
                    <w:p w14:paraId="79F1415F" w14:textId="3765CCD4" w:rsidR="00903CCA" w:rsidRPr="008874DE" w:rsidRDefault="00903CCA" w:rsidP="00A8697C">
                      <w:pPr>
                        <w:jc w:val="center"/>
                        <w:rPr>
                          <w:rFonts w:cs="Arial"/>
                          <w:color w:val="000000" w:themeColor="text1"/>
                          <w:kern w:val="24"/>
                          <w:sz w:val="20"/>
                          <w:szCs w:val="20"/>
                        </w:rPr>
                      </w:pPr>
                    </w:p>
                    <w:p w14:paraId="576FA978" w14:textId="5C7F4571" w:rsidR="00903CCA" w:rsidRDefault="00903CCA" w:rsidP="005B0D93">
                      <w:pPr>
                        <w:spacing w:after="0"/>
                        <w:jc w:val="center"/>
                        <w:rPr>
                          <w:rFonts w:cs="Arial"/>
                          <w:color w:val="000000" w:themeColor="text1"/>
                          <w:kern w:val="24"/>
                          <w:szCs w:val="20"/>
                        </w:rPr>
                      </w:pPr>
                    </w:p>
                    <w:p w14:paraId="1997EFEC" w14:textId="74DBEB7A" w:rsidR="00144DD2" w:rsidRDefault="00144DD2" w:rsidP="005B0D93">
                      <w:pPr>
                        <w:spacing w:after="0"/>
                        <w:jc w:val="center"/>
                        <w:rPr>
                          <w:rFonts w:cs="Arial"/>
                          <w:color w:val="000000" w:themeColor="text1"/>
                          <w:kern w:val="24"/>
                          <w:szCs w:val="20"/>
                        </w:rPr>
                      </w:pPr>
                    </w:p>
                    <w:p w14:paraId="33E590BF" w14:textId="1055AEB4" w:rsidR="00144DD2" w:rsidRDefault="00144DD2" w:rsidP="005B0D93">
                      <w:pPr>
                        <w:spacing w:after="0"/>
                        <w:jc w:val="center"/>
                        <w:rPr>
                          <w:rFonts w:cs="Arial"/>
                          <w:color w:val="000000" w:themeColor="text1"/>
                          <w:kern w:val="24"/>
                          <w:szCs w:val="20"/>
                        </w:rPr>
                      </w:pPr>
                    </w:p>
                    <w:p w14:paraId="745FE7E5" w14:textId="77777777" w:rsidR="00144DD2" w:rsidRDefault="00144DD2" w:rsidP="005B0D93">
                      <w:pPr>
                        <w:spacing w:after="0"/>
                        <w:jc w:val="center"/>
                        <w:rPr>
                          <w:rFonts w:cs="Arial"/>
                          <w:color w:val="000000" w:themeColor="text1"/>
                          <w:kern w:val="24"/>
                          <w:szCs w:val="20"/>
                        </w:rPr>
                      </w:pPr>
                    </w:p>
                    <w:p w14:paraId="49322432" w14:textId="23A35D78" w:rsidR="00144DD2" w:rsidRDefault="00144DD2" w:rsidP="005B0D93">
                      <w:pPr>
                        <w:spacing w:after="0"/>
                        <w:jc w:val="center"/>
                        <w:rPr>
                          <w:rFonts w:cs="Arial"/>
                          <w:color w:val="000000" w:themeColor="text1"/>
                          <w:kern w:val="24"/>
                          <w:szCs w:val="20"/>
                        </w:rPr>
                      </w:pPr>
                    </w:p>
                    <w:p w14:paraId="4D458D20" w14:textId="7038B75E" w:rsidR="00144DD2" w:rsidRDefault="00144DD2" w:rsidP="005B0D93">
                      <w:pPr>
                        <w:spacing w:after="0"/>
                        <w:jc w:val="center"/>
                        <w:rPr>
                          <w:rFonts w:cs="Arial"/>
                          <w:color w:val="000000" w:themeColor="text1"/>
                          <w:kern w:val="24"/>
                          <w:szCs w:val="20"/>
                        </w:rPr>
                      </w:pPr>
                    </w:p>
                    <w:p w14:paraId="4ADF85A9" w14:textId="77777777" w:rsidR="00144DD2" w:rsidRPr="008874DE" w:rsidRDefault="00144DD2" w:rsidP="005B0D93">
                      <w:pPr>
                        <w:spacing w:after="0"/>
                        <w:jc w:val="center"/>
                        <w:rPr>
                          <w:rFonts w:cs="Arial"/>
                          <w:color w:val="000000" w:themeColor="text1"/>
                          <w:kern w:val="24"/>
                          <w:szCs w:val="20"/>
                        </w:rPr>
                      </w:pPr>
                    </w:p>
                    <w:p w14:paraId="1235219C" w14:textId="79303D38" w:rsidR="00903CCA" w:rsidRPr="008874DE" w:rsidRDefault="00903CCA" w:rsidP="000E4F09">
                      <w:pPr>
                        <w:spacing w:after="0" w:line="240" w:lineRule="auto"/>
                        <w:jc w:val="center"/>
                        <w:rPr>
                          <w:rFonts w:cs="Arial"/>
                          <w:color w:val="000000" w:themeColor="text1"/>
                          <w:kern w:val="24"/>
                          <w:szCs w:val="18"/>
                        </w:rPr>
                      </w:pPr>
                      <w:r w:rsidRPr="008874DE">
                        <w:rPr>
                          <w:rFonts w:cs="Arial"/>
                          <w:color w:val="000000" w:themeColor="text1"/>
                          <w:kern w:val="24"/>
                          <w:szCs w:val="18"/>
                        </w:rPr>
                        <w:t>Factors and activities that affect people’s mental health and wellbeing</w:t>
                      </w:r>
                    </w:p>
                    <w:p w14:paraId="7934EBEC" w14:textId="7E4228A7" w:rsidR="00903CCA" w:rsidRPr="008874DE" w:rsidRDefault="00903CCA" w:rsidP="002A1182">
                      <w:pPr>
                        <w:spacing w:after="0"/>
                        <w:jc w:val="center"/>
                        <w:rPr>
                          <w:rFonts w:cs="Arial"/>
                          <w:color w:val="000000" w:themeColor="text1"/>
                          <w:kern w:val="24"/>
                          <w:szCs w:val="18"/>
                        </w:rPr>
                      </w:pPr>
                      <w:r w:rsidRPr="008874DE">
                        <w:rPr>
                          <w:rFonts w:cs="Arial"/>
                          <w:color w:val="000000" w:themeColor="text1"/>
                          <w:kern w:val="24"/>
                          <w:szCs w:val="18"/>
                        </w:rPr>
                        <w:t xml:space="preserve"> (ss11(2)(b) and (c))</w:t>
                      </w:r>
                    </w:p>
                    <w:p w14:paraId="4B1E8102" w14:textId="77777777" w:rsidR="009A4435" w:rsidRPr="008874DE" w:rsidRDefault="009A4435" w:rsidP="002A1182">
                      <w:pPr>
                        <w:spacing w:after="0"/>
                        <w:jc w:val="center"/>
                        <w:rPr>
                          <w:rFonts w:cs="Arial"/>
                          <w:sz w:val="18"/>
                          <w:szCs w:val="18"/>
                        </w:rPr>
                      </w:pPr>
                    </w:p>
                  </w:txbxContent>
                </v:textbox>
                <w10:wrap anchorx="margin"/>
              </v:oval>
            </w:pict>
          </mc:Fallback>
        </mc:AlternateContent>
      </w:r>
      <w:r w:rsidRPr="008874DE">
        <w:rPr>
          <w:rFonts w:cs="Arial"/>
          <w:noProof/>
          <w:color w:val="222222"/>
        </w:rPr>
        <mc:AlternateContent>
          <mc:Choice Requires="wps">
            <w:drawing>
              <wp:anchor distT="0" distB="0" distL="114300" distR="114300" simplePos="0" relativeHeight="251671552" behindDoc="0" locked="0" layoutInCell="1" allowOverlap="1" wp14:anchorId="2D760A1D" wp14:editId="64256BA0">
                <wp:simplePos x="0" y="0"/>
                <wp:positionH relativeFrom="margin">
                  <wp:posOffset>1028065</wp:posOffset>
                </wp:positionH>
                <wp:positionV relativeFrom="paragraph">
                  <wp:posOffset>145416</wp:posOffset>
                </wp:positionV>
                <wp:extent cx="3657600" cy="1752600"/>
                <wp:effectExtent l="0" t="0" r="19050" b="19050"/>
                <wp:wrapNone/>
                <wp:docPr id="3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3657600" cy="1752600"/>
                        </a:xfrm>
                        <a:prstGeom prst="ellipse">
                          <a:avLst/>
                        </a:prstGeom>
                        <a:solidFill>
                          <a:srgbClr val="C9C4EE"/>
                        </a:solidFill>
                        <a:ln>
                          <a:solidFill>
                            <a:srgbClr val="7E7E7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595B6" w14:textId="154D8EBA" w:rsidR="00903CCA" w:rsidRDefault="00903CCA" w:rsidP="00BC5917">
                            <w:pPr>
                              <w:spacing w:after="0" w:line="240" w:lineRule="auto"/>
                              <w:jc w:val="center"/>
                              <w:rPr>
                                <w:rFonts w:cs="Arial"/>
                                <w:color w:val="FFFFFF" w:themeColor="light1"/>
                                <w:kern w:val="24"/>
                                <w:sz w:val="20"/>
                                <w:szCs w:val="16"/>
                                <w:lang w:val="mi-NZ"/>
                              </w:rPr>
                            </w:pPr>
                          </w:p>
                          <w:p w14:paraId="5B69358F" w14:textId="77777777" w:rsidR="00144DD2" w:rsidRPr="008874DE" w:rsidRDefault="00144DD2" w:rsidP="00BC5917">
                            <w:pPr>
                              <w:spacing w:after="0" w:line="240" w:lineRule="auto"/>
                              <w:jc w:val="center"/>
                              <w:rPr>
                                <w:rFonts w:cs="Arial"/>
                                <w:color w:val="FFFFFF" w:themeColor="light1"/>
                                <w:kern w:val="24"/>
                                <w:sz w:val="20"/>
                                <w:szCs w:val="16"/>
                                <w:lang w:val="mi-NZ"/>
                              </w:rPr>
                            </w:pPr>
                          </w:p>
                          <w:p w14:paraId="0FDF24DF" w14:textId="77777777" w:rsidR="00903CCA" w:rsidRPr="008874DE" w:rsidRDefault="00903CCA" w:rsidP="00BC5917">
                            <w:pPr>
                              <w:spacing w:after="0" w:line="240" w:lineRule="auto"/>
                              <w:jc w:val="center"/>
                              <w:rPr>
                                <w:rFonts w:cs="Arial"/>
                                <w:color w:val="FFFFFF" w:themeColor="light1"/>
                                <w:kern w:val="24"/>
                                <w:sz w:val="20"/>
                                <w:szCs w:val="16"/>
                                <w:lang w:val="mi-NZ"/>
                              </w:rPr>
                            </w:pPr>
                          </w:p>
                          <w:p w14:paraId="65719C2E" w14:textId="77777777" w:rsidR="00903CCA" w:rsidRPr="008874DE" w:rsidRDefault="00903CCA" w:rsidP="00BC5917">
                            <w:pPr>
                              <w:spacing w:after="0" w:line="240" w:lineRule="auto"/>
                              <w:jc w:val="center"/>
                              <w:rPr>
                                <w:rFonts w:cs="Arial"/>
                                <w:color w:val="FFFFFF" w:themeColor="light1"/>
                                <w:kern w:val="24"/>
                                <w:sz w:val="20"/>
                                <w:szCs w:val="16"/>
                                <w:lang w:val="mi-NZ"/>
                              </w:rPr>
                            </w:pPr>
                          </w:p>
                          <w:p w14:paraId="1F16BE28" w14:textId="7E964212" w:rsidR="00903CCA" w:rsidRPr="008874DE" w:rsidRDefault="00903CCA" w:rsidP="00BC5917">
                            <w:pPr>
                              <w:spacing w:after="0" w:line="240" w:lineRule="auto"/>
                              <w:jc w:val="center"/>
                              <w:rPr>
                                <w:rFonts w:cs="Arial"/>
                                <w:color w:val="000000" w:themeColor="text1"/>
                                <w:kern w:val="24"/>
                                <w:szCs w:val="18"/>
                                <w:lang w:val="mi-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4DE">
                              <w:rPr>
                                <w:rFonts w:cs="Arial"/>
                                <w:color w:val="000000" w:themeColor="text1"/>
                                <w:kern w:val="24"/>
                                <w:szCs w:val="18"/>
                                <w:lang w:val="mi-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Mental health services and addiction services</w:t>
                            </w:r>
                          </w:p>
                          <w:p w14:paraId="1D3901BE" w14:textId="3091D124" w:rsidR="00903CCA" w:rsidRPr="008874DE" w:rsidRDefault="00903CCA" w:rsidP="00BC5917">
                            <w:pPr>
                              <w:spacing w:after="0" w:line="240" w:lineRule="auto"/>
                              <w:jc w:val="center"/>
                              <w:rPr>
                                <w:rFonts w:cs="Arial"/>
                                <w:color w:val="000000" w:themeColor="text1"/>
                                <w:kern w:val="24"/>
                                <w:szCs w:val="18"/>
                                <w:lang w:val="mi-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4DE">
                              <w:rPr>
                                <w:rFonts w:cs="Arial"/>
                                <w:color w:val="000000" w:themeColor="text1"/>
                                <w:kern w:val="24"/>
                                <w:szCs w:val="18"/>
                                <w:lang w:val="mi-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(s11(1)(e))</w:t>
                            </w:r>
                          </w:p>
                          <w:p w14:paraId="1974ED4C" w14:textId="77777777" w:rsidR="00903CCA" w:rsidRPr="008874DE" w:rsidRDefault="00903CCA" w:rsidP="00AD3BF5">
                            <w:pPr>
                              <w:jc w:val="center"/>
                              <w:rPr>
                                <w:rFonts w:cs="Arial"/>
                                <w:color w:val="FFFFFF" w:themeColor="light1"/>
                                <w:kern w:val="24"/>
                                <w:sz w:val="20"/>
                                <w:szCs w:val="16"/>
                                <w:lang w:val="mi-NZ"/>
                              </w:rPr>
                            </w:pPr>
                          </w:p>
                          <w:p w14:paraId="54B49ED8" w14:textId="77777777" w:rsidR="00903CCA" w:rsidRPr="008874DE" w:rsidRDefault="00903CCA" w:rsidP="00AD3BF5">
                            <w:pPr>
                              <w:jc w:val="center"/>
                              <w:rPr>
                                <w:rFonts w:cs="Arial"/>
                                <w:sz w:val="20"/>
                                <w:szCs w:val="1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2D760A1D" id="Oval 6" o:spid="_x0000_s1035" style="position:absolute;margin-left:80.95pt;margin-top:11.45pt;width:4in;height:13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m9KgIAAL8EAAAOAAAAZHJzL2Uyb0RvYy54bWysVMGO0zAQvSPxD5bvNGlLWzZqukLdLhfE&#10;rlj4ANcZN5Yc29hum/49YzvNAov2gEgk1/bMvJn3MtP1bd8pcgLnpdE1nU5KSkBz00h9qOn3b/fv&#10;PlDiA9MNU0ZDTS/g6e3m7Zv12VYwM61RDTiCINpXZ1vTNgRbFYXnLXTMT4wFjUZhXMcCHt2haBw7&#10;I3qnillZLouzcY11hoP3eHuXjXST8IUAHh6E8BCIqinWFtLq0rqPa7FZs+rgmG0lH8pg/1BFx6TG&#10;pCPUHQuMHJ18AdVJ7ow3Iky46QojhOSQOCCbafkHm6eWWUhcUBxvR5n8/4PlX06PjsimpvM5JZp1&#10;+I0eTkyRZaIDffjsA4pUnK2vknOUNm2f7KNDSzx53Eb2vXBd/EVepE8iX0aREYpwvJwvF6tlid+C&#10;o226WsziIWZ4DrfOh09gOhI3NQWlpPVRCFax01APq65e8dobJZt7qVQ6uMN+qxxBGjXd3mzf73ZD&#10;gt/clH49crWL78tILDSGJkUy8SRBuCiIgEp/BYGKItVZKjn1MowFMc5Bh2k2tayBXOeixOeaLHZ/&#10;jEiqJMCILJDfiD0AXD0zyBU7yzn4x1BIozAGl68VloPHiJTZ6DAGd1Ib9zcAhayGzNn/KlKWJqoU&#10;+n2fuu0mesabvWku2IFnHMGa+h9H5oASF9TW5IllmrcGB5aHnFObj8dghBybMgMMqXBKkmbDRMcx&#10;/PWcvJ7/dzY/AQAA//8DAFBLAwQUAAYACAAAACEAamQgy+AAAAAKAQAADwAAAGRycy9kb3ducmV2&#10;LnhtbEyPQU/DMAyF70j8h8hIXBBLV0SXlqZThQQXhLQVJK5ZE9pqiVM1WVf+PeY0Tvazn54/l9vF&#10;WTabKQweJaxXCTCDrdcDdhI+P17uBbAQFWplPRoJPybAtrq+KlWh/Rn3Zm5ixygEQ6Ek9DGOBeeh&#10;7Y1TYeVHg7T79pNTkeTUcT2pM4U7y9MkybhTA9KFXo3muTftsTk5CeJYZ/u718am4kvYt/Sxnt93&#10;Oylvb5b6CVg0S7yY4Q+f0KEipoM/oQ7Mks7WOVklpClVMmweNtQcaJCLHHhV8v8vVL8AAAD//wMA&#10;UEsBAi0AFAAGAAgAAAAhALaDOJL+AAAA4QEAABMAAAAAAAAAAAAAAAAAAAAAAFtDb250ZW50X1R5&#10;cGVzXS54bWxQSwECLQAUAAYACAAAACEAOP0h/9YAAACUAQAACwAAAAAAAAAAAAAAAAAvAQAAX3Jl&#10;bHMvLnJlbHNQSwECLQAUAAYACAAAACEAl2LpvSoCAAC/BAAADgAAAAAAAAAAAAAAAAAuAgAAZHJz&#10;L2Uyb0RvYy54bWxQSwECLQAUAAYACAAAACEAamQgy+AAAAAKAQAADwAAAAAAAAAAAAAAAACEBAAA&#10;ZHJzL2Rvd25yZXYueG1sUEsFBgAAAAAEAAQA8wAAAJEFAAAAAA==&#10;" fillcolor="#c9c4ee" strokecolor="#7e7e7e" strokeweight="1pt">
                <v:stroke joinstyle="miter"/>
                <v:textbox>
                  <w:txbxContent>
                    <w:p w14:paraId="2A1595B6" w14:textId="154D8EBA" w:rsidR="00903CCA" w:rsidRDefault="00903CCA" w:rsidP="00BC5917">
                      <w:pPr>
                        <w:spacing w:after="0" w:line="240" w:lineRule="auto"/>
                        <w:jc w:val="center"/>
                        <w:rPr>
                          <w:rFonts w:cs="Arial"/>
                          <w:color w:val="FFFFFF" w:themeColor="light1"/>
                          <w:kern w:val="24"/>
                          <w:sz w:val="20"/>
                          <w:szCs w:val="16"/>
                          <w:lang w:val="mi-NZ"/>
                        </w:rPr>
                      </w:pPr>
                    </w:p>
                    <w:p w14:paraId="5B69358F" w14:textId="77777777" w:rsidR="00144DD2" w:rsidRPr="008874DE" w:rsidRDefault="00144DD2" w:rsidP="00BC5917">
                      <w:pPr>
                        <w:spacing w:after="0" w:line="240" w:lineRule="auto"/>
                        <w:jc w:val="center"/>
                        <w:rPr>
                          <w:rFonts w:cs="Arial"/>
                          <w:color w:val="FFFFFF" w:themeColor="light1"/>
                          <w:kern w:val="24"/>
                          <w:sz w:val="20"/>
                          <w:szCs w:val="16"/>
                          <w:lang w:val="mi-NZ"/>
                        </w:rPr>
                      </w:pPr>
                    </w:p>
                    <w:p w14:paraId="0FDF24DF" w14:textId="77777777" w:rsidR="00903CCA" w:rsidRPr="008874DE" w:rsidRDefault="00903CCA" w:rsidP="00BC5917">
                      <w:pPr>
                        <w:spacing w:after="0" w:line="240" w:lineRule="auto"/>
                        <w:jc w:val="center"/>
                        <w:rPr>
                          <w:rFonts w:cs="Arial"/>
                          <w:color w:val="FFFFFF" w:themeColor="light1"/>
                          <w:kern w:val="24"/>
                          <w:sz w:val="20"/>
                          <w:szCs w:val="16"/>
                          <w:lang w:val="mi-NZ"/>
                        </w:rPr>
                      </w:pPr>
                    </w:p>
                    <w:p w14:paraId="65719C2E" w14:textId="77777777" w:rsidR="00903CCA" w:rsidRPr="008874DE" w:rsidRDefault="00903CCA" w:rsidP="00BC5917">
                      <w:pPr>
                        <w:spacing w:after="0" w:line="240" w:lineRule="auto"/>
                        <w:jc w:val="center"/>
                        <w:rPr>
                          <w:rFonts w:cs="Arial"/>
                          <w:color w:val="FFFFFF" w:themeColor="light1"/>
                          <w:kern w:val="24"/>
                          <w:sz w:val="20"/>
                          <w:szCs w:val="16"/>
                          <w:lang w:val="mi-NZ"/>
                        </w:rPr>
                      </w:pPr>
                    </w:p>
                    <w:p w14:paraId="1F16BE28" w14:textId="7E964212" w:rsidR="00903CCA" w:rsidRPr="008874DE" w:rsidRDefault="00903CCA" w:rsidP="00BC5917">
                      <w:pPr>
                        <w:spacing w:after="0" w:line="240" w:lineRule="auto"/>
                        <w:jc w:val="center"/>
                        <w:rPr>
                          <w:rFonts w:cs="Arial"/>
                          <w:color w:val="000000" w:themeColor="text1"/>
                          <w:kern w:val="24"/>
                          <w:szCs w:val="18"/>
                          <w:lang w:val="mi-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4DE">
                        <w:rPr>
                          <w:rFonts w:cs="Arial"/>
                          <w:color w:val="000000" w:themeColor="text1"/>
                          <w:kern w:val="24"/>
                          <w:szCs w:val="18"/>
                          <w:lang w:val="mi-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Mental health services and addiction services</w:t>
                      </w:r>
                    </w:p>
                    <w:p w14:paraId="1D3901BE" w14:textId="3091D124" w:rsidR="00903CCA" w:rsidRPr="008874DE" w:rsidRDefault="00903CCA" w:rsidP="00BC5917">
                      <w:pPr>
                        <w:spacing w:after="0" w:line="240" w:lineRule="auto"/>
                        <w:jc w:val="center"/>
                        <w:rPr>
                          <w:rFonts w:cs="Arial"/>
                          <w:color w:val="000000" w:themeColor="text1"/>
                          <w:kern w:val="24"/>
                          <w:szCs w:val="18"/>
                          <w:lang w:val="mi-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4DE">
                        <w:rPr>
                          <w:rFonts w:cs="Arial"/>
                          <w:color w:val="000000" w:themeColor="text1"/>
                          <w:kern w:val="24"/>
                          <w:szCs w:val="18"/>
                          <w:lang w:val="mi-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(s11(1)(e))</w:t>
                      </w:r>
                    </w:p>
                    <w:p w14:paraId="1974ED4C" w14:textId="77777777" w:rsidR="00903CCA" w:rsidRPr="008874DE" w:rsidRDefault="00903CCA" w:rsidP="00AD3BF5">
                      <w:pPr>
                        <w:jc w:val="center"/>
                        <w:rPr>
                          <w:rFonts w:cs="Arial"/>
                          <w:color w:val="FFFFFF" w:themeColor="light1"/>
                          <w:kern w:val="24"/>
                          <w:sz w:val="20"/>
                          <w:szCs w:val="16"/>
                          <w:lang w:val="mi-NZ"/>
                        </w:rPr>
                      </w:pPr>
                    </w:p>
                    <w:p w14:paraId="54B49ED8" w14:textId="77777777" w:rsidR="00903CCA" w:rsidRPr="008874DE" w:rsidRDefault="00903CCA" w:rsidP="00AD3BF5">
                      <w:pPr>
                        <w:jc w:val="center"/>
                        <w:rPr>
                          <w:rFonts w:cs="Arial"/>
                          <w:sz w:val="20"/>
                          <w:szCs w:val="16"/>
                        </w:rPr>
                      </w:pPr>
                    </w:p>
                  </w:txbxContent>
                </v:textbox>
                <w10:wrap anchorx="margin"/>
              </v:oval>
            </w:pict>
          </mc:Fallback>
        </mc:AlternateContent>
      </w:r>
    </w:p>
    <w:p w14:paraId="0D15F1C7" w14:textId="23F42A57" w:rsidR="00CC65AA" w:rsidRPr="008874DE" w:rsidRDefault="00144DD2" w:rsidP="008E6A7C">
      <w:pPr>
        <w:rPr>
          <w:rFonts w:cs="Arial"/>
          <w:b/>
          <w:bCs/>
          <w:color w:val="961E82"/>
          <w:kern w:val="24"/>
          <w:sz w:val="64"/>
          <w:szCs w:val="64"/>
        </w:rPr>
      </w:pPr>
      <w:r w:rsidRPr="008874DE">
        <w:rPr>
          <w:rFonts w:cs="Arial"/>
          <w:b/>
          <w:noProof/>
          <w:sz w:val="20"/>
          <w:szCs w:val="20"/>
        </w:rPr>
        <mc:AlternateContent>
          <mc:Choice Requires="wps">
            <w:drawing>
              <wp:anchor distT="0" distB="0" distL="114300" distR="114300" simplePos="0" relativeHeight="251681792" behindDoc="0" locked="0" layoutInCell="1" allowOverlap="1" wp14:anchorId="6EC67934" wp14:editId="45512B59">
                <wp:simplePos x="0" y="0"/>
                <wp:positionH relativeFrom="column">
                  <wp:posOffset>4660265</wp:posOffset>
                </wp:positionH>
                <wp:positionV relativeFrom="paragraph">
                  <wp:posOffset>556260</wp:posOffset>
                </wp:positionV>
                <wp:extent cx="748145" cy="622176"/>
                <wp:effectExtent l="0" t="0" r="33020" b="26035"/>
                <wp:wrapNone/>
                <wp:docPr id="36" name="Straight Connector 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8145" cy="6221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AE53E" id="Straight Connector 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95pt,43.8pt" to="425.85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4xw2gEAAPgDAAAOAAAAZHJzL2Uyb0RvYy54bWysU01vEzEQvSPxHyzfySahpGWVTQ+p4FJB&#10;RAp312tnrdoea2ySzb9n7N1sKz4khLhY/njz5s2b8fq2d5YdFUYDvuGL2Zwz5SW0xh8a/vXhw5sb&#10;zmISvhUWvGr4WUV+u3n9an0KtVpCB7ZVyIjEx/oUGt6lFOqqirJTTsQZBOXpUQM6keiIh6pFcSJ2&#10;Z6vlfL6qToBtQJAqRrq9Gx75pvBrrWT6rHVUidmGk7ZUVizrY16rzVrUBxShM3KUIf5BhRPGU9KJ&#10;6k4kwb6j+YXKGYkQQaeZBFeB1kaqUgNVs5j/VM2+E0GVWsicGCab4v+jlZ+OO2SmbfjbFWdeOOrR&#10;PqEwhy6xLXhPDgKy96U41af7mMiy6hRiXUKz0WW79TvMBsje78M9yKf4Ajc8ZmQMA6zX6Ji2Jnyj&#10;qSnk5AXrS2POU2MoIZN0eX11s7h6x5mkp9Vyubhe5cZVos40OWvAmD4qcCxvGm6Nz76JWhxHwc+Q&#10;Uf0gpEhKZ6sy2PovSpMXlHCQVKZQbS2yo6D5aZ8WY9qCzCHaWDsFzUvKPwaN2BymymT+beCELhnB&#10;pynQGQ/4u6ypv0jVA/5S9VBrLvsR2vMOL02i8SqGjl8hz+/Lcwl//rCbHwAAAP//AwBQSwMEFAAG&#10;AAgAAAAhAOjeiKDdAAAACgEAAA8AAABkcnMvZG93bnJldi54bWxMj8tOwzAQRfdI/IM1SN1Ru1R5&#10;EOJUbSXEmrab7px4SCLicYjdNvw9wwqWo3t075lyM7tBXHEKvScNq6UCgdR421Or4XR8fcxBhGjI&#10;msETavjGAJvq/q40hfU3esfrIbaCSygURkMX41hIGZoOnQlLPyJx9uEnZyKfUyvtZG5c7gb5pFQq&#10;nemJFzoz4r7D5vNwcRqOb07Ndez3SF+Z2p53SUrnROvFw7x9ARFxjn8w/OqzOlTsVPsL2SAGDdl6&#10;/cyohjxLQTCQJ6sMRM1knqQgq1L+f6H6AQAA//8DAFBLAQItABQABgAIAAAAIQC2gziS/gAAAOEB&#10;AAATAAAAAAAAAAAAAAAAAAAAAABbQ29udGVudF9UeXBlc10ueG1sUEsBAi0AFAAGAAgAAAAhADj9&#10;If/WAAAAlAEAAAsAAAAAAAAAAAAAAAAALwEAAF9yZWxzLy5yZWxzUEsBAi0AFAAGAAgAAAAhALRj&#10;jHDaAQAA+AMAAA4AAAAAAAAAAAAAAAAALgIAAGRycy9lMm9Eb2MueG1sUEsBAi0AFAAGAAgAAAAh&#10;AOjeiKDdAAAACgEAAA8AAAAAAAAAAAAAAAAANAQAAGRycy9kb3ducmV2LnhtbFBLBQYAAAAABAAE&#10;APMAAAA+BQAAAAA=&#10;" strokecolor="black [3200]" strokeweight=".5pt">
                <v:stroke joinstyle="miter"/>
                <o:lock v:ext="edit" shapetype="f"/>
              </v:line>
            </w:pict>
          </mc:Fallback>
        </mc:AlternateContent>
      </w:r>
      <w:r w:rsidRPr="008874DE">
        <w:rPr>
          <w:rFonts w:cs="Arial"/>
          <w:b/>
          <w:noProof/>
          <w:sz w:val="20"/>
          <w:szCs w:val="20"/>
        </w:rPr>
        <mc:AlternateContent>
          <mc:Choice Requires="wps">
            <w:drawing>
              <wp:anchor distT="0" distB="0" distL="114300" distR="114300" simplePos="0" relativeHeight="251679744" behindDoc="0" locked="0" layoutInCell="1" allowOverlap="1" wp14:anchorId="35D2BA22" wp14:editId="6C41D1E1">
                <wp:simplePos x="0" y="0"/>
                <wp:positionH relativeFrom="column">
                  <wp:posOffset>5352415</wp:posOffset>
                </wp:positionH>
                <wp:positionV relativeFrom="paragraph">
                  <wp:posOffset>276860</wp:posOffset>
                </wp:positionV>
                <wp:extent cx="1257300" cy="338455"/>
                <wp:effectExtent l="0" t="0" r="0" b="0"/>
                <wp:wrapNone/>
                <wp:docPr id="19" name="TextBox 18">
                  <a:extLst xmlns:a="http://schemas.openxmlformats.org/drawingml/2006/main">
                    <a:ext uri="{FF2B5EF4-FFF2-40B4-BE49-F238E27FC236}">
                      <a16:creationId xmlns:a16="http://schemas.microsoft.com/office/drawing/2014/main" id="{D9CBB39F-9491-46D1-8702-04CF398C1721}"/>
                    </a:ext>
                  </a:extLst>
                </wp:docPr>
                <wp:cNvGraphicFramePr/>
                <a:graphic xmlns:a="http://schemas.openxmlformats.org/drawingml/2006/main">
                  <a:graphicData uri="http://schemas.microsoft.com/office/word/2010/wordprocessingShape">
                    <wps:wsp>
                      <wps:cNvSpPr txBox="1"/>
                      <wps:spPr>
                        <a:xfrm>
                          <a:off x="0" y="0"/>
                          <a:ext cx="1257300" cy="338455"/>
                        </a:xfrm>
                        <a:prstGeom prst="rect">
                          <a:avLst/>
                        </a:prstGeom>
                        <a:noFill/>
                      </wps:spPr>
                      <wps:txbx>
                        <w:txbxContent>
                          <w:p w14:paraId="431E1FEC" w14:textId="7C933DCF" w:rsidR="00903CCA" w:rsidRPr="008874DE" w:rsidRDefault="00903CCA" w:rsidP="00C420CE">
                            <w:pPr>
                              <w:rPr>
                                <w:rFonts w:cs="Arial"/>
                                <w:szCs w:val="18"/>
                              </w:rPr>
                            </w:pPr>
                            <w:r w:rsidRPr="008874DE">
                              <w:rPr>
                                <w:rFonts w:cs="Arial"/>
                                <w:color w:val="000000" w:themeColor="text1"/>
                                <w:kern w:val="24"/>
                                <w:szCs w:val="18"/>
                                <w:lang w:val="mi-NZ"/>
                              </w:rPr>
                              <w:t>Assess, report and recommend improvements</w:t>
                            </w:r>
                          </w:p>
                        </w:txbxContent>
                      </wps:txbx>
                      <wps:bodyPr wrap="square" rtlCol="0">
                        <a:spAutoFit/>
                      </wps:bodyPr>
                    </wps:wsp>
                  </a:graphicData>
                </a:graphic>
                <wp14:sizeRelH relativeFrom="margin">
                  <wp14:pctWidth>0</wp14:pctWidth>
                </wp14:sizeRelH>
              </wp:anchor>
            </w:drawing>
          </mc:Choice>
          <mc:Fallback>
            <w:pict>
              <v:shape w14:anchorId="35D2BA22" id="TextBox 18" o:spid="_x0000_s1036" type="#_x0000_t202" style="position:absolute;margin-left:421.45pt;margin-top:21.8pt;width:99pt;height:26.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5vtCwIAAPIDAAAOAAAAZHJzL2Uyb0RvYy54bWysU9uOmzAQfa/Uf7D8TrgmARSyKiRUlaq2&#10;0m4/wDEmIAF2bScQrfbfO3ZIUrUvVdUXezzjGc85c7x5mvoOnZlULR8y7C88jNhAedUOxwx/fymd&#10;GCOlyVCRjg8swxem8NP2/bvNKFIW8IZ3FZMIigwqHUWGG61F6rqKNqwnasEFGyBYc9kTDUd5dCtJ&#10;Rqjed27geSt35LISklOmFHh31yDe2vp1zaj+WteKadRlGHrTdpV2PZjV3W5IepRENC2d2yD/0EVP&#10;2gEevZfaEU3QSbZ/lOpbKrnitV5Q3ru8rlvKLAZA43u/oXluiGAWC5CjxJ0m9f/K0i/nbxK1Fcwu&#10;wWggPczohU065xPyYwsJTp+VNuDAuoJ6LcsgX+7LyCnBciIvj5x8HyVOGYTxPliXRRCu3ky2v0qp&#10;ZESDPD5VN4L91d8BmEdtqIlcS7Ht9HWXFHkeJqWTRInvRKud78RrL3C8qCjDJC78deC/mdG6tufb&#10;blG4o1CpRW00Ys1nARToCSADCybN+BU4Deaplr3ZYVQI4qChy103hg9qkoLlOvQgRCEWhnG0XM6v&#10;37KFVPoj4z0yRoYl6NJyS87Q1LXR2xXz2MDLtuuM/9GKsfR0mK7Dsso1rgOvLtD+CBLOsPpxIpJh&#10;JHVXcKt4U02JDycNFe1Dj5y5OgjLEjR/AqPcX8/21uOrbn8CAAD//wMAUEsDBBQABgAIAAAAIQA1&#10;qeOK3gAAAAoBAAAPAAAAZHJzL2Rvd25yZXYueG1sTI9NT8MwDIbvSPyHyEjcWLJRqrVrOk18SBy4&#10;MMrda7y2onGqJlu7f092gqPtR6+ft9jOthdnGn3nWMNyoUAQ18503Giovt4e1iB8QDbYOyYNF/Kw&#10;LW9vCsyNm/iTzvvQiBjCPkcNbQhDLqWvW7LoF24gjrejGy2GOI6NNCNOMdz2cqVUKi12HD+0ONBz&#10;S/XP/mQ1hGB2y0v1av379/zxMrWqfsJK6/u7ebcBEWgOfzBc9aM6lNHp4E5svOg1rJNVFlENyWMK&#10;4gqoRMXNQUOWZiDLQv6vUP4CAAD//wMAUEsBAi0AFAAGAAgAAAAhALaDOJL+AAAA4QEAABMAAAAA&#10;AAAAAAAAAAAAAAAAAFtDb250ZW50X1R5cGVzXS54bWxQSwECLQAUAAYACAAAACEAOP0h/9YAAACU&#10;AQAACwAAAAAAAAAAAAAAAAAvAQAAX3JlbHMvLnJlbHNQSwECLQAUAAYACAAAACEA+yOb7QsCAADy&#10;AwAADgAAAAAAAAAAAAAAAAAuAgAAZHJzL2Uyb0RvYy54bWxQSwECLQAUAAYACAAAACEANanjit4A&#10;AAAKAQAADwAAAAAAAAAAAAAAAABlBAAAZHJzL2Rvd25yZXYueG1sUEsFBgAAAAAEAAQA8wAAAHAF&#10;AAAAAA==&#10;" filled="f" stroked="f">
                <v:textbox style="mso-fit-shape-to-text:t">
                  <w:txbxContent>
                    <w:p w14:paraId="431E1FEC" w14:textId="7C933DCF" w:rsidR="00903CCA" w:rsidRPr="008874DE" w:rsidRDefault="00903CCA" w:rsidP="00C420CE">
                      <w:pPr>
                        <w:rPr>
                          <w:rFonts w:cs="Arial"/>
                          <w:szCs w:val="18"/>
                        </w:rPr>
                      </w:pPr>
                      <w:r w:rsidRPr="008874DE">
                        <w:rPr>
                          <w:rFonts w:cs="Arial"/>
                          <w:color w:val="000000" w:themeColor="text1"/>
                          <w:kern w:val="24"/>
                          <w:szCs w:val="18"/>
                          <w:lang w:val="mi-NZ"/>
                        </w:rPr>
                        <w:t>Assess, report and recommend improvements</w:t>
                      </w:r>
                    </w:p>
                  </w:txbxContent>
                </v:textbox>
              </v:shape>
            </w:pict>
          </mc:Fallback>
        </mc:AlternateContent>
      </w:r>
      <w:r w:rsidRPr="008874DE">
        <w:rPr>
          <w:rFonts w:cs="Arial"/>
          <w:b/>
          <w:noProof/>
          <w:sz w:val="20"/>
          <w:szCs w:val="20"/>
        </w:rPr>
        <mc:AlternateContent>
          <mc:Choice Requires="wps">
            <w:drawing>
              <wp:anchor distT="0" distB="0" distL="114300" distR="114300" simplePos="0" relativeHeight="251677696" behindDoc="0" locked="0" layoutInCell="1" allowOverlap="1" wp14:anchorId="3C252FA1" wp14:editId="53E71DF6">
                <wp:simplePos x="0" y="0"/>
                <wp:positionH relativeFrom="column">
                  <wp:posOffset>4037330</wp:posOffset>
                </wp:positionH>
                <wp:positionV relativeFrom="paragraph">
                  <wp:posOffset>172085</wp:posOffset>
                </wp:positionV>
                <wp:extent cx="452755" cy="371475"/>
                <wp:effectExtent l="0" t="0" r="23495" b="28575"/>
                <wp:wrapNone/>
                <wp:docPr id="35" name="Straight Connector 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2755"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50928" id="Straight Connector 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9pt,13.55pt" to="353.5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tB2QEAAPgDAAAOAAAAZHJzL2Uyb0RvYy54bWysU01vEzEQvSPxHyzfySZpQ2GVTQ+p4FJB&#10;RAp312tnrdoea2ySzb9n7N1sKz4khLhY/njz5s2b8fq2d5YdFUYDvuGL2Zwz5SW0xh8a/vXhw5t3&#10;nMUkfCsseNXws4r8dvP61foUarWEDmyrkBGJj/UpNLxLKdRVFWWnnIgzCMrTowZ0ItERD1WL4kTs&#10;zlbL+fxtdQJsA4JUMdLt3fDIN4VfayXTZ62jSsw2nLSlsmJZH/NabdaiPqAInZGjDPEPKpwwnpJO&#10;VHciCfYdzS9UzkiECDrNJLgKtDZSlRqomsX8p2r2nQiq1ELmxDDZFP8frfx03CEzbcOvVpx54ahH&#10;+4TCHLrEtuA9OQjI3pfiVJ/uYyLLqlOIdQnNRpft1u8wGyB7vw/3IJ/iC9zwmJExDLBeo2PamvCN&#10;pqaQkxesL405T42hhEzS5fVqebMifZKerm4W1zer3LhK1JkmZw0Y00cFjuVNw63x2TdRi+Mo+Bky&#10;qh+EFEnpbFUGW/9FafKCEg6SyhSqrUV2FDQ/7dNiTFuQOUQba6egeUn5x6ARm8NUmcy/DZzQJSP4&#10;NAU64wF/lzX1F6l6wF+qHmrNZT9Ce97hpUk0XsXQ8Svk+X15LuHPH3bzAwAA//8DAFBLAwQUAAYA&#10;CAAAACEATGZ03NwAAAAJAQAADwAAAGRycy9kb3ducmV2LnhtbEyPwW7CMBBE75X6D9ZW4lZsQElQ&#10;yAZRpKrnAhduTrwkUeN1GhtI/77m1N52tKOZN8V2sr240eg7xwiLuQJBXDvTcYNwOr6/rkH4oNno&#10;3jEh/JCHbfn8VOjcuDt/0u0QGhFD2OcaoQ1hyKX0dUtW+7kbiOPv4karQ5RjI82o7zHc9nKpVCqt&#10;7jg2tHqgfUv11+FqEY4fVk1V6PbE35nand+SlM8J4uxl2m1ABJrCnxke+BEdyshUuSsbL3qEdJVE&#10;9ICwzBYgoiFTj6NCWCcpyLKQ/xeUvwAAAP//AwBQSwECLQAUAAYACAAAACEAtoM4kv4AAADhAQAA&#10;EwAAAAAAAAAAAAAAAAAAAAAAW0NvbnRlbnRfVHlwZXNdLnhtbFBLAQItABQABgAIAAAAIQA4/SH/&#10;1gAAAJQBAAALAAAAAAAAAAAAAAAAAC8BAABfcmVscy8ucmVsc1BLAQItABQABgAIAAAAIQCm8NtB&#10;2QEAAPgDAAAOAAAAAAAAAAAAAAAAAC4CAABkcnMvZTJvRG9jLnhtbFBLAQItABQABgAIAAAAIQBM&#10;ZnTc3AAAAAkBAAAPAAAAAAAAAAAAAAAAADMEAABkcnMvZG93bnJldi54bWxQSwUGAAAAAAQABADz&#10;AAAAPAUAAAAA&#10;" strokecolor="black [3200]" strokeweight=".5pt">
                <v:stroke joinstyle="miter"/>
                <o:lock v:ext="edit" shapetype="f"/>
              </v:line>
            </w:pict>
          </mc:Fallback>
        </mc:AlternateContent>
      </w:r>
      <w:r w:rsidRPr="008874DE">
        <w:rPr>
          <w:rFonts w:cs="Arial"/>
          <w:b/>
          <w:noProof/>
          <w:sz w:val="20"/>
          <w:szCs w:val="20"/>
        </w:rPr>
        <mc:AlternateContent>
          <mc:Choice Requires="wps">
            <w:drawing>
              <wp:anchor distT="0" distB="0" distL="114300" distR="114300" simplePos="0" relativeHeight="251673600" behindDoc="0" locked="0" layoutInCell="1" allowOverlap="1" wp14:anchorId="0D3EA2B4" wp14:editId="5B6495FB">
                <wp:simplePos x="0" y="0"/>
                <wp:positionH relativeFrom="margin">
                  <wp:posOffset>2152015</wp:posOffset>
                </wp:positionH>
                <wp:positionV relativeFrom="paragraph">
                  <wp:posOffset>10161</wp:posOffset>
                </wp:positionV>
                <wp:extent cx="1400810" cy="702310"/>
                <wp:effectExtent l="0" t="0" r="27940" b="21590"/>
                <wp:wrapNone/>
                <wp:docPr id="34" name="Oval 7">
                  <a:extLst xmlns:a="http://schemas.openxmlformats.org/drawingml/2006/main"/>
                </wp:docPr>
                <wp:cNvGraphicFramePr/>
                <a:graphic xmlns:a="http://schemas.openxmlformats.org/drawingml/2006/main">
                  <a:graphicData uri="http://schemas.microsoft.com/office/word/2010/wordprocessingShape">
                    <wps:wsp>
                      <wps:cNvSpPr/>
                      <wps:spPr>
                        <a:xfrm>
                          <a:off x="0" y="0"/>
                          <a:ext cx="1400810" cy="702310"/>
                        </a:xfrm>
                        <a:prstGeom prst="ellipse">
                          <a:avLst/>
                        </a:prstGeom>
                        <a:solidFill>
                          <a:srgbClr val="F6D2F0"/>
                        </a:solidFill>
                        <a:ln>
                          <a:solidFill>
                            <a:srgbClr val="7E7E7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9830F" w14:textId="77777777" w:rsidR="00903CCA" w:rsidRPr="008874DE" w:rsidRDefault="00903CCA" w:rsidP="008874DE">
                            <w:pPr>
                              <w:shd w:val="clear" w:color="auto" w:fill="F6D2F0"/>
                              <w:jc w:val="cente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4DE">
                              <w:rPr>
                                <w:rFonts w:cs="Arial"/>
                                <w:color w:val="000000" w:themeColor="text1"/>
                                <w:kern w:val="24"/>
                                <w:lang w:val="mi-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Specialist services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0D3EA2B4" id="Oval 7" o:spid="_x0000_s1037" style="position:absolute;margin-left:169.45pt;margin-top:.8pt;width:110.3pt;height:55.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8SSKgIAAL8EAAAOAAAAZHJzL2Uyb0RvYy54bWysVNtu2zAMfR+wfxD0vthOu6Yw4hRDs+xl&#10;WIt1+wBFpmIBsqRJSuz8/SjJcbsL+jDMBhRJJA95jsms78ZekRM4L41uaLUoKQHNTSv1oaHfv+3e&#10;3VLiA9MtU0ZDQ8/g6d3m7Zv1YGtYms6oFhxBEO3rwTa0C8HWReF5Bz3zC2NBo1EY17OAR3coWscG&#10;RO9VsSzLm2IwrrXOcPAeb7fZSDcJXwjg4UEID4GohmJtIa0urfu4Fps1qw+O2U7yqQz2D1X0TGpM&#10;OkNtWWDk6OQfUL3kzngjwoKbvjBCSA6JA7Kpyt/YPHXMQuKC4ng7y+T/Hyz/cnp0RLYNvbqmRLMe&#10;v9HDiSmySnRgDJ99QJGKwfo6OUdp0/bJPjq0xJPHbWQ/CtfHX+RFxiTyeRYZoQjHy+q6LG8r/BYc&#10;batyeYX7mOA52jofPoHpSdw0FJSS1kcdWM1OUzmsvnjFa2+UbHdSqXRwh/29cgRZNHR3s13uLgl+&#10;cVP69cjVx/hOpb2IxEJjaBIk804KhLOCCKj0VxAoKDJdppJTK8NcEOMcdKiyqWMt5Drfl/hcksXm&#10;jxFJlQQYkQXym7EngItnBrlgZzkn/xgKaRLm4PK1wnLwHJEyGx3m4F5q4/4GoJDVlDn7X0TK0kSV&#10;wrgfU7NVyTVe7U17xg4ccAQb6n8cmQNKXFD3Jk8s07wzOLA85KTafDgGI+TclBlgyoVTkkSbJjqO&#10;4ctz8nr+39n8BAAA//8DAFBLAwQUAAYACAAAACEAbjufIt4AAAAJAQAADwAAAGRycy9kb3ducmV2&#10;LnhtbEyPQU/CQBCF7yb+h82YeJMtJUUo3RIk8egBrIbjsju2le5s012g/HvHkx5fvpc33xTr0XXi&#10;gkNoPSmYThIQSMbblmoF1fvr0wJEiJqs7jyhghsGWJf3d4XOrb/SDi/7WAseoZBrBU2MfS5lMA06&#10;HSa+R2L25QenI8ehlnbQVx53nUyTZC6dbokvNLrHbYPmtD87Bd9vL7vBPG8+jal8ZQ4ft9qdtko9&#10;PoybFYiIY/wrw68+q0PJTkd/JhtEp2A2Wyy5ymAOgnmWLTMQR87TNAVZFvL/B+UPAAAA//8DAFBL&#10;AQItABQABgAIAAAAIQC2gziS/gAAAOEBAAATAAAAAAAAAAAAAAAAAAAAAABbQ29udGVudF9UeXBl&#10;c10ueG1sUEsBAi0AFAAGAAgAAAAhADj9If/WAAAAlAEAAAsAAAAAAAAAAAAAAAAALwEAAF9yZWxz&#10;Ly5yZWxzUEsBAi0AFAAGAAgAAAAhADPrxJIqAgAAvwQAAA4AAAAAAAAAAAAAAAAALgIAAGRycy9l&#10;Mm9Eb2MueG1sUEsBAi0AFAAGAAgAAAAhAG47nyLeAAAACQEAAA8AAAAAAAAAAAAAAAAAhAQAAGRy&#10;cy9kb3ducmV2LnhtbFBLBQYAAAAABAAEAPMAAACPBQAAAAA=&#10;" fillcolor="#f6d2f0" strokecolor="#7e7e7e" strokeweight="1pt">
                <v:stroke joinstyle="miter"/>
                <v:textbox>
                  <w:txbxContent>
                    <w:p w14:paraId="64E9830F" w14:textId="77777777" w:rsidR="00903CCA" w:rsidRPr="008874DE" w:rsidRDefault="00903CCA" w:rsidP="008874DE">
                      <w:pPr>
                        <w:shd w:val="clear" w:color="auto" w:fill="F6D2F0"/>
                        <w:jc w:val="center"/>
                        <w:rPr>
                          <w:rFonts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74DE">
                        <w:rPr>
                          <w:rFonts w:cs="Arial"/>
                          <w:color w:val="000000" w:themeColor="text1"/>
                          <w:kern w:val="24"/>
                          <w:lang w:val="mi-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Specialist services</w:t>
                      </w:r>
                    </w:p>
                  </w:txbxContent>
                </v:textbox>
                <w10:wrap anchorx="margin"/>
              </v:oval>
            </w:pict>
          </mc:Fallback>
        </mc:AlternateContent>
      </w:r>
    </w:p>
    <w:p w14:paraId="13B35AFD" w14:textId="4CD3DA46" w:rsidR="00CC65AA" w:rsidRPr="008874DE" w:rsidRDefault="000F1975" w:rsidP="008E6A7C">
      <w:pPr>
        <w:rPr>
          <w:rFonts w:cs="Arial"/>
          <w:b/>
          <w:bCs/>
          <w:color w:val="961E82"/>
          <w:kern w:val="24"/>
          <w:sz w:val="64"/>
          <w:szCs w:val="64"/>
        </w:rPr>
      </w:pPr>
      <w:r w:rsidRPr="008874DE">
        <w:rPr>
          <w:rFonts w:cs="Arial"/>
          <w:noProof/>
          <w:color w:val="222222"/>
        </w:rPr>
        <mc:AlternateContent>
          <mc:Choice Requires="wps">
            <w:drawing>
              <wp:anchor distT="0" distB="0" distL="114300" distR="114300" simplePos="0" relativeHeight="251685888" behindDoc="0" locked="0" layoutInCell="1" allowOverlap="1" wp14:anchorId="543DC6F5" wp14:editId="44BD268A">
                <wp:simplePos x="0" y="0"/>
                <wp:positionH relativeFrom="rightMargin">
                  <wp:posOffset>-174625</wp:posOffset>
                </wp:positionH>
                <wp:positionV relativeFrom="paragraph">
                  <wp:posOffset>495300</wp:posOffset>
                </wp:positionV>
                <wp:extent cx="935990" cy="584200"/>
                <wp:effectExtent l="0" t="0" r="0" b="0"/>
                <wp:wrapNone/>
                <wp:docPr id="20" name="TextBox 19">
                  <a:extLst xmlns:a="http://schemas.openxmlformats.org/drawingml/2006/main">
                    <a:ext uri="{FF2B5EF4-FFF2-40B4-BE49-F238E27FC236}">
                      <a16:creationId xmlns:a16="http://schemas.microsoft.com/office/drawing/2014/main" id="{5E9B0338-D35B-4698-99BF-B1A3D34632C7}"/>
                    </a:ext>
                  </a:extLst>
                </wp:docPr>
                <wp:cNvGraphicFramePr/>
                <a:graphic xmlns:a="http://schemas.openxmlformats.org/drawingml/2006/main">
                  <a:graphicData uri="http://schemas.microsoft.com/office/word/2010/wordprocessingShape">
                    <wps:wsp>
                      <wps:cNvSpPr txBox="1"/>
                      <wps:spPr>
                        <a:xfrm>
                          <a:off x="0" y="0"/>
                          <a:ext cx="935990" cy="584200"/>
                        </a:xfrm>
                        <a:prstGeom prst="rect">
                          <a:avLst/>
                        </a:prstGeom>
                        <a:noFill/>
                      </wps:spPr>
                      <wps:txbx>
                        <w:txbxContent>
                          <w:p w14:paraId="0DE95B98" w14:textId="77777777" w:rsidR="00903CCA" w:rsidRPr="008874DE" w:rsidRDefault="00903CCA" w:rsidP="00CF241B">
                            <w:pPr>
                              <w:rPr>
                                <w:rFonts w:cs="Arial"/>
                                <w:szCs w:val="18"/>
                              </w:rPr>
                            </w:pPr>
                            <w:r w:rsidRPr="008874DE">
                              <w:rPr>
                                <w:rFonts w:cs="Arial"/>
                                <w:color w:val="000000" w:themeColor="text1"/>
                                <w:kern w:val="24"/>
                                <w:szCs w:val="18"/>
                                <w:lang w:val="mi-NZ"/>
                              </w:rPr>
                              <w:t>Have regard to</w:t>
                            </w:r>
                          </w:p>
                        </w:txbxContent>
                      </wps:txbx>
                      <wps:bodyPr wrap="square" rtlCol="0">
                        <a:spAutoFit/>
                      </wps:bodyPr>
                    </wps:wsp>
                  </a:graphicData>
                </a:graphic>
                <wp14:sizeRelH relativeFrom="margin">
                  <wp14:pctWidth>0</wp14:pctWidth>
                </wp14:sizeRelH>
              </wp:anchor>
            </w:drawing>
          </mc:Choice>
          <mc:Fallback>
            <w:pict>
              <v:shape w14:anchorId="543DC6F5" id="TextBox 19" o:spid="_x0000_s1038" type="#_x0000_t202" style="position:absolute;margin-left:-13.75pt;margin-top:39pt;width:73.7pt;height:46pt;z-index:25168588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9+CwIAAPEDAAAOAAAAZHJzL2Uyb0RvYy54bWysU91umzAYvZ+0d7B8T/inAYVUJQnTpKmb&#10;1O4BHGMSJMCe7QSiqu++zw6k03pTTbsx9vfh43OOj1f3Y9eiM5Oq4X2O/YWHEespr5r+kOOfz6Wz&#10;xEhp0lek5T3L8YUpfL/+/Gk1iIwF/MjbikkEIL3KBpHjo9Yic11Fj6wjasEF66FZc9kRDUt5cCtJ&#10;BkDvWjfwvMQduKyE5JQpBdXttYnXFr+uGdXf61oxjdocAzdtR2nHvRnd9YpkB0nEsaETDfIPLDrS&#10;9HDoDWpLNEEn2byD6hoqueK1XlDeubyuG8qsBlDje3+peToSwawWMEeJm03q/8HSx/MPiZoqxwHY&#10;05MO7uiZjbrgI/JTKwlW35Q24mB2FfVSlkER78rIKWHmRF4ROcUuSp0yCJe74K7cBGHyanb7SUYl&#10;Ixri8bWaDfaTjwmYrtpYE7nWYsv0Jd6lhReGS2cbxoUTJenSSdOidAr/IdyGURIGm7tXc7Wu5Tx/&#10;rQp3ECqzqk1G7PRJgAV6BMmQYLPN1BUUjeaxlp35wlUh6INJl1tujB8UimkYpyl0KLTiZQS5nA6f&#10;Nwup9BfGO2QmOZYQS2stOQOnK8/5F3NWz8umbU39jYmZ6XE/Wgf8YKa559UF2A+Q4ByrXyciGUZS&#10;txtuA2/QlHg4aUC0BxmY654JHXJl/ZnegAnun2v719tLXf8GAAD//wMAUEsDBBQABgAIAAAAIQCF&#10;jTHW3gAAAAoBAAAPAAAAZHJzL2Rvd25yZXYueG1sTI9NT8MwDIbvSPyHyEjctqSTRrfSdJr4kDhw&#10;YZR71pimonGqJlu7f493gpstP3r9vOVu9r044xi7QBqypQKB1ATbUauh/nxdbEDEZMiaPhBquGCE&#10;XXV7U5rChok+8HxIreAQioXR4FIaCilj49CbuAwDEt++w+hN4nVspR3NxOG+lyulHqQ3HfEHZwZ8&#10;ctj8HE5eQ0p2n13qFx/fvub358mpZm1qre/v5v0jiIRz+oPhqs/qULHTMZzIRtFrWKzyNaMa8g13&#10;ugLZdgviyEOuFMiqlP8rVL8AAAD//wMAUEsBAi0AFAAGAAgAAAAhALaDOJL+AAAA4QEAABMAAAAA&#10;AAAAAAAAAAAAAAAAAFtDb250ZW50X1R5cGVzXS54bWxQSwECLQAUAAYACAAAACEAOP0h/9YAAACU&#10;AQAACwAAAAAAAAAAAAAAAAAvAQAAX3JlbHMvLnJlbHNQSwECLQAUAAYACAAAACEAY+2ffgsCAADx&#10;AwAADgAAAAAAAAAAAAAAAAAuAgAAZHJzL2Uyb0RvYy54bWxQSwECLQAUAAYACAAAACEAhY0x1t4A&#10;AAAKAQAADwAAAAAAAAAAAAAAAABlBAAAZHJzL2Rvd25yZXYueG1sUEsFBgAAAAAEAAQA8wAAAHAF&#10;AAAAAA==&#10;" filled="f" stroked="f">
                <v:textbox style="mso-fit-shape-to-text:t">
                  <w:txbxContent>
                    <w:p w14:paraId="0DE95B98" w14:textId="77777777" w:rsidR="00903CCA" w:rsidRPr="008874DE" w:rsidRDefault="00903CCA" w:rsidP="00CF241B">
                      <w:pPr>
                        <w:rPr>
                          <w:rFonts w:cs="Arial"/>
                          <w:szCs w:val="18"/>
                        </w:rPr>
                      </w:pPr>
                      <w:r w:rsidRPr="008874DE">
                        <w:rPr>
                          <w:rFonts w:cs="Arial"/>
                          <w:color w:val="000000" w:themeColor="text1"/>
                          <w:kern w:val="24"/>
                          <w:szCs w:val="18"/>
                          <w:lang w:val="mi-NZ"/>
                        </w:rPr>
                        <w:t>Have regard to</w:t>
                      </w:r>
                    </w:p>
                  </w:txbxContent>
                </v:textbox>
                <w10:wrap anchorx="margin"/>
              </v:shape>
            </w:pict>
          </mc:Fallback>
        </mc:AlternateContent>
      </w:r>
    </w:p>
    <w:p w14:paraId="442FE7DF" w14:textId="76699E66" w:rsidR="00CC65AA" w:rsidRPr="008874DE" w:rsidRDefault="00144DD2" w:rsidP="008E6A7C">
      <w:pPr>
        <w:rPr>
          <w:rFonts w:cs="Arial"/>
          <w:b/>
          <w:bCs/>
          <w:color w:val="961E82"/>
          <w:kern w:val="24"/>
          <w:sz w:val="64"/>
          <w:szCs w:val="64"/>
        </w:rPr>
      </w:pPr>
      <w:r w:rsidRPr="008874DE">
        <w:rPr>
          <w:rFonts w:cs="Arial"/>
          <w:b/>
          <w:noProof/>
          <w:sz w:val="20"/>
          <w:szCs w:val="20"/>
        </w:rPr>
        <mc:AlternateContent>
          <mc:Choice Requires="wps">
            <w:drawing>
              <wp:anchor distT="0" distB="0" distL="114300" distR="114300" simplePos="0" relativeHeight="251683840" behindDoc="0" locked="0" layoutInCell="1" allowOverlap="1" wp14:anchorId="29F0767E" wp14:editId="2B96DAA3">
                <wp:simplePos x="0" y="0"/>
                <wp:positionH relativeFrom="margin">
                  <wp:posOffset>5390515</wp:posOffset>
                </wp:positionH>
                <wp:positionV relativeFrom="paragraph">
                  <wp:posOffset>179705</wp:posOffset>
                </wp:positionV>
                <wp:extent cx="428625" cy="360680"/>
                <wp:effectExtent l="0" t="0" r="28575" b="20320"/>
                <wp:wrapNone/>
                <wp:docPr id="37" name="Straight Connector 9">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8625" cy="360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CB56B" id="Straight Connector 9"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4.45pt,14.15pt" to="458.2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Om2gEAAPgDAAAOAAAAZHJzL2Uyb0RvYy54bWysU02P0zAQvSPxHyzfadIulBI13UNXcFlB&#10;RYG717Eba22PNTZt+u8ZO212xYeEEBfLH29m3nszXt8OzrKjwmjAt3w+qzlTXkJn/KHlX7+8f7Xi&#10;LCbhO2HBq5afVeS3m5cv1qfQqAX0YDuFjJL42JxCy/uUQlNVUfbKiTiDoDw9akAnEh3xUHUoTpTd&#10;2WpR18vqBNgFBKlipNu78ZFvSn6tlUyftI4qMdty4pbKimV9yGu1WYvmgCL0Rl5oiH9g4YTxVHRK&#10;dSeSYN/R/JLKGYkQQaeZBFeB1kaqooHUzOuf1Ox7EVTRQubEMNkU/19a+fG4Q2a6lt+85cwLRz3a&#10;JxTm0Ce2Be/JQUD2rohTQ7qPiSyrTiE2JTQbXbZbv8NsgBz8PtyDfIzPcONjRsYwwgaNjmlrwjea&#10;mpKcvGBDacx5agwVZJIuXy9Wy8UbziQ93Szr5ao0rhJNTpOrBozpgwLH8qbl1vjsm2jE8UL4CXJh&#10;PxIplNLZqgy2/rPS5AUVHCmVKVRbi+woaH66x3meFypbkDlEG2unoLqU/GPQBZvDVJnMvw2c0KUi&#10;+DQFOuMBf1c1DVeqesRfVY9as+wH6M47vDaJxqsou3yFPL/PzyX86cNufgAAAP//AwBQSwMEFAAG&#10;AAgAAAAhALbC1tDdAAAACQEAAA8AAABkcnMvZG93bnJldi54bWxMj8FOwzAQRO9I/IO1SNyondKE&#10;NMSpSiXEmZZLb068JBHxOsRuG/6e5USPq3maeVtuZjeIM06h96QhWSgQSI23PbUaPg6vDzmIEA1Z&#10;M3hCDT8YYFPd3pSmsP5C73jex1ZwCYXCaOhiHAspQ9OhM2HhRyTOPv3kTORzaqWdzIXL3SCXSmXS&#10;mZ54oTMj7jpsvvYnp+Hw5tRcx36H9P2ktseXNKNjqvX93bx9BhFxjv8w/OmzOlTsVPsT2SAGDfkq&#10;XzOqYZk/gmBgnWQrEDUnaQKyKuX1B9UvAAAA//8DAFBLAQItABQABgAIAAAAIQC2gziS/gAAAOEB&#10;AAATAAAAAAAAAAAAAAAAAAAAAABbQ29udGVudF9UeXBlc10ueG1sUEsBAi0AFAAGAAgAAAAhADj9&#10;If/WAAAAlAEAAAsAAAAAAAAAAAAAAAAALwEAAF9yZWxzLy5yZWxzUEsBAi0AFAAGAAgAAAAhACwx&#10;k6baAQAA+AMAAA4AAAAAAAAAAAAAAAAALgIAAGRycy9lMm9Eb2MueG1sUEsBAi0AFAAGAAgAAAAh&#10;ALbC1tDdAAAACQEAAA8AAAAAAAAAAAAAAAAANAQAAGRycy9kb3ducmV2LnhtbFBLBQYAAAAABAAE&#10;APMAAAA+BQAAAAA=&#10;" strokecolor="black [3200]" strokeweight=".5pt">
                <v:stroke joinstyle="miter"/>
                <o:lock v:ext="edit" shapetype="f"/>
                <w10:wrap anchorx="margin"/>
              </v:line>
            </w:pict>
          </mc:Fallback>
        </mc:AlternateContent>
      </w:r>
    </w:p>
    <w:bookmarkEnd w:id="10"/>
    <w:p w14:paraId="1838DB82" w14:textId="40C14228" w:rsidR="00CC65AA" w:rsidRPr="008874DE" w:rsidRDefault="00CC65AA" w:rsidP="008E6A7C">
      <w:pPr>
        <w:rPr>
          <w:rFonts w:cs="Arial"/>
          <w:b/>
          <w:bCs/>
          <w:color w:val="961E82"/>
          <w:kern w:val="24"/>
          <w:sz w:val="64"/>
          <w:szCs w:val="64"/>
        </w:rPr>
      </w:pPr>
    </w:p>
    <w:p w14:paraId="09F7A006" w14:textId="79DB20E3" w:rsidR="003713DE" w:rsidRPr="0009699E" w:rsidRDefault="003713DE" w:rsidP="00BF148F">
      <w:pPr>
        <w:pStyle w:val="ListParagraph"/>
        <w:numPr>
          <w:ilvl w:val="0"/>
          <w:numId w:val="0"/>
        </w:numPr>
        <w:spacing w:line="259" w:lineRule="auto"/>
        <w:ind w:left="567" w:hanging="283"/>
        <w:rPr>
          <w:lang w:val="en-NZ"/>
        </w:rPr>
      </w:pPr>
    </w:p>
    <w:p w14:paraId="2EA2C377" w14:textId="452C04E9" w:rsidR="00F218AB" w:rsidRPr="008874DE" w:rsidRDefault="00F218AB" w:rsidP="00F218AB">
      <w:pPr>
        <w:pStyle w:val="ListParagraph"/>
        <w:numPr>
          <w:ilvl w:val="0"/>
          <w:numId w:val="0"/>
        </w:numPr>
        <w:spacing w:before="240" w:line="259" w:lineRule="auto"/>
        <w:ind w:left="567"/>
        <w:rPr>
          <w:lang w:val="en-NZ"/>
        </w:rPr>
      </w:pPr>
    </w:p>
    <w:p w14:paraId="2294D610" w14:textId="591B2663" w:rsidR="00F218AB" w:rsidRDefault="00F218AB" w:rsidP="00F218AB">
      <w:pPr>
        <w:pStyle w:val="ListParagraph"/>
        <w:numPr>
          <w:ilvl w:val="0"/>
          <w:numId w:val="0"/>
        </w:numPr>
        <w:spacing w:before="240" w:line="259" w:lineRule="auto"/>
        <w:ind w:left="567"/>
        <w:rPr>
          <w:lang w:val="en-NZ"/>
        </w:rPr>
      </w:pPr>
    </w:p>
    <w:p w14:paraId="1E1467E4" w14:textId="2B1512F4" w:rsidR="00144DD2" w:rsidRDefault="00144DD2" w:rsidP="00F218AB">
      <w:pPr>
        <w:pStyle w:val="ListParagraph"/>
        <w:numPr>
          <w:ilvl w:val="0"/>
          <w:numId w:val="0"/>
        </w:numPr>
        <w:spacing w:before="240" w:line="259" w:lineRule="auto"/>
        <w:ind w:left="567"/>
        <w:rPr>
          <w:lang w:val="en-NZ"/>
        </w:rPr>
      </w:pPr>
    </w:p>
    <w:p w14:paraId="7850D96D" w14:textId="0ADCF191" w:rsidR="00144DD2" w:rsidRDefault="00144DD2" w:rsidP="00F218AB">
      <w:pPr>
        <w:pStyle w:val="ListParagraph"/>
        <w:numPr>
          <w:ilvl w:val="0"/>
          <w:numId w:val="0"/>
        </w:numPr>
        <w:spacing w:before="240" w:line="259" w:lineRule="auto"/>
        <w:ind w:left="567"/>
        <w:rPr>
          <w:lang w:val="en-NZ"/>
        </w:rPr>
      </w:pPr>
    </w:p>
    <w:p w14:paraId="5C747F90" w14:textId="709AFEED" w:rsidR="00144DD2" w:rsidRDefault="00144DD2" w:rsidP="00F218AB">
      <w:pPr>
        <w:pStyle w:val="ListParagraph"/>
        <w:numPr>
          <w:ilvl w:val="0"/>
          <w:numId w:val="0"/>
        </w:numPr>
        <w:spacing w:before="240" w:line="259" w:lineRule="auto"/>
        <w:ind w:left="567"/>
        <w:rPr>
          <w:lang w:val="en-NZ"/>
        </w:rPr>
      </w:pPr>
    </w:p>
    <w:p w14:paraId="6F315F2C" w14:textId="618B0B37" w:rsidR="00144DD2" w:rsidRDefault="00144DD2" w:rsidP="00F218AB">
      <w:pPr>
        <w:pStyle w:val="ListParagraph"/>
        <w:numPr>
          <w:ilvl w:val="0"/>
          <w:numId w:val="0"/>
        </w:numPr>
        <w:spacing w:before="240" w:line="259" w:lineRule="auto"/>
        <w:ind w:left="567"/>
        <w:rPr>
          <w:lang w:val="en-NZ"/>
        </w:rPr>
      </w:pPr>
    </w:p>
    <w:p w14:paraId="77D1BE69" w14:textId="44C53496" w:rsidR="00144DD2" w:rsidRDefault="00144DD2" w:rsidP="00F218AB">
      <w:pPr>
        <w:pStyle w:val="ListParagraph"/>
        <w:numPr>
          <w:ilvl w:val="0"/>
          <w:numId w:val="0"/>
        </w:numPr>
        <w:spacing w:before="240" w:line="259" w:lineRule="auto"/>
        <w:ind w:left="567"/>
        <w:rPr>
          <w:lang w:val="en-NZ"/>
        </w:rPr>
      </w:pPr>
      <w:r w:rsidRPr="0009699E">
        <w:rPr>
          <w:noProof/>
          <w:lang w:val="en-NZ"/>
        </w:rPr>
        <mc:AlternateContent>
          <mc:Choice Requires="wps">
            <w:drawing>
              <wp:anchor distT="0" distB="0" distL="114300" distR="114300" simplePos="0" relativeHeight="251700224" behindDoc="0" locked="0" layoutInCell="1" allowOverlap="1" wp14:anchorId="6A425983" wp14:editId="40C9CE7A">
                <wp:simplePos x="0" y="0"/>
                <wp:positionH relativeFrom="margin">
                  <wp:posOffset>313690</wp:posOffset>
                </wp:positionH>
                <wp:positionV relativeFrom="paragraph">
                  <wp:posOffset>163830</wp:posOffset>
                </wp:positionV>
                <wp:extent cx="5335674" cy="819150"/>
                <wp:effectExtent l="0" t="0" r="17780" b="19050"/>
                <wp:wrapNone/>
                <wp:docPr id="4" name="Rectangle 4"/>
                <wp:cNvGraphicFramePr/>
                <a:graphic xmlns:a="http://schemas.openxmlformats.org/drawingml/2006/main">
                  <a:graphicData uri="http://schemas.microsoft.com/office/word/2010/wordprocessingShape">
                    <wps:wsp>
                      <wps:cNvSpPr/>
                      <wps:spPr>
                        <a:xfrm>
                          <a:off x="0" y="0"/>
                          <a:ext cx="5335674" cy="819150"/>
                        </a:xfrm>
                        <a:prstGeom prst="rect">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E4175" w14:textId="77777777" w:rsidR="00F218AB" w:rsidRPr="008874DE" w:rsidRDefault="00F218AB" w:rsidP="00F52DD4">
                            <w:pPr>
                              <w:pStyle w:val="ListParagraph"/>
                              <w:numPr>
                                <w:ilvl w:val="0"/>
                                <w:numId w:val="0"/>
                              </w:numPr>
                              <w:spacing w:line="259" w:lineRule="auto"/>
                              <w:jc w:val="center"/>
                              <w:rPr>
                                <w:color w:val="000000" w:themeColor="text1"/>
                                <w:szCs w:val="18"/>
                                <w:lang w:val="en-NZ"/>
                              </w:rPr>
                            </w:pPr>
                            <w:r w:rsidRPr="008874DE">
                              <w:rPr>
                                <w:color w:val="000000" w:themeColor="text1"/>
                                <w:szCs w:val="18"/>
                                <w:lang w:val="en-NZ"/>
                              </w:rPr>
                              <w:t>Underpinning all functions is a duty to uphold Te Tiriti o Waitangi, engage with and understand the perspectives of Māori, and have particular regard to the experience of, and outcomes for M</w:t>
                            </w:r>
                            <w:r w:rsidRPr="008874DE">
                              <w:rPr>
                                <w:color w:val="000000" w:themeColor="text1"/>
                                <w:szCs w:val="18"/>
                                <w:lang w:val="mi-NZ"/>
                              </w:rPr>
                              <w:t>ā</w:t>
                            </w:r>
                            <w:r w:rsidRPr="008874DE">
                              <w:rPr>
                                <w:color w:val="000000" w:themeColor="text1"/>
                                <w:szCs w:val="18"/>
                                <w:lang w:val="en-NZ"/>
                              </w:rPr>
                              <w:t>ori</w:t>
                            </w:r>
                          </w:p>
                          <w:p w14:paraId="4251DE13" w14:textId="77777777" w:rsidR="00F218AB" w:rsidRPr="008874DE" w:rsidRDefault="00F218AB" w:rsidP="00F218AB">
                            <w:pPr>
                              <w:jc w:val="center"/>
                              <w:rPr>
                                <w:rFonts w:cs="Arial"/>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425983" id="Rectangle 4" o:spid="_x0000_s1039" style="position:absolute;left:0;text-align:left;margin-left:24.7pt;margin-top:12.9pt;width:420.15pt;height:6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Uo4qwIAAAcGAAAOAAAAZHJzL2Uyb0RvYy54bWysVNtu2zAMfR+wfxD0vtpOk16COkXQosOA&#10;bi3aDn1WZCk2IIuapMTJvn6UZLuXdRtQ7EUWRfKQPCZ5dr5rFdkK6xrQJS0OckqE5lA1el3S7w9X&#10;n04ocZ7piinQoqR74ej54uOHs87MxQRqUJWwBEG0m3empLX3Zp5ljteiZe4AjNColGBb5lG066yy&#10;rEP0VmWTPD/KOrCVscCFc/h6mZR0EfGlFNzfSOmEJ6qkmJuPp43nKpzZ4ozN15aZuuF9GuwdWbSs&#10;0Rh0hLpknpGNbX6DahtuwYH0BxzaDKRsuIg1YDVF/qqa+5oZEWtBcpwZaXL/D5Z/295a0lQlnVKi&#10;WYu/6A5JY3qtBJkGejrj5mh1b25tLzm8hlp30rbhi1WQXaR0P1Iqdp5wfJwdHs6OjhGbo+6kOC1m&#10;kfPsydtY5z8LaEm4lNRi9Mgk2147jxHRdDAJwRyoprpqlIpCaBNxoSzZMvzBq3URXdWm/QpVejud&#10;5fkQMnZVMI+oL5CUfg94wP4nOBYQ0LNAZKIu3vxeiRBT6Tsh8Q8gWZOY/ZhlKoBxLrRPhbmaVSI9&#10;/zl0BAzIElkasXuAl4QN2Inm3j64ijg6o3P+t8SS8+gRI4P2o3PbaLBvASisqo+c7AeSEjWBJb9b&#10;7WJ3FodDL66g2mPLWkiz7Ay/arBzrpnzt8zi8OKY40LyN3hIBV1Job9RUoP9+dZ7sMeZQi0lHS6D&#10;krofG2YFJeqLxmk7LabTsD2iMJ0dT1CwzzWr5xq9aS8A27HA1Wd4vAZ7r4artNA+4t5ahqioYppj&#10;7JJybwfhwqclhZuPi+UymuHGMMxf63vDA3ggOkzGw+6RWdOPj8fB+wbD4mDzV1OUbIOnhuXGg2zi&#10;iAWqE6/9L8BtE2ek34xhnT2Xo9XT/l78AgAA//8DAFBLAwQUAAYACAAAACEAViA6s9wAAAAJAQAA&#10;DwAAAGRycy9kb3ducmV2LnhtbEyPQW6DMBBF95V6B2sqddeYICcFgomqqFXXoTnABDuAgm2CHXBv&#10;3+mqXY7+05/3y300A5v15HtnJaxXCTBtG6d620o4fX28ZMB8QKtwcFZL+NYe9tXjQ4mFcos96rkO&#10;LaMS6wuU0IUwFpz7ptMG/cqN2lJ2cZPBQOfUcjXhQuVm4GmSbLnB3tKHDkd96HRzre9GwiI+b6f8&#10;cp3FNr1ha46xPrxHKZ+f4tsOWNAx/MHwq0/qUJHT2d2t8myQIHJBpIR0Qwsoz7L8FdiZwI3IgFcl&#10;/7+g+gEAAP//AwBQSwECLQAUAAYACAAAACEAtoM4kv4AAADhAQAAEwAAAAAAAAAAAAAAAAAAAAAA&#10;W0NvbnRlbnRfVHlwZXNdLnhtbFBLAQItABQABgAIAAAAIQA4/SH/1gAAAJQBAAALAAAAAAAAAAAA&#10;AAAAAC8BAABfcmVscy8ucmVsc1BLAQItABQABgAIAAAAIQA2tUo4qwIAAAcGAAAOAAAAAAAAAAAA&#10;AAAAAC4CAABkcnMvZTJvRG9jLnhtbFBLAQItABQABgAIAAAAIQBWIDqz3AAAAAkBAAAPAAAAAAAA&#10;AAAAAAAAAAUFAABkcnMvZG93bnJldi54bWxQSwUGAAAAAAQABADzAAAADgYAAAAA&#10;" fillcolor="#f2f2f2 [3052]" strokecolor="#7f7f7f [1612]" strokeweight="1pt">
                <v:textbox>
                  <w:txbxContent>
                    <w:p w14:paraId="0FEE4175" w14:textId="77777777" w:rsidR="00F218AB" w:rsidRPr="008874DE" w:rsidRDefault="00F218AB" w:rsidP="00F52DD4">
                      <w:pPr>
                        <w:pStyle w:val="ListParagraph"/>
                        <w:numPr>
                          <w:ilvl w:val="0"/>
                          <w:numId w:val="0"/>
                        </w:numPr>
                        <w:spacing w:line="259" w:lineRule="auto"/>
                        <w:jc w:val="center"/>
                        <w:rPr>
                          <w:color w:val="000000" w:themeColor="text1"/>
                          <w:szCs w:val="18"/>
                          <w:lang w:val="en-NZ"/>
                        </w:rPr>
                      </w:pPr>
                      <w:r w:rsidRPr="008874DE">
                        <w:rPr>
                          <w:color w:val="000000" w:themeColor="text1"/>
                          <w:szCs w:val="18"/>
                          <w:lang w:val="en-NZ"/>
                        </w:rPr>
                        <w:t>Underpinning all functions is a duty to uphold Te Tiriti o Waitangi, engage with and understand the perspectives of Māori, and have particular regard to the experience of, and outcomes for M</w:t>
                      </w:r>
                      <w:r w:rsidRPr="008874DE">
                        <w:rPr>
                          <w:color w:val="000000" w:themeColor="text1"/>
                          <w:szCs w:val="18"/>
                          <w:lang w:val="mi-NZ"/>
                        </w:rPr>
                        <w:t>ā</w:t>
                      </w:r>
                      <w:r w:rsidRPr="008874DE">
                        <w:rPr>
                          <w:color w:val="000000" w:themeColor="text1"/>
                          <w:szCs w:val="18"/>
                          <w:lang w:val="en-NZ"/>
                        </w:rPr>
                        <w:t>ori</w:t>
                      </w:r>
                    </w:p>
                    <w:p w14:paraId="4251DE13" w14:textId="77777777" w:rsidR="00F218AB" w:rsidRPr="008874DE" w:rsidRDefault="00F218AB" w:rsidP="00F218AB">
                      <w:pPr>
                        <w:jc w:val="center"/>
                        <w:rPr>
                          <w:rFonts w:cs="Arial"/>
                          <w:sz w:val="28"/>
                        </w:rPr>
                      </w:pPr>
                    </w:p>
                  </w:txbxContent>
                </v:textbox>
                <w10:wrap anchorx="margin"/>
              </v:rect>
            </w:pict>
          </mc:Fallback>
        </mc:AlternateContent>
      </w:r>
    </w:p>
    <w:p w14:paraId="7B3D3C91" w14:textId="0CEF81CB" w:rsidR="00144DD2" w:rsidRDefault="00144DD2" w:rsidP="00F218AB">
      <w:pPr>
        <w:pStyle w:val="ListParagraph"/>
        <w:numPr>
          <w:ilvl w:val="0"/>
          <w:numId w:val="0"/>
        </w:numPr>
        <w:spacing w:before="240" w:line="259" w:lineRule="auto"/>
        <w:ind w:left="567"/>
        <w:rPr>
          <w:lang w:val="en-NZ"/>
        </w:rPr>
      </w:pPr>
    </w:p>
    <w:p w14:paraId="5B5313BF" w14:textId="1D297FC6" w:rsidR="00144DD2" w:rsidRDefault="00144DD2" w:rsidP="00F218AB">
      <w:pPr>
        <w:pStyle w:val="ListParagraph"/>
        <w:numPr>
          <w:ilvl w:val="0"/>
          <w:numId w:val="0"/>
        </w:numPr>
        <w:spacing w:before="240" w:line="259" w:lineRule="auto"/>
        <w:ind w:left="567"/>
        <w:rPr>
          <w:lang w:val="en-NZ"/>
        </w:rPr>
      </w:pPr>
    </w:p>
    <w:p w14:paraId="5C178C4B" w14:textId="0E6E1063" w:rsidR="00144DD2" w:rsidRDefault="00144DD2" w:rsidP="00F218AB">
      <w:pPr>
        <w:pStyle w:val="ListParagraph"/>
        <w:numPr>
          <w:ilvl w:val="0"/>
          <w:numId w:val="0"/>
        </w:numPr>
        <w:spacing w:before="240" w:line="259" w:lineRule="auto"/>
        <w:ind w:left="567"/>
        <w:rPr>
          <w:lang w:val="en-NZ"/>
        </w:rPr>
      </w:pPr>
    </w:p>
    <w:p w14:paraId="2F775219" w14:textId="0F956266" w:rsidR="00144DD2" w:rsidRDefault="00144DD2" w:rsidP="00F218AB">
      <w:pPr>
        <w:pStyle w:val="ListParagraph"/>
        <w:numPr>
          <w:ilvl w:val="0"/>
          <w:numId w:val="0"/>
        </w:numPr>
        <w:spacing w:before="240" w:line="259" w:lineRule="auto"/>
        <w:ind w:left="567"/>
        <w:rPr>
          <w:lang w:val="en-NZ"/>
        </w:rPr>
      </w:pPr>
    </w:p>
    <w:p w14:paraId="70ECAA4F" w14:textId="424E8EF0" w:rsidR="00144DD2" w:rsidRDefault="00144DD2" w:rsidP="00F218AB">
      <w:pPr>
        <w:pStyle w:val="ListParagraph"/>
        <w:numPr>
          <w:ilvl w:val="0"/>
          <w:numId w:val="0"/>
        </w:numPr>
        <w:spacing w:before="240" w:line="259" w:lineRule="auto"/>
        <w:ind w:left="567"/>
        <w:rPr>
          <w:lang w:val="en-NZ"/>
        </w:rPr>
      </w:pPr>
    </w:p>
    <w:p w14:paraId="5ACE58F0" w14:textId="3936E187" w:rsidR="00144DD2" w:rsidRDefault="00144DD2" w:rsidP="00F218AB">
      <w:pPr>
        <w:pStyle w:val="ListParagraph"/>
        <w:numPr>
          <w:ilvl w:val="0"/>
          <w:numId w:val="0"/>
        </w:numPr>
        <w:spacing w:before="240" w:line="259" w:lineRule="auto"/>
        <w:ind w:left="567"/>
        <w:rPr>
          <w:lang w:val="en-NZ"/>
        </w:rPr>
      </w:pPr>
    </w:p>
    <w:p w14:paraId="0976D8EE" w14:textId="2F6CD09E" w:rsidR="00144DD2" w:rsidRDefault="00144DD2" w:rsidP="00F218AB">
      <w:pPr>
        <w:pStyle w:val="ListParagraph"/>
        <w:numPr>
          <w:ilvl w:val="0"/>
          <w:numId w:val="0"/>
        </w:numPr>
        <w:spacing w:before="240" w:line="259" w:lineRule="auto"/>
        <w:ind w:left="567"/>
        <w:rPr>
          <w:lang w:val="en-NZ"/>
        </w:rPr>
      </w:pPr>
    </w:p>
    <w:p w14:paraId="7C8C130A" w14:textId="24C35814" w:rsidR="00144DD2" w:rsidRDefault="00144DD2" w:rsidP="00F218AB">
      <w:pPr>
        <w:pStyle w:val="ListParagraph"/>
        <w:numPr>
          <w:ilvl w:val="0"/>
          <w:numId w:val="0"/>
        </w:numPr>
        <w:spacing w:before="240" w:line="259" w:lineRule="auto"/>
        <w:ind w:left="567"/>
        <w:rPr>
          <w:lang w:val="en-NZ"/>
        </w:rPr>
      </w:pPr>
    </w:p>
    <w:p w14:paraId="7516AB0A" w14:textId="01AC8C2F" w:rsidR="00144DD2" w:rsidRDefault="00144DD2" w:rsidP="00F218AB">
      <w:pPr>
        <w:pStyle w:val="ListParagraph"/>
        <w:numPr>
          <w:ilvl w:val="0"/>
          <w:numId w:val="0"/>
        </w:numPr>
        <w:spacing w:before="240" w:line="259" w:lineRule="auto"/>
        <w:ind w:left="567"/>
        <w:rPr>
          <w:lang w:val="en-NZ"/>
        </w:rPr>
      </w:pPr>
    </w:p>
    <w:p w14:paraId="538A89C4" w14:textId="04D401DF" w:rsidR="00144DD2" w:rsidRDefault="00144DD2" w:rsidP="00F218AB">
      <w:pPr>
        <w:pStyle w:val="ListParagraph"/>
        <w:numPr>
          <w:ilvl w:val="0"/>
          <w:numId w:val="0"/>
        </w:numPr>
        <w:spacing w:before="240" w:line="259" w:lineRule="auto"/>
        <w:ind w:left="567"/>
        <w:rPr>
          <w:lang w:val="en-NZ"/>
        </w:rPr>
      </w:pPr>
    </w:p>
    <w:p w14:paraId="54586E13" w14:textId="5F83B33B" w:rsidR="00144DD2" w:rsidRDefault="00144DD2" w:rsidP="00F218AB">
      <w:pPr>
        <w:pStyle w:val="ListParagraph"/>
        <w:numPr>
          <w:ilvl w:val="0"/>
          <w:numId w:val="0"/>
        </w:numPr>
        <w:spacing w:before="240" w:line="259" w:lineRule="auto"/>
        <w:ind w:left="567"/>
        <w:rPr>
          <w:lang w:val="en-NZ"/>
        </w:rPr>
      </w:pPr>
    </w:p>
    <w:p w14:paraId="5A7FC097" w14:textId="720C38BE" w:rsidR="00144DD2" w:rsidRDefault="00144DD2" w:rsidP="00F218AB">
      <w:pPr>
        <w:pStyle w:val="ListParagraph"/>
        <w:numPr>
          <w:ilvl w:val="0"/>
          <w:numId w:val="0"/>
        </w:numPr>
        <w:spacing w:before="240" w:line="259" w:lineRule="auto"/>
        <w:ind w:left="567"/>
        <w:rPr>
          <w:lang w:val="en-NZ"/>
        </w:rPr>
      </w:pPr>
    </w:p>
    <w:p w14:paraId="59E9D3B2" w14:textId="7A6B4B79" w:rsidR="00144DD2" w:rsidRDefault="00144DD2" w:rsidP="00F218AB">
      <w:pPr>
        <w:pStyle w:val="ListParagraph"/>
        <w:numPr>
          <w:ilvl w:val="0"/>
          <w:numId w:val="0"/>
        </w:numPr>
        <w:spacing w:before="240" w:line="259" w:lineRule="auto"/>
        <w:ind w:left="567"/>
        <w:rPr>
          <w:lang w:val="en-NZ"/>
        </w:rPr>
      </w:pPr>
    </w:p>
    <w:p w14:paraId="013B4BCF" w14:textId="5AD7F893" w:rsidR="00144DD2" w:rsidRDefault="00144DD2" w:rsidP="00F218AB">
      <w:pPr>
        <w:pStyle w:val="ListParagraph"/>
        <w:numPr>
          <w:ilvl w:val="0"/>
          <w:numId w:val="0"/>
        </w:numPr>
        <w:spacing w:before="240" w:line="259" w:lineRule="auto"/>
        <w:ind w:left="567"/>
        <w:rPr>
          <w:lang w:val="en-NZ"/>
        </w:rPr>
      </w:pPr>
    </w:p>
    <w:p w14:paraId="2A67F7F8" w14:textId="71A0BEDB" w:rsidR="00144DD2" w:rsidRDefault="00144DD2" w:rsidP="00F218AB">
      <w:pPr>
        <w:pStyle w:val="ListParagraph"/>
        <w:numPr>
          <w:ilvl w:val="0"/>
          <w:numId w:val="0"/>
        </w:numPr>
        <w:spacing w:before="240" w:line="259" w:lineRule="auto"/>
        <w:ind w:left="567"/>
        <w:rPr>
          <w:lang w:val="en-NZ"/>
        </w:rPr>
      </w:pPr>
    </w:p>
    <w:tbl>
      <w:tblPr>
        <w:tblStyle w:val="TableGrid"/>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15"/>
        <w:gridCol w:w="6464"/>
      </w:tblGrid>
      <w:tr w:rsidR="00BD09AB" w:rsidRPr="0009699E" w14:paraId="26F20340" w14:textId="77777777" w:rsidTr="008874DE">
        <w:tc>
          <w:tcPr>
            <w:tcW w:w="2415" w:type="dxa"/>
            <w:shd w:val="clear" w:color="auto" w:fill="F6D2F0"/>
          </w:tcPr>
          <w:p w14:paraId="0830AEB9" w14:textId="77777777" w:rsidR="00BD09AB" w:rsidRPr="008874DE" w:rsidRDefault="00BD09AB" w:rsidP="00C50011">
            <w:pPr>
              <w:rPr>
                <w:rFonts w:cs="Arial"/>
                <w:sz w:val="22"/>
                <w:szCs w:val="18"/>
              </w:rPr>
            </w:pPr>
            <w:r w:rsidRPr="008874DE">
              <w:rPr>
                <w:rFonts w:cs="Arial"/>
                <w:sz w:val="22"/>
                <w:szCs w:val="18"/>
              </w:rPr>
              <w:lastRenderedPageBreak/>
              <w:t>Specialist mental health services and addiction services</w:t>
            </w:r>
          </w:p>
        </w:tc>
        <w:tc>
          <w:tcPr>
            <w:tcW w:w="6464" w:type="dxa"/>
          </w:tcPr>
          <w:p w14:paraId="4EAB914D" w14:textId="0F7F5040" w:rsidR="00BD09AB" w:rsidRPr="008874DE" w:rsidRDefault="00F97871" w:rsidP="00C50011">
            <w:pPr>
              <w:rPr>
                <w:rFonts w:cs="Arial"/>
                <w:sz w:val="22"/>
                <w:szCs w:val="18"/>
              </w:rPr>
            </w:pPr>
            <w:r>
              <w:rPr>
                <w:rFonts w:cs="Arial"/>
                <w:sz w:val="22"/>
                <w:szCs w:val="18"/>
              </w:rPr>
              <w:t>I</w:t>
            </w:r>
            <w:r w:rsidR="00BD09AB" w:rsidRPr="008874DE">
              <w:rPr>
                <w:rFonts w:cs="Arial"/>
                <w:sz w:val="22"/>
                <w:szCs w:val="18"/>
              </w:rPr>
              <w:t xml:space="preserve">ncludes DHB-funded community-mental health and addiction support such as individual peer and key worker support, activity programmes, </w:t>
            </w:r>
            <w:r w:rsidR="002C3A2D" w:rsidRPr="008874DE">
              <w:rPr>
                <w:rFonts w:cs="Arial"/>
                <w:sz w:val="22"/>
                <w:szCs w:val="18"/>
              </w:rPr>
              <w:t>kaupapa M</w:t>
            </w:r>
            <w:r w:rsidR="00751BCD" w:rsidRPr="008874DE">
              <w:rPr>
                <w:rFonts w:cs="Arial"/>
                <w:sz w:val="22"/>
                <w:szCs w:val="18"/>
              </w:rPr>
              <w:t>ā</w:t>
            </w:r>
            <w:r w:rsidR="002C3A2D" w:rsidRPr="008874DE">
              <w:rPr>
                <w:rFonts w:cs="Arial"/>
                <w:sz w:val="22"/>
                <w:szCs w:val="18"/>
              </w:rPr>
              <w:t>ori mental health and addiction services</w:t>
            </w:r>
            <w:r w:rsidR="00F13F3D" w:rsidRPr="008874DE">
              <w:rPr>
                <w:rFonts w:cs="Arial"/>
                <w:sz w:val="22"/>
                <w:szCs w:val="18"/>
              </w:rPr>
              <w:t xml:space="preserve">, </w:t>
            </w:r>
            <w:r w:rsidR="00BD09AB" w:rsidRPr="008874DE">
              <w:rPr>
                <w:rFonts w:cs="Arial"/>
                <w:sz w:val="22"/>
                <w:szCs w:val="18"/>
              </w:rPr>
              <w:t xml:space="preserve">clinical care such as individual, family and group therapy, crisis services, residential treatment services and inpatient care. </w:t>
            </w:r>
          </w:p>
        </w:tc>
      </w:tr>
      <w:tr w:rsidR="00BD09AB" w:rsidRPr="0009699E" w14:paraId="7C855AF5" w14:textId="77777777" w:rsidTr="008874DE">
        <w:tc>
          <w:tcPr>
            <w:tcW w:w="2415" w:type="dxa"/>
            <w:shd w:val="clear" w:color="auto" w:fill="C9C4EE"/>
          </w:tcPr>
          <w:p w14:paraId="2D7384A5" w14:textId="77777777" w:rsidR="00BD09AB" w:rsidRPr="008874DE" w:rsidRDefault="00BD09AB" w:rsidP="00C50011">
            <w:pPr>
              <w:rPr>
                <w:rFonts w:cs="Arial"/>
                <w:sz w:val="22"/>
                <w:szCs w:val="18"/>
              </w:rPr>
            </w:pPr>
            <w:r w:rsidRPr="008874DE">
              <w:rPr>
                <w:rFonts w:cs="Arial"/>
                <w:sz w:val="22"/>
                <w:szCs w:val="18"/>
              </w:rPr>
              <w:t>Mental health services and addiction services</w:t>
            </w:r>
          </w:p>
        </w:tc>
        <w:tc>
          <w:tcPr>
            <w:tcW w:w="6464" w:type="dxa"/>
          </w:tcPr>
          <w:p w14:paraId="43B471FA" w14:textId="2E81CF7F" w:rsidR="00BD09AB" w:rsidRPr="008874DE" w:rsidRDefault="00BD09AB" w:rsidP="00C50011">
            <w:pPr>
              <w:rPr>
                <w:rFonts w:cs="Arial"/>
                <w:sz w:val="22"/>
                <w:szCs w:val="18"/>
              </w:rPr>
            </w:pPr>
            <w:r w:rsidRPr="008874DE">
              <w:rPr>
                <w:rFonts w:cs="Arial"/>
                <w:sz w:val="22"/>
                <w:szCs w:val="18"/>
              </w:rPr>
              <w:t xml:space="preserve">Eg includes health care providers that respond to mental health and addiction need as part of their scope of practice (whether screening, brief-intervention, referral or treatment), such as in </w:t>
            </w:r>
            <w:r w:rsidR="00D57E71" w:rsidRPr="008874DE">
              <w:rPr>
                <w:rFonts w:cs="Arial"/>
                <w:sz w:val="22"/>
                <w:szCs w:val="18"/>
              </w:rPr>
              <w:t xml:space="preserve">kaupapa Māori services, </w:t>
            </w:r>
            <w:r w:rsidRPr="008874DE">
              <w:rPr>
                <w:rFonts w:cs="Arial"/>
                <w:sz w:val="22"/>
                <w:szCs w:val="18"/>
              </w:rPr>
              <w:t>General Practice, midwifery and Tamariki Ora Well Child services and emergency medicine. Includes digital services such as helplines and e-therapy delivered to individuals. Includes non-Vote Health-funded mental health and addiction services delivered/contracted by Corrections, Education and Oranga Tamariki and ACC sensitive claims therapy. Includes non-clinical peer and community support services delivered specifically to respond to mental health and addiction need</w:t>
            </w:r>
            <w:r w:rsidR="002170D2" w:rsidRPr="008874DE">
              <w:rPr>
                <w:rFonts w:cs="Arial"/>
                <w:sz w:val="22"/>
                <w:szCs w:val="18"/>
              </w:rPr>
              <w:t>.</w:t>
            </w:r>
            <w:r w:rsidRPr="008874DE">
              <w:rPr>
                <w:rFonts w:cs="Arial"/>
                <w:sz w:val="22"/>
                <w:szCs w:val="18"/>
              </w:rPr>
              <w:t xml:space="preserve"> </w:t>
            </w:r>
          </w:p>
        </w:tc>
      </w:tr>
      <w:tr w:rsidR="00BD09AB" w:rsidRPr="0009699E" w14:paraId="1D899058" w14:textId="77777777" w:rsidTr="008874DE">
        <w:tc>
          <w:tcPr>
            <w:tcW w:w="2415" w:type="dxa"/>
            <w:shd w:val="clear" w:color="auto" w:fill="A7D7FF"/>
          </w:tcPr>
          <w:p w14:paraId="22FF72B9" w14:textId="77777777" w:rsidR="00BD09AB" w:rsidRPr="008874DE" w:rsidRDefault="00BD09AB" w:rsidP="00C50011">
            <w:pPr>
              <w:rPr>
                <w:rFonts w:cs="Arial"/>
                <w:sz w:val="22"/>
                <w:szCs w:val="18"/>
              </w:rPr>
            </w:pPr>
            <w:r w:rsidRPr="008874DE">
              <w:rPr>
                <w:rFonts w:cs="Arial"/>
                <w:sz w:val="22"/>
                <w:szCs w:val="18"/>
              </w:rPr>
              <w:t>Approaches to mental health and wellbeing</w:t>
            </w:r>
          </w:p>
        </w:tc>
        <w:tc>
          <w:tcPr>
            <w:tcW w:w="6464" w:type="dxa"/>
          </w:tcPr>
          <w:p w14:paraId="3CE0F7A7" w14:textId="54147724" w:rsidR="00BD09AB" w:rsidRPr="008874DE" w:rsidRDefault="00BD09AB" w:rsidP="00C50011">
            <w:pPr>
              <w:rPr>
                <w:rFonts w:cs="Arial"/>
                <w:sz w:val="22"/>
                <w:szCs w:val="18"/>
              </w:rPr>
            </w:pPr>
            <w:r w:rsidRPr="008874DE">
              <w:rPr>
                <w:rFonts w:cs="Arial"/>
                <w:sz w:val="22"/>
                <w:szCs w:val="18"/>
              </w:rPr>
              <w:t xml:space="preserve">Eg </w:t>
            </w:r>
            <w:r w:rsidR="00772D02" w:rsidRPr="008874DE">
              <w:rPr>
                <w:rFonts w:cs="Arial"/>
                <w:sz w:val="22"/>
                <w:szCs w:val="18"/>
              </w:rPr>
              <w:t xml:space="preserve">includes </w:t>
            </w:r>
            <w:r w:rsidRPr="008874DE">
              <w:rPr>
                <w:rFonts w:cs="Arial"/>
                <w:sz w:val="22"/>
                <w:szCs w:val="18"/>
              </w:rPr>
              <w:t>community and iwi development programmes, programmes to support ways of wellbeing and wellbeing support, self-help resources, health promotion and anti-stigma campaigns, mental health and addiction skill development for individuals, whānau and employers such as Mental Health and Addiction 101 training.</w:t>
            </w:r>
            <w:r w:rsidR="00EB0E10" w:rsidRPr="008874DE">
              <w:rPr>
                <w:rFonts w:cs="Arial"/>
                <w:sz w:val="22"/>
                <w:szCs w:val="18"/>
              </w:rPr>
              <w:t xml:space="preserve"> Includes the structures, strategies and belief systems that underpin</w:t>
            </w:r>
            <w:r w:rsidR="009F0A5B" w:rsidRPr="008874DE">
              <w:rPr>
                <w:rFonts w:cs="Arial"/>
                <w:sz w:val="22"/>
                <w:szCs w:val="18"/>
              </w:rPr>
              <w:t xml:space="preserve"> our approaches to mental health and wellbeing.</w:t>
            </w:r>
            <w:r w:rsidRPr="008874DE">
              <w:rPr>
                <w:rFonts w:cs="Arial"/>
                <w:sz w:val="22"/>
                <w:szCs w:val="18"/>
              </w:rPr>
              <w:t xml:space="preserve">    </w:t>
            </w:r>
          </w:p>
        </w:tc>
      </w:tr>
      <w:tr w:rsidR="00BD09AB" w:rsidRPr="0009699E" w14:paraId="441626ED" w14:textId="77777777" w:rsidTr="008874DE">
        <w:tc>
          <w:tcPr>
            <w:tcW w:w="2415" w:type="dxa"/>
            <w:shd w:val="clear" w:color="auto" w:fill="EEF8C8"/>
          </w:tcPr>
          <w:p w14:paraId="41734F2B" w14:textId="77777777" w:rsidR="00BD09AB" w:rsidRPr="008874DE" w:rsidRDefault="00BD09AB" w:rsidP="00C50011">
            <w:pPr>
              <w:rPr>
                <w:rFonts w:cs="Arial"/>
                <w:sz w:val="22"/>
                <w:szCs w:val="18"/>
              </w:rPr>
            </w:pPr>
            <w:r w:rsidRPr="008874DE">
              <w:rPr>
                <w:rFonts w:cs="Arial"/>
                <w:sz w:val="22"/>
                <w:szCs w:val="18"/>
              </w:rPr>
              <w:t>Factors and activities that affect people’s mental health and wellbeing</w:t>
            </w:r>
          </w:p>
        </w:tc>
        <w:tc>
          <w:tcPr>
            <w:tcW w:w="6464" w:type="dxa"/>
          </w:tcPr>
          <w:p w14:paraId="7FB0FE3B" w14:textId="735A5A16" w:rsidR="00BD09AB" w:rsidRPr="008874DE" w:rsidRDefault="00BD09AB" w:rsidP="00C50011">
            <w:pPr>
              <w:rPr>
                <w:rFonts w:cs="Arial"/>
                <w:sz w:val="22"/>
                <w:szCs w:val="18"/>
              </w:rPr>
            </w:pPr>
            <w:r w:rsidRPr="008874DE">
              <w:rPr>
                <w:rFonts w:cs="Arial"/>
                <w:sz w:val="22"/>
                <w:szCs w:val="18"/>
              </w:rPr>
              <w:t xml:space="preserve">Eg </w:t>
            </w:r>
            <w:r w:rsidR="00772D02" w:rsidRPr="008874DE">
              <w:rPr>
                <w:rFonts w:cs="Arial"/>
                <w:sz w:val="22"/>
                <w:szCs w:val="18"/>
              </w:rPr>
              <w:t xml:space="preserve">includes </w:t>
            </w:r>
            <w:r w:rsidRPr="008874DE">
              <w:rPr>
                <w:rFonts w:cs="Arial"/>
                <w:sz w:val="22"/>
                <w:szCs w:val="18"/>
              </w:rPr>
              <w:t>education, training and employment support delivered to the population generally, income and income support.</w:t>
            </w:r>
          </w:p>
        </w:tc>
      </w:tr>
    </w:tbl>
    <w:p w14:paraId="6F9E391B" w14:textId="77777777" w:rsidR="0035514B" w:rsidRPr="008874DE" w:rsidRDefault="0035514B" w:rsidP="0035514B">
      <w:pPr>
        <w:pStyle w:val="ListParagraph"/>
        <w:numPr>
          <w:ilvl w:val="0"/>
          <w:numId w:val="0"/>
        </w:numPr>
        <w:spacing w:before="240" w:line="259" w:lineRule="auto"/>
        <w:ind w:left="567"/>
        <w:contextualSpacing w:val="0"/>
        <w:rPr>
          <w:lang w:val="en-NZ"/>
        </w:rPr>
      </w:pPr>
    </w:p>
    <w:p w14:paraId="27A15864" w14:textId="7E6777A1" w:rsidR="00DF65F7" w:rsidRPr="008874DE" w:rsidRDefault="00275721" w:rsidP="00E61467">
      <w:pPr>
        <w:pStyle w:val="ListParagraph"/>
        <w:numPr>
          <w:ilvl w:val="0"/>
          <w:numId w:val="7"/>
        </w:numPr>
        <w:spacing w:before="240" w:line="259" w:lineRule="auto"/>
        <w:ind w:left="567" w:hanging="567"/>
        <w:contextualSpacing w:val="0"/>
        <w:rPr>
          <w:lang w:val="en-NZ"/>
        </w:rPr>
      </w:pPr>
      <w:r w:rsidRPr="008874DE">
        <w:rPr>
          <w:lang w:val="en-NZ"/>
        </w:rPr>
        <w:t xml:space="preserve">We </w:t>
      </w:r>
      <w:r w:rsidR="005E06C3" w:rsidRPr="008874DE">
        <w:rPr>
          <w:lang w:val="en-NZ"/>
        </w:rPr>
        <w:t xml:space="preserve">would like your feedback on </w:t>
      </w:r>
      <w:r w:rsidR="00BB38A6" w:rsidRPr="008874DE">
        <w:rPr>
          <w:lang w:val="en-NZ"/>
        </w:rPr>
        <w:t>a draft</w:t>
      </w:r>
      <w:r w:rsidRPr="008874DE">
        <w:rPr>
          <w:lang w:val="en-NZ"/>
        </w:rPr>
        <w:t xml:space="preserve"> definition of </w:t>
      </w:r>
      <w:r w:rsidR="005E06C3" w:rsidRPr="008874DE">
        <w:rPr>
          <w:lang w:val="en-NZ"/>
        </w:rPr>
        <w:t>‘mental health</w:t>
      </w:r>
      <w:r w:rsidR="00BB38A6" w:rsidRPr="008874DE">
        <w:rPr>
          <w:lang w:val="en-NZ"/>
        </w:rPr>
        <w:t xml:space="preserve"> services and addiction services’ </w:t>
      </w:r>
      <w:r w:rsidR="00BB38A6" w:rsidRPr="0009699E">
        <w:rPr>
          <w:lang w:val="en-NZ"/>
        </w:rPr>
        <w:t>that</w:t>
      </w:r>
      <w:r w:rsidR="00BB38A6" w:rsidRPr="008874DE">
        <w:rPr>
          <w:lang w:val="en-NZ"/>
        </w:rPr>
        <w:t xml:space="preserve"> we have built from a range of sources</w:t>
      </w:r>
      <w:r w:rsidR="009751CB" w:rsidRPr="008874DE">
        <w:rPr>
          <w:lang w:val="en-NZ"/>
        </w:rPr>
        <w:t xml:space="preserve"> (see </w:t>
      </w:r>
      <w:r w:rsidR="00CB2B0E" w:rsidRPr="008874DE">
        <w:rPr>
          <w:lang w:val="en-NZ"/>
        </w:rPr>
        <w:t xml:space="preserve">Appendix </w:t>
      </w:r>
      <w:r w:rsidR="00502672" w:rsidRPr="008874DE">
        <w:rPr>
          <w:lang w:val="en-NZ"/>
        </w:rPr>
        <w:t>2</w:t>
      </w:r>
      <w:r w:rsidR="00CB2B0E" w:rsidRPr="008874DE">
        <w:rPr>
          <w:lang w:val="en-NZ"/>
        </w:rPr>
        <w:t>)</w:t>
      </w:r>
      <w:r w:rsidR="005F0C64" w:rsidRPr="008874DE">
        <w:rPr>
          <w:lang w:val="en-NZ"/>
        </w:rPr>
        <w:t>.</w:t>
      </w:r>
      <w:r w:rsidR="00DF65F7" w:rsidRPr="008874DE">
        <w:rPr>
          <w:lang w:val="en-NZ"/>
        </w:rPr>
        <w:t xml:space="preserve"> Our draft definition is</w:t>
      </w:r>
      <w:r w:rsidR="00953CE4" w:rsidRPr="008874DE">
        <w:rPr>
          <w:lang w:val="en-NZ"/>
        </w:rPr>
        <w:t>:</w:t>
      </w:r>
    </w:p>
    <w:p w14:paraId="114B9B3B" w14:textId="0D6093E9" w:rsidR="005F0C64" w:rsidRPr="0009699E" w:rsidRDefault="009A286F" w:rsidP="008E6A7C">
      <w:pPr>
        <w:pStyle w:val="ListParagraph"/>
        <w:numPr>
          <w:ilvl w:val="0"/>
          <w:numId w:val="0"/>
        </w:numPr>
        <w:spacing w:line="259" w:lineRule="auto"/>
        <w:ind w:left="567"/>
        <w:rPr>
          <w:lang w:val="en-NZ"/>
        </w:rPr>
      </w:pPr>
      <w:r w:rsidRPr="0009699E">
        <w:rPr>
          <w:noProof/>
        </w:rPr>
        <mc:AlternateContent>
          <mc:Choice Requires="wps">
            <w:drawing>
              <wp:inline distT="0" distB="0" distL="0" distR="0" wp14:anchorId="73C8BEA7" wp14:editId="26987B1A">
                <wp:extent cx="5499873" cy="446405"/>
                <wp:effectExtent l="0" t="0" r="24765" b="10795"/>
                <wp:docPr id="29" name="Text Box 29"/>
                <wp:cNvGraphicFramePr/>
                <a:graphic xmlns:a="http://schemas.openxmlformats.org/drawingml/2006/main">
                  <a:graphicData uri="http://schemas.microsoft.com/office/word/2010/wordprocessingShape">
                    <wps:wsp>
                      <wps:cNvSpPr txBox="1"/>
                      <wps:spPr>
                        <a:xfrm>
                          <a:off x="0" y="0"/>
                          <a:ext cx="5499873" cy="446405"/>
                        </a:xfrm>
                        <a:prstGeom prst="rect">
                          <a:avLst/>
                        </a:prstGeom>
                        <a:solidFill>
                          <a:sysClr val="window" lastClr="FFFFFF"/>
                        </a:solidFill>
                        <a:ln w="19050">
                          <a:solidFill>
                            <a:srgbClr val="961E82"/>
                          </a:solidFill>
                        </a:ln>
                      </wps:spPr>
                      <wps:txbx>
                        <w:txbxContent>
                          <w:p w14:paraId="7230A5A7" w14:textId="242330DC" w:rsidR="00F75977" w:rsidRPr="0030546C" w:rsidRDefault="00F75977" w:rsidP="00F75977">
                            <w:pPr>
                              <w:rPr>
                                <w:b/>
                              </w:rPr>
                            </w:pPr>
                            <w:r w:rsidRPr="0030546C">
                              <w:rPr>
                                <w:b/>
                              </w:rPr>
                              <w:t>H</w:t>
                            </w:r>
                            <w:r>
                              <w:rPr>
                                <w:b/>
                              </w:rPr>
                              <w:t>auora</w:t>
                            </w:r>
                            <w:r w:rsidRPr="0030546C">
                              <w:rPr>
                                <w:b/>
                              </w:rPr>
                              <w:t xml:space="preserve"> services that </w:t>
                            </w:r>
                            <w:r>
                              <w:rPr>
                                <w:b/>
                              </w:rPr>
                              <w:t xml:space="preserve">are </w:t>
                            </w:r>
                            <w:r w:rsidRPr="0030546C">
                              <w:rPr>
                                <w:b/>
                              </w:rPr>
                              <w:t>respon</w:t>
                            </w:r>
                            <w:r>
                              <w:rPr>
                                <w:b/>
                              </w:rPr>
                              <w:t>sive</w:t>
                            </w:r>
                            <w:r w:rsidRPr="0030546C">
                              <w:rPr>
                                <w:b/>
                              </w:rPr>
                              <w:t xml:space="preserve"> to the </w:t>
                            </w:r>
                            <w:r w:rsidR="002C7D02">
                              <w:rPr>
                                <w:b/>
                              </w:rPr>
                              <w:t xml:space="preserve">wellbeing </w:t>
                            </w:r>
                            <w:r>
                              <w:rPr>
                                <w:b/>
                              </w:rPr>
                              <w:t xml:space="preserve">aspirations and </w:t>
                            </w:r>
                            <w:r w:rsidRPr="0030546C">
                              <w:rPr>
                                <w:b/>
                              </w:rPr>
                              <w:t>mental health and/or addiction needs of tangata whai ora and</w:t>
                            </w:r>
                            <w:r>
                              <w:rPr>
                                <w:b/>
                              </w:rPr>
                              <w:t>/or</w:t>
                            </w:r>
                            <w:r w:rsidRPr="0030546C">
                              <w:rPr>
                                <w:b/>
                              </w:rPr>
                              <w:t xml:space="preserve"> their whānau</w:t>
                            </w:r>
                            <w:r w:rsidRPr="0030546C" w:rsidDel="00E34362">
                              <w:rPr>
                                <w:b/>
                              </w:rPr>
                              <w:t xml:space="preserve"> </w:t>
                            </w:r>
                          </w:p>
                          <w:p w14:paraId="2EA344F5" w14:textId="0377FF51" w:rsidR="00903CCA" w:rsidRPr="00DF3D61" w:rsidRDefault="00903CCA" w:rsidP="00DF65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C8BEA7" id="Text Box 29" o:spid="_x0000_s1040" type="#_x0000_t202" style="width:433.0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laXQIAAL4EAAAOAAAAZHJzL2Uyb0RvYy54bWysVE1vGjEQvVfqf7B8bxbokgSUJaJJqSpF&#10;SaQkytl4vbCS1+Pahl366/vsBfLVU1UOZjwzno83b/bisms02yrnazIFH54MOFNGUlmbVcGfHhdf&#10;zjnzQZhSaDKq4Dvl+eXs86eL1k7ViNakS+UYghg/bW3B1yHYaZZ5uVaN8CdklYGxIteIgKtbZaUT&#10;LaI3OhsNBqdZS660jqTyHtrr3shnKX5VKRnuqsqrwHTBUVtIp0vnMp7Z7EJMV07YdS33ZYh/qKIR&#10;tUHSY6hrEQTbuPpDqKaWjjxV4URSk1FV1VKlHtDNcPCum4e1sCr1AnC8PcLk/19Yebu9d6wuCz6a&#10;cGZEgxk9qi6wb9QxqIBPa/0Ubg8WjqGDHnM+6D2Use2uck38R0MMdiC9O6Ibo0kox/lkcn72lTMJ&#10;W56f5oNxDJO9vLbOhx+KGhaFgjtML4Eqtjc+9K4Hl5jMk67LRa11uuz8lXZsKzBo8KOkljMtfICy&#10;4Iv022d780wb1qKfyWA8SKneGL1bLY9BJ6fD7+ejjzFQvzZoI8LUwxGl0C27BOswP2C1pHIHCB31&#10;JPRWLmr0eYMi74UD64AaNinc4ag0oSzaS5ytyf3+mz76gwywctaCxQX3vzbCKfT+04Amk2GeR9qn&#10;Sz4+G+HiXluWry1m01wR8BtiZ61MYvQP+iBWjppnLNw8ZoVJGIncBQ8H8Sr0u4WFlWo+T04guhXh&#10;xjxYGUPHYcUpPnbPwtn9qANIcksHvovpu4n3vvGlofkmUFUnOkSge1T3+GNJEqH2Cx238PU9eb18&#10;dmZ/AAAA//8DAFBLAwQUAAYACAAAACEAFNXYst4AAAAEAQAADwAAAGRycy9kb3ducmV2LnhtbEyP&#10;zWrDMBCE74W+g9hCb42UBhzjWg4hpIXmEJqfS26KtbVNpJWxZMft01fNpb0sDDPMfJsvRmvYgJ1v&#10;HEmYTgQwpNLphioJx8PrUwrMB0VaGUco4Qs9LIr7u1xl2l1ph8M+VCyWkM+UhDqENuPclzVa5Seu&#10;RYrep+usClF2FdedusZya/izEAm3qqG4UKsWVzWWl31vJbwN87T87penZPP+Ybazw3q3uQgpHx/G&#10;5QuwgGP4C8MvfkSHIjKdXU/aMyMhPhJuN3ppkkyBnSXMxQx4kfP/8MUPAAAA//8DAFBLAQItABQA&#10;BgAIAAAAIQC2gziS/gAAAOEBAAATAAAAAAAAAAAAAAAAAAAAAABbQ29udGVudF9UeXBlc10ueG1s&#10;UEsBAi0AFAAGAAgAAAAhADj9If/WAAAAlAEAAAsAAAAAAAAAAAAAAAAALwEAAF9yZWxzLy5yZWxz&#10;UEsBAi0AFAAGAAgAAAAhAGDreVpdAgAAvgQAAA4AAAAAAAAAAAAAAAAALgIAAGRycy9lMm9Eb2Mu&#10;eG1sUEsBAi0AFAAGAAgAAAAhABTV2LLeAAAABAEAAA8AAAAAAAAAAAAAAAAAtwQAAGRycy9kb3du&#10;cmV2LnhtbFBLBQYAAAAABAAEAPMAAADCBQAAAAA=&#10;" fillcolor="window" strokecolor="#961e82" strokeweight="1.5pt">
                <v:textbox>
                  <w:txbxContent>
                    <w:p w14:paraId="7230A5A7" w14:textId="242330DC" w:rsidR="00F75977" w:rsidRPr="0030546C" w:rsidRDefault="00F75977" w:rsidP="00F75977">
                      <w:pPr>
                        <w:rPr>
                          <w:b/>
                        </w:rPr>
                      </w:pPr>
                      <w:r w:rsidRPr="0030546C">
                        <w:rPr>
                          <w:b/>
                        </w:rPr>
                        <w:t>H</w:t>
                      </w:r>
                      <w:r>
                        <w:rPr>
                          <w:b/>
                        </w:rPr>
                        <w:t>auora</w:t>
                      </w:r>
                      <w:r w:rsidRPr="0030546C">
                        <w:rPr>
                          <w:b/>
                        </w:rPr>
                        <w:t xml:space="preserve"> services that </w:t>
                      </w:r>
                      <w:r>
                        <w:rPr>
                          <w:b/>
                        </w:rPr>
                        <w:t xml:space="preserve">are </w:t>
                      </w:r>
                      <w:r w:rsidRPr="0030546C">
                        <w:rPr>
                          <w:b/>
                        </w:rPr>
                        <w:t>respon</w:t>
                      </w:r>
                      <w:r>
                        <w:rPr>
                          <w:b/>
                        </w:rPr>
                        <w:t>sive</w:t>
                      </w:r>
                      <w:r w:rsidRPr="0030546C">
                        <w:rPr>
                          <w:b/>
                        </w:rPr>
                        <w:t xml:space="preserve"> to the </w:t>
                      </w:r>
                      <w:r w:rsidR="002C7D02">
                        <w:rPr>
                          <w:b/>
                        </w:rPr>
                        <w:t xml:space="preserve">wellbeing </w:t>
                      </w:r>
                      <w:r>
                        <w:rPr>
                          <w:b/>
                        </w:rPr>
                        <w:t xml:space="preserve">aspirations and </w:t>
                      </w:r>
                      <w:r w:rsidRPr="0030546C">
                        <w:rPr>
                          <w:b/>
                        </w:rPr>
                        <w:t>mental health and/or addiction needs of tangata whai ora and</w:t>
                      </w:r>
                      <w:r>
                        <w:rPr>
                          <w:b/>
                        </w:rPr>
                        <w:t>/or</w:t>
                      </w:r>
                      <w:r w:rsidRPr="0030546C">
                        <w:rPr>
                          <w:b/>
                        </w:rPr>
                        <w:t xml:space="preserve"> their whānau</w:t>
                      </w:r>
                      <w:r w:rsidRPr="0030546C" w:rsidDel="00E34362">
                        <w:rPr>
                          <w:b/>
                        </w:rPr>
                        <w:t xml:space="preserve"> </w:t>
                      </w:r>
                    </w:p>
                    <w:p w14:paraId="2EA344F5" w14:textId="0377FF51" w:rsidR="00903CCA" w:rsidRPr="00DF3D61" w:rsidRDefault="00903CCA" w:rsidP="00DF65F7"/>
                  </w:txbxContent>
                </v:textbox>
                <w10:anchorlock/>
              </v:shape>
            </w:pict>
          </mc:Fallback>
        </mc:AlternateContent>
      </w:r>
    </w:p>
    <w:p w14:paraId="6AAA3F09" w14:textId="77777777" w:rsidR="00F75977" w:rsidRPr="008874DE" w:rsidRDefault="00F75977" w:rsidP="00E61467">
      <w:pPr>
        <w:pStyle w:val="ListParagraph"/>
        <w:numPr>
          <w:ilvl w:val="0"/>
          <w:numId w:val="7"/>
        </w:numPr>
        <w:spacing w:before="240" w:after="240" w:line="259" w:lineRule="auto"/>
        <w:ind w:left="567" w:hanging="567"/>
        <w:contextualSpacing w:val="0"/>
      </w:pPr>
      <w:r w:rsidRPr="008874DE">
        <w:t xml:space="preserve">The </w:t>
      </w:r>
      <w:r w:rsidRPr="008874DE">
        <w:rPr>
          <w:lang w:val="en-NZ"/>
        </w:rPr>
        <w:t>core</w:t>
      </w:r>
      <w:r w:rsidRPr="008874DE">
        <w:t xml:space="preserve"> components of this definition are set out below:</w:t>
      </w:r>
    </w:p>
    <w:p w14:paraId="20411D3B" w14:textId="77777777" w:rsidR="00F75977" w:rsidRPr="008874DE" w:rsidRDefault="00F75977" w:rsidP="00F75977">
      <w:pPr>
        <w:pStyle w:val="ListParagraph"/>
        <w:numPr>
          <w:ilvl w:val="0"/>
          <w:numId w:val="15"/>
        </w:numPr>
        <w:spacing w:before="240"/>
      </w:pPr>
      <w:r w:rsidRPr="008874DE">
        <w:t xml:space="preserve">Hauora services – is to be interpreted in line with the Health and Disability Commissioner Act 1994 definition of health services to include services to promote and protect health, prevent ill-health, and to treat, diagnose or rehabilitate regardless of who funds or delivers the service. Any person receiving the service would have the rights afforded to them under the Health and Disability Services Consumers’ Code of Rights, including the right to complain about that service.  </w:t>
      </w:r>
    </w:p>
    <w:p w14:paraId="7D0B158E" w14:textId="77777777" w:rsidR="00F75977" w:rsidRPr="008874DE" w:rsidRDefault="00F75977" w:rsidP="00F75977">
      <w:pPr>
        <w:pStyle w:val="ListParagraph"/>
      </w:pPr>
      <w:r w:rsidRPr="008874DE">
        <w:t xml:space="preserve">Aspirations and needs – focuses on what matters to tangata whai ora and/or their whānau rather than a particular service delivery model, and is designed to be flexible over time as aspirations, needs and expectations change.   </w:t>
      </w:r>
    </w:p>
    <w:p w14:paraId="2D46E079" w14:textId="3BBCFB67" w:rsidR="00F75977" w:rsidRPr="008874DE" w:rsidRDefault="00F75977" w:rsidP="00F75977">
      <w:pPr>
        <w:pStyle w:val="ListParagraph"/>
        <w:rPr>
          <w:lang w:val="mi-NZ"/>
        </w:rPr>
      </w:pPr>
      <w:r w:rsidRPr="008874DE">
        <w:lastRenderedPageBreak/>
        <w:t>Tangata whai ora and/or their whānau – services that are delivered to individuals and whānau (including in group settings). Health promotion and community development is excluded from this definition</w:t>
      </w:r>
      <w:r w:rsidR="008466EE" w:rsidRPr="008874DE">
        <w:t xml:space="preserve"> </w:t>
      </w:r>
      <w:r w:rsidRPr="008874DE">
        <w:t xml:space="preserve">but captured by approaches. </w:t>
      </w:r>
    </w:p>
    <w:p w14:paraId="293F39AF" w14:textId="63A47589" w:rsidR="00EB0FDC" w:rsidRPr="008874DE" w:rsidRDefault="00CB6FD4" w:rsidP="00575A73">
      <w:pPr>
        <w:pStyle w:val="Heading3"/>
        <w:rPr>
          <w:rFonts w:cs="Arial"/>
        </w:rPr>
      </w:pPr>
      <w:bookmarkStart w:id="11" w:name="_Toc55818791"/>
      <w:r w:rsidRPr="008874DE">
        <w:rPr>
          <w:rFonts w:cs="Arial"/>
        </w:rPr>
        <w:t>Facto</w:t>
      </w:r>
      <w:r w:rsidR="00575A73" w:rsidRPr="008874DE">
        <w:rPr>
          <w:rFonts w:cs="Arial"/>
        </w:rPr>
        <w:t>rs to take into account</w:t>
      </w:r>
      <w:r w:rsidR="00BB46CD" w:rsidRPr="008874DE">
        <w:rPr>
          <w:rFonts w:cs="Arial"/>
        </w:rPr>
        <w:t xml:space="preserve"> when applying the definition</w:t>
      </w:r>
      <w:bookmarkEnd w:id="11"/>
    </w:p>
    <w:p w14:paraId="7486CD9D" w14:textId="18757D24" w:rsidR="00CD24E9" w:rsidRPr="008874DE" w:rsidRDefault="00BC1CE3" w:rsidP="002F5E93">
      <w:pPr>
        <w:pStyle w:val="ListParagraph"/>
        <w:numPr>
          <w:ilvl w:val="0"/>
          <w:numId w:val="7"/>
        </w:numPr>
        <w:spacing w:line="259" w:lineRule="auto"/>
        <w:ind w:left="567" w:hanging="567"/>
        <w:rPr>
          <w:lang w:val="en-NZ"/>
        </w:rPr>
      </w:pPr>
      <w:r w:rsidRPr="008874DE">
        <w:rPr>
          <w:lang w:val="mi-NZ"/>
        </w:rPr>
        <w:t xml:space="preserve">Even with a definition of mental health services and addiction services there </w:t>
      </w:r>
      <w:r w:rsidR="009C7703" w:rsidRPr="008874DE">
        <w:rPr>
          <w:lang w:val="mi-NZ"/>
        </w:rPr>
        <w:t xml:space="preserve">will be grey areas. To help navigate those grey areas, </w:t>
      </w:r>
      <w:r w:rsidR="00CD24E9" w:rsidRPr="008874DE">
        <w:rPr>
          <w:lang w:val="mi-NZ"/>
        </w:rPr>
        <w:t>f</w:t>
      </w:r>
      <w:r w:rsidR="00CD24E9" w:rsidRPr="0009699E">
        <w:t xml:space="preserve">actors could be applied to differentiate whether a service is a ‘mental health service and addiction service’ as distinct from other health or wellbeing services. These </w:t>
      </w:r>
      <w:r w:rsidR="00BB46CD" w:rsidRPr="0009699E">
        <w:t xml:space="preserve">factors </w:t>
      </w:r>
      <w:r w:rsidR="00CD24E9" w:rsidRPr="0009699E">
        <w:t>could include</w:t>
      </w:r>
      <w:r w:rsidR="00323E00" w:rsidRPr="0009699E">
        <w:t xml:space="preserve"> whether</w:t>
      </w:r>
      <w:r w:rsidR="00CD24E9" w:rsidRPr="0009699E">
        <w:t>:</w:t>
      </w:r>
    </w:p>
    <w:p w14:paraId="728AFB5D" w14:textId="77777777" w:rsidR="00CD24E9" w:rsidRPr="0009699E" w:rsidRDefault="00CD24E9" w:rsidP="00CD3206">
      <w:pPr>
        <w:pStyle w:val="ListParagraph"/>
        <w:numPr>
          <w:ilvl w:val="3"/>
          <w:numId w:val="11"/>
        </w:numPr>
        <w:spacing w:line="259" w:lineRule="auto"/>
        <w:ind w:left="1276" w:hanging="425"/>
      </w:pPr>
      <w:r w:rsidRPr="0009699E">
        <w:t>the primary reason for accessing the service was for a mental health or addiction need</w:t>
      </w:r>
    </w:p>
    <w:p w14:paraId="58DA1E63" w14:textId="77777777" w:rsidR="00CD24E9" w:rsidRPr="0009699E" w:rsidRDefault="00CD24E9" w:rsidP="00CD3206">
      <w:pPr>
        <w:pStyle w:val="ListParagraph"/>
        <w:numPr>
          <w:ilvl w:val="3"/>
          <w:numId w:val="11"/>
        </w:numPr>
        <w:spacing w:line="259" w:lineRule="auto"/>
        <w:ind w:left="1276" w:hanging="425"/>
      </w:pPr>
      <w:r w:rsidRPr="0009699E">
        <w:t>the service provided responded to a mental health or addiction need</w:t>
      </w:r>
    </w:p>
    <w:p w14:paraId="42CCA2B1" w14:textId="77777777" w:rsidR="00CD24E9" w:rsidRPr="0009699E" w:rsidRDefault="00CD24E9" w:rsidP="00CD3206">
      <w:pPr>
        <w:pStyle w:val="ListParagraph"/>
        <w:numPr>
          <w:ilvl w:val="3"/>
          <w:numId w:val="11"/>
        </w:numPr>
        <w:spacing w:line="259" w:lineRule="auto"/>
        <w:ind w:left="1276" w:hanging="425"/>
      </w:pPr>
      <w:r w:rsidRPr="0009699E">
        <w:t>mental health and addiction workforce training is required to deliver the service</w:t>
      </w:r>
    </w:p>
    <w:p w14:paraId="351066D0" w14:textId="62E339B4" w:rsidR="00CD24E9" w:rsidRPr="0009699E" w:rsidRDefault="00CD24E9" w:rsidP="00CD3206">
      <w:pPr>
        <w:pStyle w:val="ListParagraph"/>
        <w:numPr>
          <w:ilvl w:val="3"/>
          <w:numId w:val="11"/>
        </w:numPr>
        <w:spacing w:line="259" w:lineRule="auto"/>
        <w:ind w:left="1276" w:hanging="425"/>
      </w:pPr>
      <w:r w:rsidRPr="0009699E">
        <w:t xml:space="preserve">the intention of the funder is for the delivery of mental health and addiction </w:t>
      </w:r>
      <w:r w:rsidR="00E22D4E" w:rsidRPr="0009699E">
        <w:t>support</w:t>
      </w:r>
    </w:p>
    <w:p w14:paraId="5144FB80" w14:textId="41D5EDBF" w:rsidR="00CD24E9" w:rsidRPr="0009699E" w:rsidRDefault="00CD24E9" w:rsidP="00CD3206">
      <w:pPr>
        <w:pStyle w:val="ListParagraph"/>
        <w:numPr>
          <w:ilvl w:val="3"/>
          <w:numId w:val="11"/>
        </w:numPr>
        <w:spacing w:line="259" w:lineRule="auto"/>
        <w:ind w:left="1276" w:hanging="425"/>
        <w:rPr>
          <w:b/>
        </w:rPr>
      </w:pPr>
      <w:r w:rsidRPr="0009699E">
        <w:t>the service is provided to individuals (including whānau and group settings) as opposed to the public or population</w:t>
      </w:r>
      <w:r w:rsidR="001F3381" w:rsidRPr="0009699E">
        <w:t>s</w:t>
      </w:r>
      <w:r w:rsidRPr="0009699E">
        <w:t>.</w:t>
      </w:r>
    </w:p>
    <w:p w14:paraId="470E832A" w14:textId="77777777" w:rsidR="00040021" w:rsidRPr="0009699E" w:rsidRDefault="00040021" w:rsidP="008E6A7C">
      <w:pPr>
        <w:pStyle w:val="ListParagraph"/>
        <w:numPr>
          <w:ilvl w:val="0"/>
          <w:numId w:val="0"/>
        </w:numPr>
        <w:spacing w:line="259" w:lineRule="auto"/>
        <w:ind w:left="1418"/>
        <w:rPr>
          <w:b/>
        </w:rPr>
      </w:pPr>
    </w:p>
    <w:p w14:paraId="2C33257B" w14:textId="626A20D2" w:rsidR="001C3DB1" w:rsidRPr="0009699E" w:rsidRDefault="00040021" w:rsidP="008E6A7C">
      <w:pPr>
        <w:ind w:firstLine="567"/>
        <w:rPr>
          <w:rFonts w:cs="Arial"/>
          <w:lang w:val="en-NZ"/>
        </w:rPr>
      </w:pPr>
      <w:r w:rsidRPr="0009699E">
        <w:rPr>
          <w:rFonts w:cs="Arial"/>
          <w:b/>
          <w:noProof/>
        </w:rPr>
        <mc:AlternateContent>
          <mc:Choice Requires="wps">
            <w:drawing>
              <wp:inline distT="0" distB="0" distL="0" distR="0" wp14:anchorId="1D9BE75A" wp14:editId="0D52E57F">
                <wp:extent cx="5524500" cy="2402006"/>
                <wp:effectExtent l="0" t="0" r="19050" b="17780"/>
                <wp:docPr id="14" name="Text Box 14"/>
                <wp:cNvGraphicFramePr/>
                <a:graphic xmlns:a="http://schemas.openxmlformats.org/drawingml/2006/main">
                  <a:graphicData uri="http://schemas.microsoft.com/office/word/2010/wordprocessingShape">
                    <wps:wsp>
                      <wps:cNvSpPr txBox="1"/>
                      <wps:spPr>
                        <a:xfrm>
                          <a:off x="0" y="0"/>
                          <a:ext cx="5524500" cy="2402006"/>
                        </a:xfrm>
                        <a:prstGeom prst="rect">
                          <a:avLst/>
                        </a:prstGeom>
                        <a:solidFill>
                          <a:schemeClr val="lt1"/>
                        </a:solidFill>
                        <a:ln w="6350">
                          <a:solidFill>
                            <a:prstClr val="black"/>
                          </a:solidFill>
                        </a:ln>
                      </wps:spPr>
                      <wps:txbx>
                        <w:txbxContent>
                          <w:p w14:paraId="537E05D9" w14:textId="6CEEFFB8" w:rsidR="00903CCA" w:rsidRPr="00C16348" w:rsidRDefault="00903CCA" w:rsidP="00040021">
                            <w:pPr>
                              <w:spacing w:line="276" w:lineRule="auto"/>
                              <w:rPr>
                                <w:b/>
                                <w:lang w:val="en-NZ"/>
                              </w:rPr>
                            </w:pPr>
                            <w:r>
                              <w:rPr>
                                <w:b/>
                                <w:lang w:val="en-NZ"/>
                              </w:rPr>
                              <w:t>Co-define question 2</w:t>
                            </w:r>
                            <w:r w:rsidRPr="00C16348">
                              <w:rPr>
                                <w:b/>
                                <w:lang w:val="en-NZ"/>
                              </w:rPr>
                              <w:t>:</w:t>
                            </w:r>
                            <w:r>
                              <w:rPr>
                                <w:b/>
                                <w:lang w:val="en-NZ"/>
                              </w:rPr>
                              <w:t xml:space="preserve"> Monitor what?</w:t>
                            </w:r>
                            <w:r w:rsidRPr="00C16348">
                              <w:rPr>
                                <w:b/>
                                <w:lang w:val="en-NZ"/>
                              </w:rPr>
                              <w:t xml:space="preserve"> </w:t>
                            </w:r>
                          </w:p>
                          <w:p w14:paraId="1E77555A" w14:textId="59E03EA7" w:rsidR="00903CCA" w:rsidRPr="00120F42" w:rsidRDefault="00903CCA" w:rsidP="00120F42">
                            <w:pPr>
                              <w:spacing w:after="0" w:line="276" w:lineRule="auto"/>
                              <w:ind w:left="714" w:hanging="357"/>
                              <w:rPr>
                                <w:i/>
                                <w:lang w:val="en-NZ"/>
                              </w:rPr>
                            </w:pPr>
                            <w:r>
                              <w:rPr>
                                <w:i/>
                                <w:lang w:val="en-NZ"/>
                              </w:rPr>
                              <w:t>Definition of a mental health service and addiction service</w:t>
                            </w:r>
                          </w:p>
                          <w:p w14:paraId="51977F28" w14:textId="60260831" w:rsidR="00903CCA" w:rsidRDefault="00903CCA" w:rsidP="002F5E93">
                            <w:pPr>
                              <w:pStyle w:val="ListParagraph"/>
                              <w:numPr>
                                <w:ilvl w:val="0"/>
                                <w:numId w:val="9"/>
                              </w:numPr>
                              <w:spacing w:before="0" w:line="276" w:lineRule="auto"/>
                              <w:ind w:left="714" w:hanging="357"/>
                              <w:rPr>
                                <w:lang w:val="en-NZ"/>
                              </w:rPr>
                            </w:pPr>
                            <w:r w:rsidRPr="00A84586">
                              <w:rPr>
                                <w:lang w:val="en-NZ"/>
                              </w:rPr>
                              <w:t xml:space="preserve">What </w:t>
                            </w:r>
                            <w:r>
                              <w:rPr>
                                <w:lang w:val="en-NZ"/>
                              </w:rPr>
                              <w:t xml:space="preserve">are your views on the draft definition of mental health services and addiction services? </w:t>
                            </w:r>
                            <w:r w:rsidR="00507F20">
                              <w:rPr>
                                <w:lang w:val="en-NZ"/>
                              </w:rPr>
                              <w:t>How could it be improved</w:t>
                            </w:r>
                            <w:r w:rsidR="002C2CBC">
                              <w:rPr>
                                <w:lang w:val="en-NZ"/>
                              </w:rPr>
                              <w:t>?</w:t>
                            </w:r>
                          </w:p>
                          <w:p w14:paraId="6D57577A" w14:textId="7E116E22" w:rsidR="00903CCA" w:rsidRDefault="00903CCA" w:rsidP="002F5E93">
                            <w:pPr>
                              <w:pStyle w:val="ListParagraph"/>
                              <w:numPr>
                                <w:ilvl w:val="0"/>
                                <w:numId w:val="9"/>
                              </w:numPr>
                              <w:spacing w:line="276" w:lineRule="auto"/>
                              <w:rPr>
                                <w:lang w:val="en-NZ"/>
                              </w:rPr>
                            </w:pPr>
                            <w:r>
                              <w:rPr>
                                <w:lang w:val="en-NZ"/>
                              </w:rPr>
                              <w:t>Are you aware of any other definitions of mental health and/or addiction services that can be drawn on?</w:t>
                            </w:r>
                          </w:p>
                          <w:p w14:paraId="272859A4" w14:textId="27C5DD2C" w:rsidR="00903CCA" w:rsidRPr="00120F42" w:rsidRDefault="00903CCA" w:rsidP="00D31F27">
                            <w:pPr>
                              <w:spacing w:after="0" w:line="276" w:lineRule="auto"/>
                              <w:ind w:left="357"/>
                              <w:rPr>
                                <w:i/>
                                <w:lang w:val="en-NZ"/>
                              </w:rPr>
                            </w:pPr>
                            <w:r>
                              <w:rPr>
                                <w:i/>
                                <w:lang w:val="en-NZ"/>
                              </w:rPr>
                              <w:t>Factors to help apply the definition in practice</w:t>
                            </w:r>
                          </w:p>
                          <w:p w14:paraId="21547856" w14:textId="48CEDDAE" w:rsidR="00903CCA" w:rsidRDefault="00903CCA" w:rsidP="002F5E93">
                            <w:pPr>
                              <w:pStyle w:val="ListParagraph"/>
                              <w:numPr>
                                <w:ilvl w:val="0"/>
                                <w:numId w:val="9"/>
                              </w:numPr>
                              <w:spacing w:before="0" w:line="276" w:lineRule="auto"/>
                              <w:ind w:left="714" w:hanging="357"/>
                              <w:rPr>
                                <w:lang w:val="en-NZ"/>
                              </w:rPr>
                            </w:pPr>
                            <w:r>
                              <w:rPr>
                                <w:lang w:val="en-NZ"/>
                              </w:rPr>
                              <w:t>Are factors needed to further define mental health services and addiction services in practice?</w:t>
                            </w:r>
                          </w:p>
                          <w:p w14:paraId="714E19C5" w14:textId="2080EED3" w:rsidR="00903CCA" w:rsidRPr="00621C70" w:rsidRDefault="00903CCA" w:rsidP="00040021">
                            <w:pPr>
                              <w:pStyle w:val="ListParagraph"/>
                              <w:numPr>
                                <w:ilvl w:val="0"/>
                                <w:numId w:val="9"/>
                              </w:numPr>
                              <w:spacing w:line="276" w:lineRule="auto"/>
                              <w:rPr>
                                <w:lang w:val="en-NZ"/>
                              </w:rPr>
                            </w:pPr>
                            <w:r>
                              <w:rPr>
                                <w:lang w:val="en-NZ"/>
                              </w:rPr>
                              <w:t>What are your views of the listed factors? Are any missing? Are some more important than others?</w:t>
                            </w:r>
                          </w:p>
                          <w:p w14:paraId="5C3F9898" w14:textId="77777777" w:rsidR="00903CCA" w:rsidRDefault="00903CCA" w:rsidP="000400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9BE75A" id="Text Box 14" o:spid="_x0000_s1041" type="#_x0000_t202" style="width:435pt;height:18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205TgIAAKwEAAAOAAAAZHJzL2Uyb0RvYy54bWysVMFuGjEQvVfqP1i+l10opCnKEtFEVJVQ&#10;EolUORuvN6zq9bi2YZd+fZ+9QEjaU9WLGc+8fZ55M8PVdddotlPO12QKPhzknCkjqazNc8G/Py4+&#10;XHLmgzCl0GRUwffK8+vZ+3dXrZ2qEW1Il8oxkBg/bW3BNyHYaZZ5uVGN8AOyyiBYkWtEwNU9Z6UT&#10;LdgbnY3y/CJryZXWkVTew3vbB/ks8VeVkuG+qrwKTBccuYV0unSu45nNrsT02Qm7qeUhDfEPWTSi&#10;Nnj0RHUrgmBbV/9B1dTSkacqDCQ1GVVVLVWqAdUM8zfVrDbCqlQLxPH2JJP/f7TybvfgWF2id2PO&#10;jGjQo0fVBfaFOgYX9GmtnwK2sgCGDn5gj34PZyy7q1wTf1EQQxxK70/qRjYJ52QyGk9yhCRio3Ee&#10;2xd5spfPrfPhq6KGRaPgDu1Lqord0oceeoTE1zzpulzUWqdLHBl1ox3bCTRbh5QkyF+htGFtwS8+&#10;TvJE/CoWqU/fr7WQPw7pnaHApw1yjqL0xUcrdOuuF3FyVGZN5R6COepHzlu5qMG/FD48CIcZgxDY&#10;m3CPo9KEpOhgcbYh9+tv/ohH6xHlrMXMFtz/3AqnONPfDIbi83A8jkOeLuPJpxEu7jyyPo+YbXND&#10;UGqIDbUymREf9NGsHDVPWK95fBUhYSTeLng4mjeh3ySsp1TzeQJhrK0IS7OyMlLHzkRdH7sn4eyh&#10;rwEjcUfH6RbTN+3tsfFLQ/NtoKpOvY9C96oe9MdKpOk5rG/cufN7Qr38ycx+AwAA//8DAFBLAwQU&#10;AAYACAAAACEAJ+XhHdkAAAAFAQAADwAAAGRycy9kb3ducmV2LnhtbEyPwU7DMBBE70j8g7VI3KgD&#10;lagJcSpAhQsnCuK8jbe2RWxHsZuGv2fhQi8jjWY187ZZz6EXE43Zp6jhelGBoNgl46PV8PH+fKVA&#10;5ILRYJ8iafimDOv2/KzB2qRjfKNpW6zgkphr1OBKGWopc+coYF6kgSJn+zQGLGxHK82IRy4Pvbyp&#10;qlsZ0EdecDjQk6Pua3sIGjaP9s52Cke3Ucb7af7cv9oXrS8v5od7EIXm8n8Mv/iMDi0z7dIhmix6&#10;DfxI+VPO1Kpiu9OwXKklyLaRp/TtDwAAAP//AwBQSwECLQAUAAYACAAAACEAtoM4kv4AAADhAQAA&#10;EwAAAAAAAAAAAAAAAAAAAAAAW0NvbnRlbnRfVHlwZXNdLnhtbFBLAQItABQABgAIAAAAIQA4/SH/&#10;1gAAAJQBAAALAAAAAAAAAAAAAAAAAC8BAABfcmVscy8ucmVsc1BLAQItABQABgAIAAAAIQCtx205&#10;TgIAAKwEAAAOAAAAAAAAAAAAAAAAAC4CAABkcnMvZTJvRG9jLnhtbFBLAQItABQABgAIAAAAIQAn&#10;5eEd2QAAAAUBAAAPAAAAAAAAAAAAAAAAAKgEAABkcnMvZG93bnJldi54bWxQSwUGAAAAAAQABADz&#10;AAAArgUAAAAA&#10;" fillcolor="white [3201]" strokeweight=".5pt">
                <v:textbox>
                  <w:txbxContent>
                    <w:p w14:paraId="537E05D9" w14:textId="6CEEFFB8" w:rsidR="00903CCA" w:rsidRPr="00C16348" w:rsidRDefault="00903CCA" w:rsidP="00040021">
                      <w:pPr>
                        <w:spacing w:line="276" w:lineRule="auto"/>
                        <w:rPr>
                          <w:b/>
                          <w:lang w:val="en-NZ"/>
                        </w:rPr>
                      </w:pPr>
                      <w:r>
                        <w:rPr>
                          <w:b/>
                          <w:lang w:val="en-NZ"/>
                        </w:rPr>
                        <w:t>Co-define question 2</w:t>
                      </w:r>
                      <w:r w:rsidRPr="00C16348">
                        <w:rPr>
                          <w:b/>
                          <w:lang w:val="en-NZ"/>
                        </w:rPr>
                        <w:t>:</w:t>
                      </w:r>
                      <w:r>
                        <w:rPr>
                          <w:b/>
                          <w:lang w:val="en-NZ"/>
                        </w:rPr>
                        <w:t xml:space="preserve"> Monitor what?</w:t>
                      </w:r>
                      <w:r w:rsidRPr="00C16348">
                        <w:rPr>
                          <w:b/>
                          <w:lang w:val="en-NZ"/>
                        </w:rPr>
                        <w:t xml:space="preserve"> </w:t>
                      </w:r>
                    </w:p>
                    <w:p w14:paraId="1E77555A" w14:textId="59E03EA7" w:rsidR="00903CCA" w:rsidRPr="00120F42" w:rsidRDefault="00903CCA" w:rsidP="00120F42">
                      <w:pPr>
                        <w:spacing w:after="0" w:line="276" w:lineRule="auto"/>
                        <w:ind w:left="714" w:hanging="357"/>
                        <w:rPr>
                          <w:i/>
                          <w:lang w:val="en-NZ"/>
                        </w:rPr>
                      </w:pPr>
                      <w:r>
                        <w:rPr>
                          <w:i/>
                          <w:lang w:val="en-NZ"/>
                        </w:rPr>
                        <w:t>Definition of a mental health service and addiction service</w:t>
                      </w:r>
                    </w:p>
                    <w:p w14:paraId="51977F28" w14:textId="60260831" w:rsidR="00903CCA" w:rsidRDefault="00903CCA" w:rsidP="002F5E93">
                      <w:pPr>
                        <w:pStyle w:val="ListParagraph"/>
                        <w:numPr>
                          <w:ilvl w:val="0"/>
                          <w:numId w:val="9"/>
                        </w:numPr>
                        <w:spacing w:before="0" w:line="276" w:lineRule="auto"/>
                        <w:ind w:left="714" w:hanging="357"/>
                        <w:rPr>
                          <w:lang w:val="en-NZ"/>
                        </w:rPr>
                      </w:pPr>
                      <w:r w:rsidRPr="00A84586">
                        <w:rPr>
                          <w:lang w:val="en-NZ"/>
                        </w:rPr>
                        <w:t xml:space="preserve">What </w:t>
                      </w:r>
                      <w:r>
                        <w:rPr>
                          <w:lang w:val="en-NZ"/>
                        </w:rPr>
                        <w:t xml:space="preserve">are your views on the draft definition of mental health services and addiction services? </w:t>
                      </w:r>
                      <w:r w:rsidR="00507F20">
                        <w:rPr>
                          <w:lang w:val="en-NZ"/>
                        </w:rPr>
                        <w:t>How could it be improved</w:t>
                      </w:r>
                      <w:r w:rsidR="002C2CBC">
                        <w:rPr>
                          <w:lang w:val="en-NZ"/>
                        </w:rPr>
                        <w:t>?</w:t>
                      </w:r>
                    </w:p>
                    <w:p w14:paraId="6D57577A" w14:textId="7E116E22" w:rsidR="00903CCA" w:rsidRDefault="00903CCA" w:rsidP="002F5E93">
                      <w:pPr>
                        <w:pStyle w:val="ListParagraph"/>
                        <w:numPr>
                          <w:ilvl w:val="0"/>
                          <w:numId w:val="9"/>
                        </w:numPr>
                        <w:spacing w:line="276" w:lineRule="auto"/>
                        <w:rPr>
                          <w:lang w:val="en-NZ"/>
                        </w:rPr>
                      </w:pPr>
                      <w:r>
                        <w:rPr>
                          <w:lang w:val="en-NZ"/>
                        </w:rPr>
                        <w:t>Are you aware of any other definitions of mental health and/or addiction services that can be drawn on?</w:t>
                      </w:r>
                    </w:p>
                    <w:p w14:paraId="272859A4" w14:textId="27C5DD2C" w:rsidR="00903CCA" w:rsidRPr="00120F42" w:rsidRDefault="00903CCA" w:rsidP="00D31F27">
                      <w:pPr>
                        <w:spacing w:after="0" w:line="276" w:lineRule="auto"/>
                        <w:ind w:left="357"/>
                        <w:rPr>
                          <w:i/>
                          <w:lang w:val="en-NZ"/>
                        </w:rPr>
                      </w:pPr>
                      <w:r>
                        <w:rPr>
                          <w:i/>
                          <w:lang w:val="en-NZ"/>
                        </w:rPr>
                        <w:t>Factors to help apply the definition in practice</w:t>
                      </w:r>
                    </w:p>
                    <w:p w14:paraId="21547856" w14:textId="48CEDDAE" w:rsidR="00903CCA" w:rsidRDefault="00903CCA" w:rsidP="002F5E93">
                      <w:pPr>
                        <w:pStyle w:val="ListParagraph"/>
                        <w:numPr>
                          <w:ilvl w:val="0"/>
                          <w:numId w:val="9"/>
                        </w:numPr>
                        <w:spacing w:before="0" w:line="276" w:lineRule="auto"/>
                        <w:ind w:left="714" w:hanging="357"/>
                        <w:rPr>
                          <w:lang w:val="en-NZ"/>
                        </w:rPr>
                      </w:pPr>
                      <w:r>
                        <w:rPr>
                          <w:lang w:val="en-NZ"/>
                        </w:rPr>
                        <w:t>Are factors needed to further define mental health services and addiction services in practice?</w:t>
                      </w:r>
                    </w:p>
                    <w:p w14:paraId="714E19C5" w14:textId="2080EED3" w:rsidR="00903CCA" w:rsidRPr="00621C70" w:rsidRDefault="00903CCA" w:rsidP="00040021">
                      <w:pPr>
                        <w:pStyle w:val="ListParagraph"/>
                        <w:numPr>
                          <w:ilvl w:val="0"/>
                          <w:numId w:val="9"/>
                        </w:numPr>
                        <w:spacing w:line="276" w:lineRule="auto"/>
                        <w:rPr>
                          <w:lang w:val="en-NZ"/>
                        </w:rPr>
                      </w:pPr>
                      <w:r>
                        <w:rPr>
                          <w:lang w:val="en-NZ"/>
                        </w:rPr>
                        <w:t>What are your views of the listed factors? Are any missing? Are some more important than others?</w:t>
                      </w:r>
                    </w:p>
                    <w:p w14:paraId="5C3F9898" w14:textId="77777777" w:rsidR="00903CCA" w:rsidRDefault="00903CCA" w:rsidP="00040021"/>
                  </w:txbxContent>
                </v:textbox>
                <w10:anchorlock/>
              </v:shape>
            </w:pict>
          </mc:Fallback>
        </mc:AlternateContent>
      </w:r>
    </w:p>
    <w:p w14:paraId="64559E64" w14:textId="77777777" w:rsidR="00040021" w:rsidRPr="008874DE" w:rsidRDefault="00040021" w:rsidP="008E6A7C">
      <w:pPr>
        <w:pStyle w:val="ListParagraph"/>
        <w:numPr>
          <w:ilvl w:val="0"/>
          <w:numId w:val="0"/>
        </w:numPr>
        <w:spacing w:line="259" w:lineRule="auto"/>
        <w:ind w:left="567"/>
        <w:rPr>
          <w:lang w:val="en-NZ"/>
        </w:rPr>
      </w:pPr>
    </w:p>
    <w:p w14:paraId="518C0BCD" w14:textId="74364EA9" w:rsidR="00C23C6B" w:rsidRPr="0009699E" w:rsidRDefault="00D471D4" w:rsidP="008E6A7C">
      <w:pPr>
        <w:pStyle w:val="Heading2"/>
        <w:rPr>
          <w:lang w:val="en-NZ"/>
        </w:rPr>
      </w:pPr>
      <w:bookmarkStart w:id="12" w:name="_Toc55818792"/>
      <w:r w:rsidRPr="0009699E">
        <w:rPr>
          <w:lang w:val="en-NZ"/>
        </w:rPr>
        <w:t xml:space="preserve">Co-define question 3: </w:t>
      </w:r>
      <w:r w:rsidR="00E26F1C" w:rsidRPr="0009699E">
        <w:rPr>
          <w:lang w:val="en-NZ"/>
        </w:rPr>
        <w:t>How</w:t>
      </w:r>
      <w:r w:rsidR="00800F3F">
        <w:rPr>
          <w:lang w:val="en-NZ"/>
        </w:rPr>
        <w:t xml:space="preserve"> to</w:t>
      </w:r>
      <w:r w:rsidR="00E26F1C" w:rsidRPr="0009699E">
        <w:rPr>
          <w:lang w:val="en-NZ"/>
        </w:rPr>
        <w:t xml:space="preserve"> Monitor?</w:t>
      </w:r>
      <w:bookmarkEnd w:id="12"/>
      <w:r w:rsidR="00E26F1C" w:rsidRPr="0009699E">
        <w:rPr>
          <w:lang w:val="en-NZ"/>
        </w:rPr>
        <w:t xml:space="preserve"> </w:t>
      </w:r>
    </w:p>
    <w:p w14:paraId="2CC63CC9" w14:textId="21827500" w:rsidR="00A962B5" w:rsidRPr="0009699E" w:rsidRDefault="00C23C6B" w:rsidP="002F5E93">
      <w:pPr>
        <w:pStyle w:val="ListParagraph"/>
        <w:numPr>
          <w:ilvl w:val="0"/>
          <w:numId w:val="7"/>
        </w:numPr>
        <w:spacing w:line="259" w:lineRule="auto"/>
        <w:ind w:left="567" w:hanging="567"/>
        <w:rPr>
          <w:lang w:val="en-NZ"/>
        </w:rPr>
      </w:pPr>
      <w:r w:rsidRPr="0009699E">
        <w:rPr>
          <w:lang w:val="en-NZ"/>
        </w:rPr>
        <w:t xml:space="preserve">The purpose of this question is to test whether the existing </w:t>
      </w:r>
      <w:r w:rsidR="004742FF" w:rsidRPr="0009699E">
        <w:rPr>
          <w:lang w:val="en-NZ"/>
        </w:rPr>
        <w:t>Mental</w:t>
      </w:r>
      <w:r w:rsidRPr="0009699E">
        <w:rPr>
          <w:lang w:val="en-NZ"/>
        </w:rPr>
        <w:t xml:space="preserve"> Health Commissioner’s framework for </w:t>
      </w:r>
      <w:r w:rsidR="004742FF" w:rsidRPr="0009699E">
        <w:rPr>
          <w:lang w:val="en-NZ"/>
        </w:rPr>
        <w:t xml:space="preserve">monitoring mental health and addiction services </w:t>
      </w:r>
      <w:r w:rsidR="001A4758" w:rsidRPr="0009699E">
        <w:rPr>
          <w:lang w:val="en-NZ"/>
        </w:rPr>
        <w:t xml:space="preserve">is ‘fit for purpose’ </w:t>
      </w:r>
      <w:r w:rsidR="001A4758" w:rsidRPr="008874DE">
        <w:rPr>
          <w:lang w:val="mi-NZ"/>
        </w:rPr>
        <w:t>for</w:t>
      </w:r>
      <w:r w:rsidR="001A4758" w:rsidRPr="0009699E">
        <w:rPr>
          <w:lang w:val="en-NZ"/>
        </w:rPr>
        <w:t xml:space="preserve"> the permanent Commission and what other </w:t>
      </w:r>
      <w:r w:rsidR="00A962B5" w:rsidRPr="0009699E">
        <w:rPr>
          <w:lang w:val="en-NZ"/>
        </w:rPr>
        <w:t xml:space="preserve">models, frameworks and </w:t>
      </w:r>
      <w:r w:rsidR="00E25CEC" w:rsidRPr="0009699E">
        <w:rPr>
          <w:lang w:val="en-NZ"/>
        </w:rPr>
        <w:t xml:space="preserve">approaches we </w:t>
      </w:r>
      <w:r w:rsidR="002F2C14" w:rsidRPr="0009699E">
        <w:rPr>
          <w:lang w:val="en-NZ"/>
        </w:rPr>
        <w:t>c</w:t>
      </w:r>
      <w:r w:rsidR="00E25CEC" w:rsidRPr="0009699E">
        <w:rPr>
          <w:lang w:val="en-NZ"/>
        </w:rPr>
        <w:t>ould consider.</w:t>
      </w:r>
    </w:p>
    <w:p w14:paraId="5541136A" w14:textId="69FE3946" w:rsidR="004C6E39" w:rsidRPr="008874DE" w:rsidRDefault="004C6E39" w:rsidP="008E6A7C">
      <w:pPr>
        <w:rPr>
          <w:rFonts w:cs="Arial"/>
          <w:i/>
          <w:color w:val="000000"/>
          <w:lang w:val="en-NZ"/>
        </w:rPr>
      </w:pPr>
      <w:r w:rsidRPr="008874DE">
        <w:rPr>
          <w:rFonts w:cs="Arial"/>
          <w:i/>
          <w:color w:val="000000"/>
          <w:lang w:val="en-NZ"/>
        </w:rPr>
        <w:t>The current monitoring and advocacy framework</w:t>
      </w:r>
    </w:p>
    <w:p w14:paraId="4FE7983A" w14:textId="5C922D47" w:rsidR="00B4378B" w:rsidRPr="0009699E" w:rsidRDefault="00341B30" w:rsidP="002F5E93">
      <w:pPr>
        <w:pStyle w:val="ListParagraph"/>
        <w:numPr>
          <w:ilvl w:val="0"/>
          <w:numId w:val="7"/>
        </w:numPr>
        <w:spacing w:line="259" w:lineRule="auto"/>
        <w:ind w:left="567" w:hanging="567"/>
        <w:rPr>
          <w:color w:val="000000"/>
          <w:lang w:val="en-NZ"/>
        </w:rPr>
      </w:pPr>
      <w:r w:rsidRPr="0009699E">
        <w:rPr>
          <w:color w:val="000000"/>
          <w:lang w:val="en-NZ"/>
        </w:rPr>
        <w:t>T</w:t>
      </w:r>
      <w:r w:rsidR="00FA3DF0" w:rsidRPr="0009699E">
        <w:rPr>
          <w:color w:val="000000"/>
          <w:lang w:val="en-NZ"/>
        </w:rPr>
        <w:t xml:space="preserve">he Mental Health Commissioner </w:t>
      </w:r>
      <w:r w:rsidR="00566465" w:rsidRPr="0009699E">
        <w:rPr>
          <w:color w:val="000000"/>
          <w:lang w:val="en-NZ"/>
        </w:rPr>
        <w:t>currently</w:t>
      </w:r>
      <w:r w:rsidR="00BF7303" w:rsidRPr="0009699E">
        <w:rPr>
          <w:color w:val="000000"/>
          <w:lang w:val="en-NZ"/>
        </w:rPr>
        <w:t xml:space="preserve"> </w:t>
      </w:r>
      <w:r w:rsidR="000F0E61" w:rsidRPr="0009699E">
        <w:rPr>
          <w:color w:val="000000"/>
          <w:lang w:val="en-NZ"/>
        </w:rPr>
        <w:t xml:space="preserve">assesses mental health and addiction service </w:t>
      </w:r>
      <w:r w:rsidR="000F0E61" w:rsidRPr="008874DE">
        <w:rPr>
          <w:lang w:val="mi-NZ"/>
        </w:rPr>
        <w:t>performance</w:t>
      </w:r>
      <w:r w:rsidR="000F0E61" w:rsidRPr="0009699E">
        <w:rPr>
          <w:color w:val="000000"/>
          <w:lang w:val="en-NZ"/>
        </w:rPr>
        <w:t xml:space="preserve"> using a framework developed in consultation with tāngata whai ora and whānau, and mental health and addiction sector representatives</w:t>
      </w:r>
      <w:r w:rsidR="000C3C8C" w:rsidRPr="0009699E">
        <w:rPr>
          <w:color w:val="000000"/>
          <w:lang w:val="en-NZ"/>
        </w:rPr>
        <w:t xml:space="preserve"> in 2017</w:t>
      </w:r>
      <w:r w:rsidR="000F0E61" w:rsidRPr="0009699E">
        <w:rPr>
          <w:color w:val="000000"/>
          <w:lang w:val="en-NZ"/>
        </w:rPr>
        <w:t>.</w:t>
      </w:r>
      <w:r w:rsidR="000C3C8C" w:rsidRPr="0009699E">
        <w:rPr>
          <w:color w:val="000000"/>
          <w:lang w:val="en-NZ"/>
        </w:rPr>
        <w:t xml:space="preserve"> This framework has supported </w:t>
      </w:r>
      <w:r w:rsidR="000E1BDB" w:rsidRPr="0009699E">
        <w:rPr>
          <w:color w:val="000000"/>
          <w:lang w:val="en-NZ"/>
        </w:rPr>
        <w:t xml:space="preserve">two </w:t>
      </w:r>
      <w:r w:rsidR="000C3C8C" w:rsidRPr="0009699E">
        <w:rPr>
          <w:color w:val="000000"/>
          <w:lang w:val="en-NZ"/>
        </w:rPr>
        <w:t>monitoring and advocacy reports</w:t>
      </w:r>
      <w:r w:rsidR="00C553E1" w:rsidRPr="0009699E">
        <w:rPr>
          <w:color w:val="000000"/>
          <w:lang w:val="en-NZ"/>
        </w:rPr>
        <w:t xml:space="preserve"> </w:t>
      </w:r>
      <w:r w:rsidR="000E1BDB" w:rsidRPr="0009699E">
        <w:rPr>
          <w:color w:val="000000"/>
          <w:lang w:val="en-NZ"/>
        </w:rPr>
        <w:t>with recommendations for improvement</w:t>
      </w:r>
      <w:r w:rsidR="008E2322" w:rsidRPr="0009699E">
        <w:rPr>
          <w:color w:val="000000"/>
          <w:lang w:val="en-NZ"/>
        </w:rPr>
        <w:t>,</w:t>
      </w:r>
      <w:r w:rsidR="000E1BDB" w:rsidRPr="0009699E">
        <w:rPr>
          <w:color w:val="000000"/>
          <w:lang w:val="en-NZ"/>
        </w:rPr>
        <w:t xml:space="preserve"> and one indicator update</w:t>
      </w:r>
      <w:r w:rsidR="00E624EE" w:rsidRPr="0009699E">
        <w:rPr>
          <w:color w:val="000000"/>
          <w:lang w:val="en-NZ"/>
        </w:rPr>
        <w:t>.</w:t>
      </w:r>
      <w:r w:rsidR="000C3C8C" w:rsidRPr="0009699E">
        <w:rPr>
          <w:rStyle w:val="FootnoteReference"/>
          <w:color w:val="000000"/>
          <w:lang w:val="en-NZ"/>
        </w:rPr>
        <w:footnoteReference w:id="5"/>
      </w:r>
      <w:r w:rsidR="000C3C8C" w:rsidRPr="0009699E">
        <w:rPr>
          <w:color w:val="000000"/>
          <w:lang w:val="en-NZ"/>
        </w:rPr>
        <w:t xml:space="preserve"> </w:t>
      </w:r>
    </w:p>
    <w:p w14:paraId="63D325FB" w14:textId="77777777" w:rsidR="00B4378B" w:rsidRPr="0009699E" w:rsidRDefault="00B4378B" w:rsidP="008E6A7C">
      <w:pPr>
        <w:pStyle w:val="ListParagraph"/>
        <w:numPr>
          <w:ilvl w:val="0"/>
          <w:numId w:val="0"/>
        </w:numPr>
        <w:spacing w:line="259" w:lineRule="auto"/>
        <w:ind w:left="567"/>
        <w:rPr>
          <w:color w:val="000000"/>
          <w:lang w:val="en-NZ"/>
        </w:rPr>
      </w:pPr>
    </w:p>
    <w:p w14:paraId="022D633E" w14:textId="3A8C6C2A" w:rsidR="000F0E61" w:rsidRPr="0009699E" w:rsidRDefault="00B409CC" w:rsidP="002F5E93">
      <w:pPr>
        <w:pStyle w:val="ListParagraph"/>
        <w:numPr>
          <w:ilvl w:val="0"/>
          <w:numId w:val="7"/>
        </w:numPr>
        <w:spacing w:line="259" w:lineRule="auto"/>
        <w:ind w:left="567" w:hanging="567"/>
        <w:rPr>
          <w:color w:val="000000"/>
          <w:lang w:val="en-NZ"/>
        </w:rPr>
      </w:pPr>
      <w:r w:rsidRPr="0009699E">
        <w:lastRenderedPageBreak/>
        <w:t xml:space="preserve">The Mental Health Commissioner draws on four information streams to support his monitoring and advocacy: </w:t>
      </w:r>
      <w:r w:rsidRPr="0009699E">
        <w:rPr>
          <w:color w:val="000000"/>
          <w:lang w:val="en-NZ"/>
        </w:rPr>
        <w:t xml:space="preserve">complaints to the Health and Disability Commissioner about mental health and addiction services; consumer and whānau feedback; sector engagement; and service performance information. From these information streams a set of annual quantitative measures track trends over time. </w:t>
      </w:r>
      <w:r w:rsidR="000F0E61" w:rsidRPr="0009699E">
        <w:rPr>
          <w:color w:val="000000"/>
          <w:lang w:val="en-NZ"/>
        </w:rPr>
        <w:t>At the heart of the framework are six monitoring questions:</w:t>
      </w:r>
    </w:p>
    <w:p w14:paraId="10B31A67" w14:textId="2448B3C6" w:rsidR="000F0E61" w:rsidRPr="0009699E" w:rsidRDefault="000F0E61" w:rsidP="002F5E93">
      <w:pPr>
        <w:pStyle w:val="ListParagraph"/>
        <w:numPr>
          <w:ilvl w:val="0"/>
          <w:numId w:val="5"/>
        </w:numPr>
        <w:spacing w:line="259" w:lineRule="auto"/>
        <w:rPr>
          <w:color w:val="000000"/>
          <w:lang w:val="en-NZ"/>
        </w:rPr>
      </w:pPr>
      <w:r w:rsidRPr="0009699E">
        <w:rPr>
          <w:color w:val="000000"/>
          <w:lang w:val="en-NZ"/>
        </w:rPr>
        <w:t>Can I get help for my needs?</w:t>
      </w:r>
    </w:p>
    <w:p w14:paraId="1425879A" w14:textId="5B07E2FB" w:rsidR="000F0E61" w:rsidRPr="0009699E" w:rsidRDefault="000F0E61" w:rsidP="002F5E93">
      <w:pPr>
        <w:pStyle w:val="ListParagraph"/>
        <w:numPr>
          <w:ilvl w:val="0"/>
          <w:numId w:val="5"/>
        </w:numPr>
        <w:spacing w:line="259" w:lineRule="auto"/>
        <w:rPr>
          <w:color w:val="000000"/>
          <w:lang w:val="en-NZ"/>
        </w:rPr>
      </w:pPr>
      <w:r w:rsidRPr="0009699E">
        <w:rPr>
          <w:color w:val="000000"/>
          <w:lang w:val="en-NZ"/>
        </w:rPr>
        <w:t>Am I helped to be well</w:t>
      </w:r>
      <w:r w:rsidR="000C3C8C" w:rsidRPr="0009699E">
        <w:rPr>
          <w:color w:val="000000"/>
          <w:lang w:val="en-NZ"/>
        </w:rPr>
        <w:t>?</w:t>
      </w:r>
    </w:p>
    <w:p w14:paraId="3DE27742" w14:textId="42C3FF39" w:rsidR="000F0E61" w:rsidRPr="0009699E" w:rsidRDefault="000F0E61" w:rsidP="002F5E93">
      <w:pPr>
        <w:pStyle w:val="ListParagraph"/>
        <w:numPr>
          <w:ilvl w:val="0"/>
          <w:numId w:val="5"/>
        </w:numPr>
        <w:spacing w:line="259" w:lineRule="auto"/>
        <w:rPr>
          <w:color w:val="000000"/>
          <w:lang w:val="en-NZ"/>
        </w:rPr>
      </w:pPr>
      <w:r w:rsidRPr="0009699E">
        <w:rPr>
          <w:color w:val="000000"/>
          <w:lang w:val="en-NZ"/>
        </w:rPr>
        <w:t>Am I a partner in my care?</w:t>
      </w:r>
    </w:p>
    <w:p w14:paraId="7423012D" w14:textId="08D4DE5D" w:rsidR="000F0E61" w:rsidRPr="0009699E" w:rsidRDefault="000F0E61" w:rsidP="002F5E93">
      <w:pPr>
        <w:pStyle w:val="ListParagraph"/>
        <w:numPr>
          <w:ilvl w:val="0"/>
          <w:numId w:val="5"/>
        </w:numPr>
        <w:spacing w:line="259" w:lineRule="auto"/>
        <w:rPr>
          <w:color w:val="000000"/>
          <w:lang w:val="en-NZ"/>
        </w:rPr>
      </w:pPr>
      <w:r w:rsidRPr="0009699E">
        <w:rPr>
          <w:color w:val="000000"/>
          <w:lang w:val="en-NZ"/>
        </w:rPr>
        <w:t>Am I safe in services?</w:t>
      </w:r>
    </w:p>
    <w:p w14:paraId="696345F6" w14:textId="09CEBC5C" w:rsidR="000F0E61" w:rsidRPr="0009699E" w:rsidRDefault="000F0E61" w:rsidP="002F5E93">
      <w:pPr>
        <w:pStyle w:val="ListParagraph"/>
        <w:numPr>
          <w:ilvl w:val="0"/>
          <w:numId w:val="5"/>
        </w:numPr>
        <w:spacing w:line="259" w:lineRule="auto"/>
        <w:rPr>
          <w:color w:val="000000"/>
          <w:lang w:val="en-NZ"/>
        </w:rPr>
      </w:pPr>
      <w:r w:rsidRPr="0009699E">
        <w:rPr>
          <w:color w:val="000000"/>
          <w:lang w:val="en-NZ"/>
        </w:rPr>
        <w:t>Do services work well together for me?</w:t>
      </w:r>
    </w:p>
    <w:p w14:paraId="5B1CD961" w14:textId="1C5C6AE7" w:rsidR="000F0E61" w:rsidRPr="0009699E" w:rsidRDefault="000F0E61" w:rsidP="002F5E93">
      <w:pPr>
        <w:pStyle w:val="ListParagraph"/>
        <w:numPr>
          <w:ilvl w:val="0"/>
          <w:numId w:val="5"/>
        </w:numPr>
        <w:spacing w:line="259" w:lineRule="auto"/>
        <w:rPr>
          <w:color w:val="000000"/>
          <w:lang w:val="en-NZ"/>
        </w:rPr>
      </w:pPr>
      <w:r w:rsidRPr="0009699E">
        <w:rPr>
          <w:color w:val="000000"/>
          <w:lang w:val="en-NZ"/>
        </w:rPr>
        <w:t>Do services work well together for everyone?</w:t>
      </w:r>
    </w:p>
    <w:p w14:paraId="2A117F22" w14:textId="77777777" w:rsidR="00491166" w:rsidRPr="0009699E" w:rsidRDefault="00491166" w:rsidP="008E6A7C">
      <w:pPr>
        <w:pStyle w:val="ListParagraph"/>
        <w:numPr>
          <w:ilvl w:val="0"/>
          <w:numId w:val="0"/>
        </w:numPr>
        <w:spacing w:line="259" w:lineRule="auto"/>
        <w:ind w:left="567"/>
        <w:rPr>
          <w:color w:val="000000"/>
          <w:lang w:val="en-NZ"/>
        </w:rPr>
      </w:pPr>
    </w:p>
    <w:p w14:paraId="258AFDC1" w14:textId="063398C7" w:rsidR="009A6F54" w:rsidRPr="0009699E" w:rsidRDefault="00D11D3D" w:rsidP="002F5E93">
      <w:pPr>
        <w:pStyle w:val="ListParagraph"/>
        <w:numPr>
          <w:ilvl w:val="0"/>
          <w:numId w:val="7"/>
        </w:numPr>
        <w:spacing w:line="259" w:lineRule="auto"/>
        <w:ind w:left="567" w:hanging="567"/>
        <w:rPr>
          <w:color w:val="000000"/>
          <w:lang w:val="en-NZ"/>
        </w:rPr>
      </w:pPr>
      <w:r w:rsidRPr="0009699E">
        <w:rPr>
          <w:color w:val="000000"/>
          <w:lang w:val="en-NZ"/>
        </w:rPr>
        <w:t>These</w:t>
      </w:r>
      <w:r w:rsidR="009A6F54" w:rsidRPr="0009699E">
        <w:rPr>
          <w:color w:val="000000"/>
          <w:lang w:val="en-NZ"/>
        </w:rPr>
        <w:t xml:space="preserve"> </w:t>
      </w:r>
      <w:r w:rsidRPr="0009699E">
        <w:rPr>
          <w:color w:val="000000"/>
          <w:lang w:val="en-NZ"/>
        </w:rPr>
        <w:t xml:space="preserve">questions consider service performance from the perspective of tāngata whai ora </w:t>
      </w:r>
      <w:r w:rsidR="003538A1" w:rsidRPr="0009699E">
        <w:rPr>
          <w:color w:val="000000"/>
          <w:lang w:val="en-NZ"/>
        </w:rPr>
        <w:t>(and can be read inclusively of whānau)</w:t>
      </w:r>
      <w:r w:rsidR="000D10D0" w:rsidRPr="0009699E">
        <w:rPr>
          <w:color w:val="000000"/>
          <w:lang w:val="en-NZ"/>
        </w:rPr>
        <w:t xml:space="preserve"> </w:t>
      </w:r>
      <w:r w:rsidRPr="0009699E">
        <w:rPr>
          <w:color w:val="000000"/>
          <w:lang w:val="en-NZ"/>
        </w:rPr>
        <w:t xml:space="preserve">with reference to internationally regarded dimensions of </w:t>
      </w:r>
      <w:r w:rsidRPr="0009699E">
        <w:t>healthcare</w:t>
      </w:r>
      <w:r w:rsidRPr="0009699E">
        <w:rPr>
          <w:color w:val="000000"/>
          <w:lang w:val="en-NZ"/>
        </w:rPr>
        <w:t xml:space="preserve"> quality – access, safety, patient experience, equity, effectiveness, and efficiency – adopted in New Zealand by the Health Quality &amp; Safety Commission.</w:t>
      </w:r>
      <w:r w:rsidR="00775504" w:rsidRPr="0009699E">
        <w:rPr>
          <w:color w:val="000000"/>
          <w:lang w:val="en-NZ"/>
        </w:rPr>
        <w:t xml:space="preserve"> </w:t>
      </w:r>
      <w:r w:rsidR="00FC7868" w:rsidRPr="0009699E">
        <w:rPr>
          <w:color w:val="000000"/>
          <w:lang w:val="en-NZ"/>
        </w:rPr>
        <w:t>In addition</w:t>
      </w:r>
      <w:r w:rsidR="00D338AB" w:rsidRPr="0009699E">
        <w:rPr>
          <w:color w:val="000000"/>
          <w:lang w:val="en-NZ"/>
        </w:rPr>
        <w:t>,</w:t>
      </w:r>
      <w:r w:rsidR="00FC7868" w:rsidRPr="0009699E">
        <w:rPr>
          <w:color w:val="000000"/>
          <w:lang w:val="en-NZ"/>
        </w:rPr>
        <w:t xml:space="preserve"> a</w:t>
      </w:r>
      <w:r w:rsidR="00E963E4" w:rsidRPr="0009699E">
        <w:rPr>
          <w:color w:val="000000"/>
          <w:lang w:val="en-NZ"/>
        </w:rPr>
        <w:t xml:space="preserve"> context section addresses </w:t>
      </w:r>
      <w:r w:rsidR="004A6E4E" w:rsidRPr="0009699E">
        <w:rPr>
          <w:color w:val="000000"/>
          <w:lang w:val="en-NZ"/>
        </w:rPr>
        <w:t xml:space="preserve">the sector landscape, including </w:t>
      </w:r>
      <w:r w:rsidR="001A52EA" w:rsidRPr="0009699E">
        <w:rPr>
          <w:color w:val="000000"/>
          <w:lang w:val="en-NZ"/>
        </w:rPr>
        <w:t>strategic settings, funding arrangements and workforce</w:t>
      </w:r>
      <w:r w:rsidR="00FC7868" w:rsidRPr="0009699E">
        <w:rPr>
          <w:color w:val="000000"/>
          <w:lang w:val="en-NZ"/>
        </w:rPr>
        <w:t>.</w:t>
      </w:r>
      <w:r w:rsidR="001A52EA" w:rsidRPr="0009699E">
        <w:rPr>
          <w:color w:val="000000"/>
          <w:lang w:val="en-NZ"/>
        </w:rPr>
        <w:t xml:space="preserve"> </w:t>
      </w:r>
      <w:r w:rsidR="00603270" w:rsidRPr="0009699E">
        <w:rPr>
          <w:color w:val="000000"/>
          <w:lang w:val="en-NZ"/>
        </w:rPr>
        <w:t xml:space="preserve">The monitoring questions </w:t>
      </w:r>
      <w:r w:rsidR="00881E07" w:rsidRPr="0009699E">
        <w:rPr>
          <w:color w:val="000000"/>
          <w:lang w:val="en-NZ"/>
        </w:rPr>
        <w:t>are</w:t>
      </w:r>
      <w:r w:rsidR="00603270" w:rsidRPr="0009699E">
        <w:rPr>
          <w:color w:val="000000"/>
          <w:lang w:val="en-NZ"/>
        </w:rPr>
        <w:t xml:space="preserve"> not defined, however, the </w:t>
      </w:r>
      <w:r w:rsidR="005A64AB" w:rsidRPr="0009699E">
        <w:rPr>
          <w:color w:val="000000"/>
          <w:lang w:val="en-NZ"/>
        </w:rPr>
        <w:t>supporting narrative</w:t>
      </w:r>
      <w:r w:rsidR="00F22D8C" w:rsidRPr="0009699E">
        <w:rPr>
          <w:color w:val="000000"/>
          <w:lang w:val="en-NZ"/>
        </w:rPr>
        <w:t>, insights from engagement</w:t>
      </w:r>
      <w:r w:rsidR="009C42D6" w:rsidRPr="0009699E">
        <w:rPr>
          <w:color w:val="000000"/>
          <w:lang w:val="en-NZ"/>
        </w:rPr>
        <w:t>,</w:t>
      </w:r>
      <w:r w:rsidR="005A64AB" w:rsidRPr="0009699E">
        <w:rPr>
          <w:color w:val="000000"/>
          <w:lang w:val="en-NZ"/>
        </w:rPr>
        <w:t xml:space="preserve"> and measures selected for trend data </w:t>
      </w:r>
      <w:r w:rsidR="008B7AED" w:rsidRPr="0009699E">
        <w:rPr>
          <w:color w:val="000000"/>
          <w:lang w:val="en-NZ"/>
        </w:rPr>
        <w:t xml:space="preserve">establish the </w:t>
      </w:r>
      <w:r w:rsidR="00AA448D" w:rsidRPr="0009699E">
        <w:rPr>
          <w:color w:val="000000"/>
          <w:lang w:val="en-NZ"/>
        </w:rPr>
        <w:t>focus</w:t>
      </w:r>
      <w:r w:rsidR="008B7AED" w:rsidRPr="0009699E">
        <w:rPr>
          <w:color w:val="000000"/>
          <w:lang w:val="en-NZ"/>
        </w:rPr>
        <w:t xml:space="preserve"> of each </w:t>
      </w:r>
      <w:r w:rsidR="006E2B57" w:rsidRPr="0009699E">
        <w:rPr>
          <w:color w:val="000000"/>
          <w:lang w:val="en-NZ"/>
        </w:rPr>
        <w:t>question.</w:t>
      </w:r>
      <w:r w:rsidR="005A64AB" w:rsidRPr="0009699E">
        <w:rPr>
          <w:color w:val="000000"/>
          <w:lang w:val="en-NZ"/>
        </w:rPr>
        <w:t xml:space="preserve"> </w:t>
      </w:r>
      <w:r w:rsidR="009A6F54" w:rsidRPr="0009699E">
        <w:rPr>
          <w:color w:val="000000"/>
          <w:lang w:val="en-NZ"/>
        </w:rPr>
        <w:t>The</w:t>
      </w:r>
      <w:r w:rsidR="00F35DE3" w:rsidRPr="0009699E">
        <w:rPr>
          <w:color w:val="000000"/>
          <w:lang w:val="en-NZ"/>
        </w:rPr>
        <w:t xml:space="preserve"> trend</w:t>
      </w:r>
      <w:r w:rsidR="009A6F54" w:rsidRPr="0009699E">
        <w:rPr>
          <w:color w:val="000000"/>
          <w:lang w:val="en-NZ"/>
        </w:rPr>
        <w:t xml:space="preserve"> measures predominantly relate to specialist DHB and NGO mental health services and addiction services because the quality of data collection is more robust than for primary care.</w:t>
      </w:r>
      <w:r w:rsidR="000E361B" w:rsidRPr="0009699E">
        <w:rPr>
          <w:color w:val="000000"/>
          <w:lang w:val="en-NZ"/>
        </w:rPr>
        <w:t xml:space="preserve"> Many of these measures </w:t>
      </w:r>
      <w:r w:rsidR="00FE2022" w:rsidRPr="0009699E">
        <w:rPr>
          <w:color w:val="000000"/>
          <w:lang w:val="en-NZ"/>
        </w:rPr>
        <w:t>were broken down by ethnicity, age and service type.</w:t>
      </w:r>
      <w:r w:rsidR="009A6F54" w:rsidRPr="0009699E">
        <w:rPr>
          <w:color w:val="000000"/>
          <w:lang w:val="en-NZ"/>
        </w:rPr>
        <w:t xml:space="preserve"> See </w:t>
      </w:r>
      <w:r w:rsidR="00680B12" w:rsidRPr="0009699E">
        <w:rPr>
          <w:color w:val="000000"/>
          <w:lang w:val="en-NZ"/>
        </w:rPr>
        <w:t>Appendix</w:t>
      </w:r>
      <w:r w:rsidR="009A6F54" w:rsidRPr="0009699E">
        <w:rPr>
          <w:color w:val="000000"/>
          <w:lang w:val="en-NZ"/>
        </w:rPr>
        <w:t xml:space="preserve"> </w:t>
      </w:r>
      <w:r w:rsidR="00CE11AF" w:rsidRPr="0009699E">
        <w:rPr>
          <w:color w:val="000000"/>
          <w:lang w:val="en-NZ"/>
        </w:rPr>
        <w:t xml:space="preserve">3 </w:t>
      </w:r>
      <w:r w:rsidR="009A6F54" w:rsidRPr="0009699E">
        <w:rPr>
          <w:color w:val="000000"/>
          <w:lang w:val="en-NZ"/>
        </w:rPr>
        <w:t xml:space="preserve">for an outline of these questions and how they relate to the </w:t>
      </w:r>
      <w:r w:rsidR="004F38DD" w:rsidRPr="0009699E">
        <w:rPr>
          <w:color w:val="000000"/>
          <w:lang w:val="en-NZ"/>
        </w:rPr>
        <w:t xml:space="preserve">Health Quality and Safety Commission </w:t>
      </w:r>
      <w:r w:rsidR="009A6F54" w:rsidRPr="0009699E">
        <w:rPr>
          <w:color w:val="000000"/>
          <w:lang w:val="en-NZ"/>
        </w:rPr>
        <w:t>health quality measures</w:t>
      </w:r>
      <w:r w:rsidR="0017235A" w:rsidRPr="0009699E">
        <w:rPr>
          <w:color w:val="000000"/>
          <w:lang w:val="en-NZ"/>
        </w:rPr>
        <w:t>.</w:t>
      </w:r>
    </w:p>
    <w:p w14:paraId="07913DFE" w14:textId="77777777" w:rsidR="0017235A" w:rsidRPr="0009699E" w:rsidRDefault="0017235A" w:rsidP="008E6A7C">
      <w:pPr>
        <w:pStyle w:val="ListParagraph"/>
        <w:numPr>
          <w:ilvl w:val="0"/>
          <w:numId w:val="0"/>
        </w:numPr>
        <w:spacing w:line="259" w:lineRule="auto"/>
        <w:ind w:left="567"/>
        <w:rPr>
          <w:color w:val="000000"/>
          <w:lang w:val="en-NZ"/>
        </w:rPr>
      </w:pPr>
    </w:p>
    <w:p w14:paraId="7E91465C" w14:textId="1410BB61" w:rsidR="009561E4" w:rsidRPr="0009699E" w:rsidRDefault="0017235A" w:rsidP="002F5E93">
      <w:pPr>
        <w:pStyle w:val="ListParagraph"/>
        <w:numPr>
          <w:ilvl w:val="0"/>
          <w:numId w:val="7"/>
        </w:numPr>
        <w:spacing w:line="259" w:lineRule="auto"/>
        <w:ind w:left="567" w:hanging="567"/>
        <w:rPr>
          <w:color w:val="000000"/>
          <w:lang w:val="en-NZ"/>
        </w:rPr>
      </w:pPr>
      <w:r w:rsidRPr="0009699E">
        <w:rPr>
          <w:color w:val="000000"/>
          <w:lang w:val="en-NZ"/>
        </w:rPr>
        <w:t xml:space="preserve">We want to </w:t>
      </w:r>
      <w:r w:rsidR="0009498F" w:rsidRPr="0009699E">
        <w:rPr>
          <w:color w:val="000000"/>
          <w:lang w:val="en-NZ"/>
        </w:rPr>
        <w:t xml:space="preserve">hear from you </w:t>
      </w:r>
      <w:r w:rsidR="00DC1646" w:rsidRPr="0009699E">
        <w:rPr>
          <w:color w:val="000000"/>
          <w:lang w:val="en-NZ"/>
        </w:rPr>
        <w:t>whether you consider the Mental Health Commissioner’s framework is fit for purpose for the Commission to use for monitoring menta</w:t>
      </w:r>
      <w:r w:rsidR="00BB4754" w:rsidRPr="0009699E">
        <w:rPr>
          <w:color w:val="000000"/>
          <w:lang w:val="en-NZ"/>
        </w:rPr>
        <w:t>l health services and addiction services, and what other frameworks</w:t>
      </w:r>
      <w:r w:rsidR="00071EEC" w:rsidRPr="0009699E">
        <w:rPr>
          <w:color w:val="000000"/>
          <w:lang w:val="en-NZ"/>
        </w:rPr>
        <w:t>,</w:t>
      </w:r>
      <w:r w:rsidR="00BB4754" w:rsidRPr="0009699E">
        <w:rPr>
          <w:color w:val="000000"/>
          <w:lang w:val="en-NZ"/>
        </w:rPr>
        <w:t xml:space="preserve"> models </w:t>
      </w:r>
      <w:r w:rsidR="00071EEC" w:rsidRPr="0009699E">
        <w:rPr>
          <w:color w:val="000000"/>
          <w:lang w:val="en-NZ"/>
        </w:rPr>
        <w:t xml:space="preserve">and approaches </w:t>
      </w:r>
      <w:r w:rsidR="00BB4754" w:rsidRPr="0009699E">
        <w:rPr>
          <w:color w:val="000000"/>
          <w:lang w:val="en-NZ"/>
        </w:rPr>
        <w:t xml:space="preserve">we </w:t>
      </w:r>
      <w:r w:rsidR="002F2C14" w:rsidRPr="0009699E">
        <w:rPr>
          <w:color w:val="000000"/>
          <w:lang w:val="en-NZ"/>
        </w:rPr>
        <w:t>c</w:t>
      </w:r>
      <w:r w:rsidR="00BB4754" w:rsidRPr="0009699E">
        <w:rPr>
          <w:color w:val="000000"/>
          <w:lang w:val="en-NZ"/>
        </w:rPr>
        <w:t>ould consider</w:t>
      </w:r>
      <w:r w:rsidR="00CB4531" w:rsidRPr="0009699E">
        <w:rPr>
          <w:color w:val="000000"/>
          <w:lang w:val="en-NZ"/>
        </w:rPr>
        <w:t xml:space="preserve">. </w:t>
      </w:r>
      <w:r w:rsidR="00074637" w:rsidRPr="0009699E">
        <w:rPr>
          <w:color w:val="000000"/>
          <w:lang w:val="en-NZ"/>
        </w:rPr>
        <w:t>We are aware of many, but we would like to know of models</w:t>
      </w:r>
      <w:r w:rsidR="007A3019" w:rsidRPr="0009699E">
        <w:rPr>
          <w:color w:val="000000"/>
          <w:lang w:val="en-NZ"/>
        </w:rPr>
        <w:t>,</w:t>
      </w:r>
      <w:r w:rsidR="00074637" w:rsidRPr="0009699E">
        <w:rPr>
          <w:color w:val="000000"/>
          <w:lang w:val="en-NZ"/>
        </w:rPr>
        <w:t xml:space="preserve"> frameworks </w:t>
      </w:r>
      <w:r w:rsidR="007A3019" w:rsidRPr="0009699E">
        <w:rPr>
          <w:color w:val="000000"/>
          <w:lang w:val="en-NZ"/>
        </w:rPr>
        <w:t xml:space="preserve">or approaches </w:t>
      </w:r>
      <w:r w:rsidR="00074637" w:rsidRPr="0009699E">
        <w:rPr>
          <w:color w:val="000000"/>
          <w:lang w:val="en-NZ"/>
        </w:rPr>
        <w:t>that really impress you as being useful and relevant.</w:t>
      </w:r>
    </w:p>
    <w:p w14:paraId="1E6C0590" w14:textId="77777777" w:rsidR="001D0137" w:rsidRPr="0009699E" w:rsidRDefault="001D0137" w:rsidP="004B5754">
      <w:pPr>
        <w:pStyle w:val="ListParagraph"/>
        <w:numPr>
          <w:ilvl w:val="0"/>
          <w:numId w:val="0"/>
        </w:numPr>
        <w:ind w:left="720"/>
        <w:rPr>
          <w:color w:val="000000"/>
          <w:lang w:val="en-NZ"/>
        </w:rPr>
      </w:pPr>
    </w:p>
    <w:p w14:paraId="60F126D8" w14:textId="3548A9F8" w:rsidR="001D0137" w:rsidRPr="0009699E" w:rsidRDefault="004B5754" w:rsidP="002F5E93">
      <w:pPr>
        <w:pStyle w:val="ListParagraph"/>
        <w:numPr>
          <w:ilvl w:val="0"/>
          <w:numId w:val="7"/>
        </w:numPr>
        <w:spacing w:line="259" w:lineRule="auto"/>
        <w:ind w:left="567" w:hanging="567"/>
        <w:rPr>
          <w:color w:val="000000"/>
          <w:lang w:val="en-NZ"/>
        </w:rPr>
      </w:pPr>
      <w:r w:rsidRPr="0009699E">
        <w:rPr>
          <w:color w:val="000000"/>
          <w:lang w:val="en-NZ"/>
        </w:rPr>
        <w:t xml:space="preserve">We also want to hear </w:t>
      </w:r>
      <w:r w:rsidR="000F0CD8" w:rsidRPr="0009699E">
        <w:rPr>
          <w:color w:val="000000"/>
          <w:lang w:val="en-NZ"/>
        </w:rPr>
        <w:t xml:space="preserve">from </w:t>
      </w:r>
      <w:r w:rsidR="00BD2EAF" w:rsidRPr="0009699E">
        <w:rPr>
          <w:color w:val="000000"/>
          <w:lang w:val="en-NZ"/>
        </w:rPr>
        <w:t xml:space="preserve">you about what </w:t>
      </w:r>
      <w:r w:rsidR="00C15192" w:rsidRPr="0009699E">
        <w:rPr>
          <w:color w:val="000000"/>
          <w:lang w:val="en-NZ"/>
        </w:rPr>
        <w:t xml:space="preserve">a Te Tiriti o Waitangi partnership approach </w:t>
      </w:r>
      <w:r w:rsidR="00EF77A5" w:rsidRPr="0009699E">
        <w:rPr>
          <w:color w:val="000000"/>
          <w:lang w:val="en-NZ"/>
        </w:rPr>
        <w:t xml:space="preserve">could look like in relation to the Commission’s function to </w:t>
      </w:r>
      <w:r w:rsidR="00EF77A5" w:rsidRPr="008874DE">
        <w:rPr>
          <w:lang w:val="en-NZ"/>
        </w:rPr>
        <w:t>monitor mental health services and addiction services and advocate for improvement</w:t>
      </w:r>
      <w:r w:rsidR="008E36F6" w:rsidRPr="008874DE">
        <w:rPr>
          <w:lang w:val="en-NZ"/>
        </w:rPr>
        <w:t xml:space="preserve"> and if you have any examples of </w:t>
      </w:r>
      <w:r w:rsidR="00FD1B56" w:rsidRPr="008874DE">
        <w:rPr>
          <w:lang w:val="en-NZ"/>
        </w:rPr>
        <w:t xml:space="preserve">organisations or projects where Te Tiriri </w:t>
      </w:r>
      <w:r w:rsidR="008E36F6" w:rsidRPr="008874DE">
        <w:rPr>
          <w:lang w:val="en-NZ"/>
        </w:rPr>
        <w:t>partnership approaches</w:t>
      </w:r>
      <w:r w:rsidR="00A652BC" w:rsidRPr="008874DE">
        <w:rPr>
          <w:lang w:val="en-NZ"/>
        </w:rPr>
        <w:t xml:space="preserve"> have been highly successful</w:t>
      </w:r>
      <w:r w:rsidR="00536B24" w:rsidRPr="008874DE">
        <w:rPr>
          <w:lang w:val="en-NZ"/>
        </w:rPr>
        <w:t>.</w:t>
      </w:r>
      <w:r w:rsidRPr="0009699E">
        <w:rPr>
          <w:color w:val="000000"/>
          <w:lang w:val="en-NZ"/>
        </w:rPr>
        <w:t xml:space="preserve"> </w:t>
      </w:r>
    </w:p>
    <w:p w14:paraId="7BA9C391" w14:textId="6BEAF975" w:rsidR="00074637" w:rsidRPr="008874DE" w:rsidRDefault="008E458A" w:rsidP="008E6A7C">
      <w:pPr>
        <w:rPr>
          <w:rFonts w:cs="Arial"/>
          <w:color w:val="000000"/>
          <w:lang w:val="en-NZ"/>
        </w:rPr>
      </w:pPr>
      <w:r w:rsidRPr="008874DE">
        <w:rPr>
          <w:rFonts w:cs="Arial"/>
          <w:color w:val="000000"/>
          <w:lang w:val="en-NZ"/>
        </w:rPr>
        <w:t xml:space="preserve"> </w:t>
      </w:r>
    </w:p>
    <w:p w14:paraId="52B25CA8" w14:textId="77777777" w:rsidR="00762B9F" w:rsidRDefault="00762B9F">
      <w:r>
        <w:br w:type="page"/>
      </w:r>
    </w:p>
    <w:tbl>
      <w:tblPr>
        <w:tblStyle w:val="TableGrid"/>
        <w:tblW w:w="0" w:type="auto"/>
        <w:tblInd w:w="562" w:type="dxa"/>
        <w:tblLayout w:type="fixed"/>
        <w:tblLook w:val="04A0" w:firstRow="1" w:lastRow="0" w:firstColumn="1" w:lastColumn="0" w:noHBand="0" w:noVBand="1"/>
      </w:tblPr>
      <w:tblGrid>
        <w:gridCol w:w="8506"/>
      </w:tblGrid>
      <w:tr w:rsidR="00074637" w:rsidRPr="0009699E" w14:paraId="0A35E4A4" w14:textId="77777777" w:rsidTr="00EB0FDC">
        <w:tc>
          <w:tcPr>
            <w:tcW w:w="8506" w:type="dxa"/>
            <w:tcBorders>
              <w:top w:val="single" w:sz="4" w:space="0" w:color="auto"/>
              <w:left w:val="single" w:sz="4" w:space="0" w:color="auto"/>
              <w:bottom w:val="single" w:sz="4" w:space="0" w:color="auto"/>
              <w:right w:val="single" w:sz="4" w:space="0" w:color="auto"/>
            </w:tcBorders>
            <w:hideMark/>
          </w:tcPr>
          <w:p w14:paraId="0FF6DA2E" w14:textId="3030AA79" w:rsidR="009561E4" w:rsidRPr="006E6645" w:rsidRDefault="009561E4" w:rsidP="008E6A7C">
            <w:pPr>
              <w:spacing w:before="120" w:after="160" w:line="259" w:lineRule="auto"/>
              <w:rPr>
                <w:rFonts w:cs="Arial"/>
                <w:b/>
                <w:sz w:val="22"/>
                <w:szCs w:val="22"/>
                <w:lang w:val="en-NZ"/>
              </w:rPr>
            </w:pPr>
            <w:r w:rsidRPr="006E6645">
              <w:rPr>
                <w:rFonts w:cs="Arial"/>
                <w:b/>
                <w:sz w:val="22"/>
                <w:szCs w:val="22"/>
                <w:lang w:val="en-NZ"/>
              </w:rPr>
              <w:lastRenderedPageBreak/>
              <w:t xml:space="preserve">Co-define question 3: How </w:t>
            </w:r>
            <w:r w:rsidR="00800F3F">
              <w:rPr>
                <w:rFonts w:cs="Arial"/>
                <w:b/>
                <w:sz w:val="22"/>
                <w:szCs w:val="22"/>
                <w:lang w:val="en-NZ"/>
              </w:rPr>
              <w:t xml:space="preserve">to </w:t>
            </w:r>
            <w:r w:rsidRPr="006E6645">
              <w:rPr>
                <w:rFonts w:cs="Arial"/>
                <w:b/>
                <w:sz w:val="22"/>
                <w:szCs w:val="22"/>
                <w:lang w:val="en-NZ"/>
              </w:rPr>
              <w:t xml:space="preserve">Monitor? </w:t>
            </w:r>
          </w:p>
          <w:p w14:paraId="374C46BD" w14:textId="70896972" w:rsidR="009561E4" w:rsidRPr="006E6645" w:rsidRDefault="008C7BB0" w:rsidP="009D69F5">
            <w:pPr>
              <w:spacing w:line="259" w:lineRule="auto"/>
              <w:rPr>
                <w:rFonts w:cs="Arial"/>
                <w:i/>
                <w:sz w:val="22"/>
                <w:szCs w:val="22"/>
                <w:lang w:val="en-NZ"/>
              </w:rPr>
            </w:pPr>
            <w:r w:rsidRPr="006E6645">
              <w:rPr>
                <w:rFonts w:cs="Arial"/>
                <w:i/>
                <w:sz w:val="22"/>
                <w:szCs w:val="22"/>
                <w:lang w:val="en-NZ"/>
              </w:rPr>
              <w:t>Mental Health Commissioner’s Monitoring and Advocacy Framework</w:t>
            </w:r>
          </w:p>
          <w:p w14:paraId="0BBD8033" w14:textId="50270256" w:rsidR="009561E4" w:rsidRPr="006E6645" w:rsidRDefault="00366E33" w:rsidP="002F5E93">
            <w:pPr>
              <w:pStyle w:val="ListParagraph"/>
              <w:numPr>
                <w:ilvl w:val="0"/>
                <w:numId w:val="9"/>
              </w:numPr>
              <w:spacing w:before="0" w:line="259" w:lineRule="auto"/>
              <w:ind w:left="714" w:hanging="357"/>
              <w:rPr>
                <w:sz w:val="22"/>
                <w:szCs w:val="22"/>
                <w:lang w:val="en-NZ"/>
              </w:rPr>
            </w:pPr>
            <w:r w:rsidRPr="006E6645">
              <w:rPr>
                <w:sz w:val="22"/>
                <w:szCs w:val="22"/>
                <w:lang w:val="en-NZ"/>
              </w:rPr>
              <w:t xml:space="preserve">What are your views on the Mental Health Commissioner’s </w:t>
            </w:r>
            <w:r w:rsidR="002F48B9" w:rsidRPr="006E6645">
              <w:rPr>
                <w:sz w:val="22"/>
                <w:szCs w:val="22"/>
                <w:lang w:val="en-NZ"/>
              </w:rPr>
              <w:t>framework for monitoring mental health services and addiction services and advocating for improvements?</w:t>
            </w:r>
            <w:r w:rsidR="00AD3D7D" w:rsidRPr="006E6645">
              <w:rPr>
                <w:sz w:val="22"/>
                <w:szCs w:val="22"/>
                <w:lang w:val="en-NZ"/>
              </w:rPr>
              <w:t xml:space="preserve"> </w:t>
            </w:r>
            <w:r w:rsidR="0093744A" w:rsidRPr="006E6645">
              <w:rPr>
                <w:sz w:val="22"/>
                <w:szCs w:val="22"/>
                <w:lang w:val="en-NZ"/>
              </w:rPr>
              <w:t>Do the monitoring questions resonate with you?</w:t>
            </w:r>
          </w:p>
          <w:p w14:paraId="79C06425" w14:textId="165F1951" w:rsidR="002C43C1" w:rsidRPr="006E6645" w:rsidRDefault="002C43C1" w:rsidP="002F5E93">
            <w:pPr>
              <w:pStyle w:val="ListParagraph"/>
              <w:numPr>
                <w:ilvl w:val="0"/>
                <w:numId w:val="9"/>
              </w:numPr>
              <w:spacing w:line="259" w:lineRule="auto"/>
              <w:rPr>
                <w:sz w:val="22"/>
                <w:szCs w:val="22"/>
                <w:lang w:val="en-NZ"/>
              </w:rPr>
            </w:pPr>
            <w:r w:rsidRPr="006E6645">
              <w:rPr>
                <w:sz w:val="22"/>
                <w:szCs w:val="22"/>
                <w:lang w:val="en-NZ"/>
              </w:rPr>
              <w:t xml:space="preserve">Would you change </w:t>
            </w:r>
            <w:r w:rsidR="00FE4661" w:rsidRPr="006E6645">
              <w:rPr>
                <w:sz w:val="22"/>
                <w:szCs w:val="22"/>
                <w:lang w:val="en-NZ"/>
              </w:rPr>
              <w:t xml:space="preserve">any of </w:t>
            </w:r>
            <w:r w:rsidR="00AD3D7D" w:rsidRPr="006E6645">
              <w:rPr>
                <w:sz w:val="22"/>
                <w:szCs w:val="22"/>
                <w:lang w:val="en-NZ"/>
              </w:rPr>
              <w:t>the monitoring questions? How?</w:t>
            </w:r>
          </w:p>
          <w:p w14:paraId="59945410" w14:textId="5070D925" w:rsidR="008F5157" w:rsidRPr="006E6645" w:rsidRDefault="008F5157" w:rsidP="002F5E93">
            <w:pPr>
              <w:pStyle w:val="ListParagraph"/>
              <w:numPr>
                <w:ilvl w:val="0"/>
                <w:numId w:val="9"/>
              </w:numPr>
              <w:spacing w:line="259" w:lineRule="auto"/>
              <w:rPr>
                <w:sz w:val="22"/>
                <w:szCs w:val="22"/>
                <w:lang w:val="en-NZ"/>
              </w:rPr>
            </w:pPr>
            <w:r w:rsidRPr="006E6645">
              <w:rPr>
                <w:sz w:val="22"/>
                <w:szCs w:val="22"/>
                <w:lang w:val="en-NZ"/>
              </w:rPr>
              <w:t>Are any monitoring questions missing?</w:t>
            </w:r>
          </w:p>
          <w:p w14:paraId="7FEBDA2C" w14:textId="74864404" w:rsidR="009561E4" w:rsidRPr="006E6645" w:rsidRDefault="007A3019" w:rsidP="004A24CF">
            <w:pPr>
              <w:rPr>
                <w:rFonts w:cs="Arial"/>
                <w:i/>
                <w:sz w:val="22"/>
                <w:szCs w:val="22"/>
                <w:lang w:val="en-NZ"/>
              </w:rPr>
            </w:pPr>
            <w:r w:rsidRPr="006E6645">
              <w:rPr>
                <w:rFonts w:cs="Arial"/>
                <w:i/>
                <w:sz w:val="22"/>
                <w:szCs w:val="22"/>
                <w:lang w:val="en-NZ"/>
              </w:rPr>
              <w:t xml:space="preserve">Other </w:t>
            </w:r>
            <w:r w:rsidR="0093744A" w:rsidRPr="006E6645">
              <w:rPr>
                <w:rFonts w:cs="Arial"/>
                <w:i/>
                <w:sz w:val="22"/>
                <w:szCs w:val="22"/>
                <w:lang w:val="en-NZ"/>
              </w:rPr>
              <w:t>models, approaches and frameworks</w:t>
            </w:r>
          </w:p>
          <w:p w14:paraId="12660522" w14:textId="58107DF7" w:rsidR="00074637" w:rsidRPr="006E6645" w:rsidRDefault="001408E2" w:rsidP="002F5E93">
            <w:pPr>
              <w:pStyle w:val="ListParagraph"/>
              <w:numPr>
                <w:ilvl w:val="0"/>
                <w:numId w:val="9"/>
              </w:numPr>
              <w:spacing w:before="0" w:line="259" w:lineRule="auto"/>
              <w:ind w:left="714" w:hanging="357"/>
              <w:rPr>
                <w:sz w:val="22"/>
                <w:szCs w:val="22"/>
                <w:lang w:val="en-NZ"/>
              </w:rPr>
            </w:pPr>
            <w:r w:rsidRPr="006E6645">
              <w:rPr>
                <w:sz w:val="22"/>
                <w:szCs w:val="22"/>
                <w:lang w:val="en-NZ"/>
              </w:rPr>
              <w:t>What other models</w:t>
            </w:r>
            <w:r w:rsidR="00392E7D" w:rsidRPr="006E6645">
              <w:rPr>
                <w:sz w:val="22"/>
                <w:szCs w:val="22"/>
                <w:lang w:val="en-NZ"/>
              </w:rPr>
              <w:t xml:space="preserve">, approaches and frameworks </w:t>
            </w:r>
            <w:r w:rsidR="002F2C14" w:rsidRPr="006E6645">
              <w:rPr>
                <w:sz w:val="22"/>
                <w:szCs w:val="22"/>
                <w:lang w:val="en-NZ"/>
              </w:rPr>
              <w:t>c</w:t>
            </w:r>
            <w:r w:rsidR="00392E7D" w:rsidRPr="006E6645">
              <w:rPr>
                <w:sz w:val="22"/>
                <w:szCs w:val="22"/>
                <w:lang w:val="en-NZ"/>
              </w:rPr>
              <w:t>ould we consider for the Mental Health and Wellbeing Commission’</w:t>
            </w:r>
            <w:r w:rsidR="00C76AD0" w:rsidRPr="006E6645">
              <w:rPr>
                <w:sz w:val="22"/>
                <w:szCs w:val="22"/>
                <w:lang w:val="en-NZ"/>
              </w:rPr>
              <w:t>s framework</w:t>
            </w:r>
            <w:r w:rsidR="00392E7D" w:rsidRPr="006E6645">
              <w:rPr>
                <w:sz w:val="22"/>
                <w:szCs w:val="22"/>
                <w:lang w:val="en-NZ"/>
              </w:rPr>
              <w:t xml:space="preserve">? </w:t>
            </w:r>
          </w:p>
          <w:p w14:paraId="5D6874B3" w14:textId="77777777" w:rsidR="009D69F5" w:rsidRPr="006E6645" w:rsidRDefault="009D69F5" w:rsidP="009D69F5">
            <w:pPr>
              <w:spacing w:line="259" w:lineRule="auto"/>
              <w:rPr>
                <w:rFonts w:cs="Arial"/>
                <w:i/>
                <w:sz w:val="22"/>
                <w:szCs w:val="22"/>
                <w:lang w:val="en-NZ"/>
              </w:rPr>
            </w:pPr>
            <w:r w:rsidRPr="006E6645">
              <w:rPr>
                <w:rFonts w:cs="Arial"/>
                <w:i/>
                <w:sz w:val="22"/>
                <w:szCs w:val="22"/>
                <w:lang w:val="en-NZ"/>
              </w:rPr>
              <w:t>Te Tiriti o Waitangi</w:t>
            </w:r>
          </w:p>
          <w:p w14:paraId="0B51EB78" w14:textId="256414B9" w:rsidR="009D69F5" w:rsidRPr="006E6645" w:rsidRDefault="009D69F5" w:rsidP="004A24CF">
            <w:pPr>
              <w:pStyle w:val="ListParagraph"/>
              <w:numPr>
                <w:ilvl w:val="0"/>
                <w:numId w:val="9"/>
              </w:numPr>
              <w:spacing w:before="0" w:line="259" w:lineRule="auto"/>
              <w:ind w:left="714" w:hanging="357"/>
              <w:rPr>
                <w:i/>
                <w:sz w:val="22"/>
                <w:szCs w:val="22"/>
                <w:lang w:val="en-NZ"/>
              </w:rPr>
            </w:pPr>
            <w:r w:rsidRPr="006E6645">
              <w:rPr>
                <w:sz w:val="22"/>
                <w:szCs w:val="22"/>
                <w:lang w:val="en-NZ"/>
              </w:rPr>
              <w:t>What could a Te Tiriti o Waitangi partnership approach look like in relation to the Commission’s function to monitor mental health services and addiction services and advocate for improvement?</w:t>
            </w:r>
            <w:r w:rsidRPr="006E6645">
              <w:rPr>
                <w:i/>
                <w:sz w:val="22"/>
                <w:szCs w:val="22"/>
                <w:lang w:val="en-NZ"/>
              </w:rPr>
              <w:t xml:space="preserve"> </w:t>
            </w:r>
            <w:r w:rsidRPr="006E6645">
              <w:rPr>
                <w:sz w:val="22"/>
                <w:szCs w:val="22"/>
                <w:lang w:val="en-NZ"/>
              </w:rPr>
              <w:t xml:space="preserve">Can you provide examples of </w:t>
            </w:r>
            <w:r w:rsidR="004A24CF" w:rsidRPr="006E6645">
              <w:rPr>
                <w:sz w:val="22"/>
                <w:szCs w:val="22"/>
                <w:lang w:val="en-NZ"/>
              </w:rPr>
              <w:t>successful</w:t>
            </w:r>
            <w:r w:rsidRPr="006E6645">
              <w:rPr>
                <w:sz w:val="22"/>
                <w:szCs w:val="22"/>
                <w:lang w:val="en-NZ"/>
              </w:rPr>
              <w:t xml:space="preserve"> Te Tiriti partnership approaches for the Commission to consider?</w:t>
            </w:r>
            <w:r w:rsidRPr="006E6645">
              <w:rPr>
                <w:i/>
                <w:sz w:val="22"/>
                <w:szCs w:val="22"/>
                <w:lang w:val="en-NZ"/>
              </w:rPr>
              <w:t xml:space="preserve"> </w:t>
            </w:r>
          </w:p>
          <w:p w14:paraId="3AC09C38" w14:textId="63209DEC" w:rsidR="00261234" w:rsidRPr="008874DE" w:rsidRDefault="00261234" w:rsidP="009D69F5">
            <w:pPr>
              <w:rPr>
                <w:rFonts w:cs="Arial"/>
                <w:lang w:val="en-NZ"/>
              </w:rPr>
            </w:pPr>
          </w:p>
        </w:tc>
      </w:tr>
    </w:tbl>
    <w:p w14:paraId="50912851" w14:textId="77777777" w:rsidR="00074637" w:rsidRPr="0009699E" w:rsidRDefault="00074637" w:rsidP="008E6A7C">
      <w:pPr>
        <w:keepNext/>
        <w:spacing w:before="240"/>
        <w:rPr>
          <w:rFonts w:cs="Arial"/>
          <w:b/>
          <w:szCs w:val="20"/>
          <w:lang w:val="en-NZ" w:eastAsia="en-GB"/>
        </w:rPr>
      </w:pPr>
    </w:p>
    <w:p w14:paraId="745D4D8D" w14:textId="77777777" w:rsidR="00DD6569" w:rsidRPr="008874DE" w:rsidRDefault="00D11D3D" w:rsidP="008E6A7C">
      <w:pPr>
        <w:ind w:left="567"/>
        <w:rPr>
          <w:rFonts w:cs="Arial"/>
          <w:color w:val="000000"/>
          <w:lang w:val="en-NZ"/>
        </w:rPr>
      </w:pPr>
      <w:r w:rsidRPr="008874DE">
        <w:rPr>
          <w:rFonts w:cs="Arial"/>
          <w:color w:val="000000"/>
          <w:lang w:val="en-NZ"/>
        </w:rPr>
        <w:t xml:space="preserve"> </w:t>
      </w:r>
      <w:r w:rsidR="00DD6569" w:rsidRPr="008874DE">
        <w:rPr>
          <w:rFonts w:cs="Arial"/>
          <w:color w:val="000000"/>
          <w:lang w:val="en-NZ"/>
        </w:rPr>
        <w:br w:type="page"/>
      </w:r>
    </w:p>
    <w:p w14:paraId="15647EDC" w14:textId="3F6A1524" w:rsidR="00ED4052" w:rsidRPr="0009699E" w:rsidRDefault="00DF5850" w:rsidP="00DF5850">
      <w:pPr>
        <w:pStyle w:val="Heading1"/>
        <w:rPr>
          <w:lang w:val="en-NZ"/>
        </w:rPr>
      </w:pPr>
      <w:bookmarkStart w:id="13" w:name="_Toc55818793"/>
      <w:r w:rsidRPr="0009699E">
        <w:rPr>
          <w:lang w:val="en-NZ"/>
        </w:rPr>
        <w:lastRenderedPageBreak/>
        <w:t>Appendices</w:t>
      </w:r>
      <w:bookmarkEnd w:id="13"/>
    </w:p>
    <w:p w14:paraId="39CAC6C8" w14:textId="77777777" w:rsidR="008A4E46" w:rsidRPr="0009699E" w:rsidRDefault="00F65DF3" w:rsidP="00E8044C">
      <w:pPr>
        <w:pStyle w:val="Heading3"/>
        <w:numPr>
          <w:ilvl w:val="0"/>
          <w:numId w:val="19"/>
        </w:numPr>
        <w:rPr>
          <w:rFonts w:cs="Arial"/>
          <w:sz w:val="22"/>
          <w:szCs w:val="22"/>
        </w:rPr>
      </w:pPr>
      <w:bookmarkStart w:id="14" w:name="_Toc55818794"/>
      <w:r w:rsidRPr="0009699E">
        <w:rPr>
          <w:rFonts w:cs="Arial"/>
          <w:sz w:val="22"/>
          <w:szCs w:val="22"/>
        </w:rPr>
        <w:t>Agencies that have overview/monitoring and quality improvement roles in relation to mental health services and addiction services</w:t>
      </w:r>
      <w:bookmarkEnd w:id="14"/>
    </w:p>
    <w:p w14:paraId="60C33B9E" w14:textId="77777777" w:rsidR="004E7577" w:rsidRPr="0009699E" w:rsidRDefault="004E7577" w:rsidP="004E7577">
      <w:pPr>
        <w:pStyle w:val="Heading3"/>
        <w:numPr>
          <w:ilvl w:val="0"/>
          <w:numId w:val="19"/>
        </w:numPr>
        <w:rPr>
          <w:rFonts w:cs="Arial"/>
          <w:sz w:val="22"/>
          <w:szCs w:val="22"/>
        </w:rPr>
      </w:pPr>
      <w:bookmarkStart w:id="15" w:name="_Toc55818795"/>
      <w:r w:rsidRPr="0009699E">
        <w:rPr>
          <w:rFonts w:cs="Arial"/>
          <w:sz w:val="22"/>
          <w:szCs w:val="22"/>
        </w:rPr>
        <w:t>Sources for developing a draft definition of mental health services and addiction services</w:t>
      </w:r>
      <w:bookmarkEnd w:id="15"/>
      <w:r w:rsidRPr="0009699E">
        <w:rPr>
          <w:rFonts w:cs="Arial"/>
          <w:sz w:val="22"/>
          <w:szCs w:val="22"/>
        </w:rPr>
        <w:t xml:space="preserve">  </w:t>
      </w:r>
    </w:p>
    <w:p w14:paraId="3992515F" w14:textId="76A88387" w:rsidR="008A4E46" w:rsidRPr="0009699E" w:rsidRDefault="008A4E46" w:rsidP="00E8044C">
      <w:pPr>
        <w:pStyle w:val="Heading3"/>
        <w:numPr>
          <w:ilvl w:val="0"/>
          <w:numId w:val="19"/>
        </w:numPr>
        <w:rPr>
          <w:rFonts w:cs="Arial"/>
          <w:sz w:val="22"/>
          <w:szCs w:val="22"/>
        </w:rPr>
      </w:pPr>
      <w:bookmarkStart w:id="16" w:name="_Toc55818796"/>
      <w:r w:rsidRPr="0009699E">
        <w:rPr>
          <w:rFonts w:cs="Arial"/>
          <w:sz w:val="22"/>
          <w:szCs w:val="22"/>
        </w:rPr>
        <w:t>Performance monitoring questions of the Mental Health Commissioner</w:t>
      </w:r>
      <w:bookmarkEnd w:id="16"/>
    </w:p>
    <w:p w14:paraId="63B9EC0E" w14:textId="77777777" w:rsidR="00F65DF3" w:rsidRPr="0009699E" w:rsidRDefault="00F65DF3" w:rsidP="00F65DF3">
      <w:pPr>
        <w:pStyle w:val="Heading2"/>
        <w:rPr>
          <w:lang w:val="en-NZ"/>
        </w:rPr>
      </w:pPr>
    </w:p>
    <w:p w14:paraId="22BB4AEC" w14:textId="13975094" w:rsidR="009A6E44" w:rsidRPr="0009699E" w:rsidRDefault="00DF5850">
      <w:pPr>
        <w:rPr>
          <w:rFonts w:eastAsiaTheme="majorEastAsia" w:cs="Arial"/>
          <w:b/>
          <w:sz w:val="32"/>
          <w:szCs w:val="32"/>
          <w:lang w:val="en-NZ"/>
        </w:rPr>
      </w:pPr>
      <w:r w:rsidRPr="008874DE">
        <w:rPr>
          <w:rFonts w:cs="Arial"/>
          <w:lang w:val="en-NZ"/>
        </w:rPr>
        <w:t xml:space="preserve"> </w:t>
      </w:r>
      <w:r w:rsidRPr="008874DE">
        <w:rPr>
          <w:rFonts w:cs="Arial"/>
          <w:b/>
          <w:lang w:val="en-NZ"/>
        </w:rPr>
        <w:br w:type="page"/>
      </w:r>
    </w:p>
    <w:p w14:paraId="7FF65286" w14:textId="72822041" w:rsidR="00E8044C" w:rsidRPr="0009699E" w:rsidRDefault="00E8044C" w:rsidP="00DF37CC">
      <w:pPr>
        <w:pStyle w:val="ListParagraph"/>
        <w:numPr>
          <w:ilvl w:val="0"/>
          <w:numId w:val="0"/>
        </w:numPr>
        <w:spacing w:line="259" w:lineRule="auto"/>
        <w:contextualSpacing w:val="0"/>
        <w:rPr>
          <w:b/>
          <w:sz w:val="20"/>
          <w:szCs w:val="20"/>
          <w:lang w:val="en-NZ"/>
        </w:rPr>
      </w:pPr>
      <w:r w:rsidRPr="0009699E">
        <w:rPr>
          <w:b/>
          <w:sz w:val="20"/>
          <w:szCs w:val="20"/>
          <w:lang w:val="en-NZ"/>
        </w:rPr>
        <w:lastRenderedPageBreak/>
        <w:t>Appendix 1</w:t>
      </w:r>
    </w:p>
    <w:p w14:paraId="0E7421F1" w14:textId="7F9B32BC" w:rsidR="00DF5850" w:rsidRPr="0009699E" w:rsidRDefault="00DF5850" w:rsidP="00DF37CC">
      <w:pPr>
        <w:pStyle w:val="ListParagraph"/>
        <w:numPr>
          <w:ilvl w:val="0"/>
          <w:numId w:val="0"/>
        </w:numPr>
        <w:spacing w:line="259" w:lineRule="auto"/>
        <w:contextualSpacing w:val="0"/>
        <w:rPr>
          <w:b/>
          <w:sz w:val="20"/>
          <w:szCs w:val="20"/>
          <w:lang w:val="en-NZ"/>
        </w:rPr>
      </w:pPr>
      <w:r w:rsidRPr="0009699E">
        <w:rPr>
          <w:b/>
          <w:sz w:val="20"/>
          <w:szCs w:val="20"/>
          <w:lang w:val="en-NZ"/>
        </w:rPr>
        <w:t xml:space="preserve">Agencies that have overview/monitoring and quality improvement roles in relation to mental health services and addiction services. </w:t>
      </w:r>
    </w:p>
    <w:tbl>
      <w:tblPr>
        <w:tblStyle w:val="TableGrid"/>
        <w:tblW w:w="0" w:type="auto"/>
        <w:tblInd w:w="0" w:type="dxa"/>
        <w:tblBorders>
          <w:top w:val="single" w:sz="4" w:space="0" w:color="1F3864" w:themeColor="accent1" w:themeShade="80"/>
          <w:left w:val="none" w:sz="0" w:space="0" w:color="auto"/>
          <w:bottom w:val="single" w:sz="4" w:space="0" w:color="1F3864" w:themeColor="accent1" w:themeShade="80"/>
          <w:right w:val="none" w:sz="0" w:space="0" w:color="auto"/>
          <w:insideH w:val="single" w:sz="4" w:space="0" w:color="1F3864" w:themeColor="accent1" w:themeShade="80"/>
          <w:insideV w:val="none" w:sz="0" w:space="0" w:color="auto"/>
        </w:tblBorders>
        <w:tblLook w:val="04A0" w:firstRow="1" w:lastRow="0" w:firstColumn="1" w:lastColumn="0" w:noHBand="0" w:noVBand="1"/>
      </w:tblPr>
      <w:tblGrid>
        <w:gridCol w:w="1560"/>
        <w:gridCol w:w="7229"/>
      </w:tblGrid>
      <w:tr w:rsidR="00DF5850" w:rsidRPr="0009699E" w14:paraId="2CE2529C" w14:textId="77777777" w:rsidTr="00DF37CC">
        <w:tc>
          <w:tcPr>
            <w:tcW w:w="1560" w:type="dxa"/>
          </w:tcPr>
          <w:p w14:paraId="1846D825" w14:textId="77777777" w:rsidR="00DF5850" w:rsidRPr="008874DE" w:rsidRDefault="00DF5850" w:rsidP="00903CCA">
            <w:pPr>
              <w:pStyle w:val="ListParagraph"/>
              <w:numPr>
                <w:ilvl w:val="0"/>
                <w:numId w:val="0"/>
              </w:numPr>
              <w:spacing w:before="0" w:after="0" w:line="259" w:lineRule="auto"/>
              <w:rPr>
                <w:b/>
                <w:color w:val="1F3864" w:themeColor="accent1" w:themeShade="80"/>
                <w:lang w:val="en-NZ"/>
              </w:rPr>
            </w:pPr>
            <w:r w:rsidRPr="008874DE">
              <w:rPr>
                <w:b/>
                <w:color w:val="1F3864" w:themeColor="accent1" w:themeShade="80"/>
                <w:lang w:val="en-NZ"/>
              </w:rPr>
              <w:t>Agency</w:t>
            </w:r>
          </w:p>
        </w:tc>
        <w:tc>
          <w:tcPr>
            <w:tcW w:w="7229" w:type="dxa"/>
          </w:tcPr>
          <w:p w14:paraId="70DEC2C1" w14:textId="77777777" w:rsidR="00DF5850" w:rsidRPr="008874DE" w:rsidRDefault="00DF5850" w:rsidP="00903CCA">
            <w:pPr>
              <w:pStyle w:val="ListParagraph"/>
              <w:numPr>
                <w:ilvl w:val="0"/>
                <w:numId w:val="0"/>
              </w:numPr>
              <w:spacing w:before="0" w:after="0" w:line="259" w:lineRule="auto"/>
              <w:rPr>
                <w:b/>
                <w:color w:val="1F3864" w:themeColor="accent1" w:themeShade="80"/>
                <w:lang w:val="en-NZ"/>
              </w:rPr>
            </w:pPr>
            <w:r w:rsidRPr="008874DE">
              <w:rPr>
                <w:b/>
                <w:color w:val="1F3864" w:themeColor="accent1" w:themeShade="80"/>
                <w:lang w:val="en-NZ"/>
              </w:rPr>
              <w:t>Monitoring / oversight role</w:t>
            </w:r>
          </w:p>
        </w:tc>
      </w:tr>
      <w:tr w:rsidR="00DF5850" w:rsidRPr="0009699E" w14:paraId="53E51DDB" w14:textId="77777777" w:rsidTr="00DF37CC">
        <w:tc>
          <w:tcPr>
            <w:tcW w:w="1560" w:type="dxa"/>
          </w:tcPr>
          <w:p w14:paraId="0188051D" w14:textId="77777777" w:rsidR="00DF5850" w:rsidRPr="008874DE" w:rsidRDefault="00DF5850" w:rsidP="00903CCA">
            <w:pPr>
              <w:pStyle w:val="ListParagraph"/>
              <w:numPr>
                <w:ilvl w:val="0"/>
                <w:numId w:val="0"/>
              </w:numPr>
              <w:spacing w:before="0" w:after="0" w:line="259" w:lineRule="auto"/>
              <w:rPr>
                <w:color w:val="1F3864" w:themeColor="accent1" w:themeShade="80"/>
                <w:lang w:val="en-NZ"/>
              </w:rPr>
            </w:pPr>
            <w:r w:rsidRPr="008874DE">
              <w:rPr>
                <w:color w:val="1F3864" w:themeColor="accent1" w:themeShade="80"/>
                <w:lang w:val="en-NZ"/>
              </w:rPr>
              <w:t>Children’s Commissioner</w:t>
            </w:r>
          </w:p>
        </w:tc>
        <w:tc>
          <w:tcPr>
            <w:tcW w:w="7229" w:type="dxa"/>
          </w:tcPr>
          <w:p w14:paraId="5A38E63A" w14:textId="77777777" w:rsidR="00DF5850" w:rsidRPr="008874DE" w:rsidRDefault="00DF5850" w:rsidP="00903CCA">
            <w:pPr>
              <w:pStyle w:val="ListParagraph"/>
              <w:numPr>
                <w:ilvl w:val="0"/>
                <w:numId w:val="0"/>
              </w:numPr>
              <w:spacing w:before="0" w:after="0" w:line="259" w:lineRule="auto"/>
              <w:rPr>
                <w:lang w:val="en-NZ"/>
              </w:rPr>
            </w:pPr>
            <w:r w:rsidRPr="008874DE">
              <w:rPr>
                <w:lang w:val="en-NZ"/>
              </w:rPr>
              <w:t>Takes special interest in services for children and youth. Part of the National Preventative Mechanism under the Convention Against Torture and Other Cruel, Inhuman or Degrading Treatment or Punishment (National Preventative Mechanism against Torture).</w:t>
            </w:r>
          </w:p>
        </w:tc>
      </w:tr>
      <w:tr w:rsidR="00DF5850" w:rsidRPr="0009699E" w14:paraId="2AE9B6CE" w14:textId="77777777" w:rsidTr="00DF37CC">
        <w:tc>
          <w:tcPr>
            <w:tcW w:w="1560" w:type="dxa"/>
          </w:tcPr>
          <w:p w14:paraId="17B7373F" w14:textId="77777777" w:rsidR="00DF5850" w:rsidRPr="008874DE" w:rsidRDefault="00DF5850" w:rsidP="00903CCA">
            <w:pPr>
              <w:pStyle w:val="ListParagraph"/>
              <w:numPr>
                <w:ilvl w:val="0"/>
                <w:numId w:val="0"/>
              </w:numPr>
              <w:spacing w:before="0" w:after="0" w:line="259" w:lineRule="auto"/>
              <w:rPr>
                <w:color w:val="1F3864" w:themeColor="accent1" w:themeShade="80"/>
                <w:lang w:val="en-NZ"/>
              </w:rPr>
            </w:pPr>
            <w:r w:rsidRPr="008874DE">
              <w:rPr>
                <w:color w:val="1F3864" w:themeColor="accent1" w:themeShade="80"/>
                <w:lang w:val="en-NZ"/>
              </w:rPr>
              <w:t>Director of Mental Health and Addiction</w:t>
            </w:r>
          </w:p>
        </w:tc>
        <w:tc>
          <w:tcPr>
            <w:tcW w:w="7229" w:type="dxa"/>
          </w:tcPr>
          <w:p w14:paraId="6ACF39CF" w14:textId="77777777" w:rsidR="00DF5850" w:rsidRPr="008874DE" w:rsidRDefault="00DF5850" w:rsidP="00903CCA">
            <w:pPr>
              <w:pStyle w:val="ListParagraph"/>
              <w:numPr>
                <w:ilvl w:val="0"/>
                <w:numId w:val="0"/>
              </w:numPr>
              <w:spacing w:before="0" w:after="0" w:line="259" w:lineRule="auto"/>
              <w:rPr>
                <w:lang w:val="en-NZ"/>
              </w:rPr>
            </w:pPr>
            <w:r w:rsidRPr="008874DE">
              <w:rPr>
                <w:lang w:val="en-NZ"/>
              </w:rPr>
              <w:t>The Director of Mental Health and Addiction independently monitors the exercise of powers under the Mental Health (Compulsory Assessment and Treatment) Act 1992 and the Substance Addiction (Compulsory Assessment and Treatment) Act 2017, including through district inspectors, and issues guidelines in relation to the implementation of these Acts.</w:t>
            </w:r>
          </w:p>
        </w:tc>
      </w:tr>
      <w:tr w:rsidR="00DF5850" w:rsidRPr="0009699E" w14:paraId="0D3AB7C6" w14:textId="77777777" w:rsidTr="00DF37CC">
        <w:tc>
          <w:tcPr>
            <w:tcW w:w="1560" w:type="dxa"/>
          </w:tcPr>
          <w:p w14:paraId="6316D95F" w14:textId="77777777" w:rsidR="00DF5850" w:rsidRPr="008874DE" w:rsidRDefault="00DF5850" w:rsidP="00903CCA">
            <w:pPr>
              <w:pStyle w:val="ListParagraph"/>
              <w:numPr>
                <w:ilvl w:val="0"/>
                <w:numId w:val="0"/>
              </w:numPr>
              <w:spacing w:before="0" w:after="0" w:line="259" w:lineRule="auto"/>
              <w:rPr>
                <w:color w:val="1F3864" w:themeColor="accent1" w:themeShade="80"/>
                <w:lang w:val="en-NZ"/>
              </w:rPr>
            </w:pPr>
            <w:r w:rsidRPr="008874DE">
              <w:rPr>
                <w:color w:val="1F3864" w:themeColor="accent1" w:themeShade="80"/>
                <w:lang w:val="en-NZ"/>
              </w:rPr>
              <w:t xml:space="preserve">Health and Disability Commissioner </w:t>
            </w:r>
          </w:p>
        </w:tc>
        <w:tc>
          <w:tcPr>
            <w:tcW w:w="7229" w:type="dxa"/>
          </w:tcPr>
          <w:p w14:paraId="7E9DF7DC" w14:textId="77777777" w:rsidR="00DF5850" w:rsidRPr="008874DE" w:rsidRDefault="00DF5850" w:rsidP="00903CCA">
            <w:pPr>
              <w:pStyle w:val="ListParagraph"/>
              <w:numPr>
                <w:ilvl w:val="0"/>
                <w:numId w:val="0"/>
              </w:numPr>
              <w:spacing w:before="0" w:after="0" w:line="259" w:lineRule="auto"/>
              <w:rPr>
                <w:lang w:val="en-NZ"/>
              </w:rPr>
            </w:pPr>
            <w:r w:rsidRPr="008874DE">
              <w:rPr>
                <w:lang w:val="en-NZ"/>
              </w:rPr>
              <w:t>Promotes and protects the rights of consumers under the Code of Health and Disability Services Consumers’ Rights and considers complaints about services. The current function to monitor mental health and addiction services and advocate improvements to those services will be transferred to the Mental Health and Wellbeing Commission when it comes into being.</w:t>
            </w:r>
          </w:p>
        </w:tc>
      </w:tr>
      <w:tr w:rsidR="00DF5850" w:rsidRPr="0009699E" w14:paraId="526591B0" w14:textId="77777777" w:rsidTr="00DF37CC">
        <w:tc>
          <w:tcPr>
            <w:tcW w:w="1560" w:type="dxa"/>
          </w:tcPr>
          <w:p w14:paraId="20A8DC5B" w14:textId="77777777" w:rsidR="00DF5850" w:rsidRPr="008874DE" w:rsidRDefault="00DF5850" w:rsidP="00903CCA">
            <w:pPr>
              <w:pStyle w:val="ListParagraph"/>
              <w:numPr>
                <w:ilvl w:val="0"/>
                <w:numId w:val="0"/>
              </w:numPr>
              <w:spacing w:before="0" w:after="0" w:line="259" w:lineRule="auto"/>
              <w:rPr>
                <w:color w:val="1F3864" w:themeColor="accent1" w:themeShade="80"/>
                <w:lang w:val="en-NZ"/>
              </w:rPr>
            </w:pPr>
            <w:r w:rsidRPr="008874DE">
              <w:rPr>
                <w:color w:val="1F3864" w:themeColor="accent1" w:themeShade="80"/>
                <w:lang w:val="en-NZ"/>
              </w:rPr>
              <w:t>Human Rights Commission</w:t>
            </w:r>
          </w:p>
        </w:tc>
        <w:tc>
          <w:tcPr>
            <w:tcW w:w="7229" w:type="dxa"/>
          </w:tcPr>
          <w:p w14:paraId="091A5618" w14:textId="77777777" w:rsidR="00DF5850" w:rsidRPr="008874DE" w:rsidRDefault="00DF5850" w:rsidP="00903CCA">
            <w:pPr>
              <w:pStyle w:val="ListParagraph"/>
              <w:numPr>
                <w:ilvl w:val="0"/>
                <w:numId w:val="0"/>
              </w:numPr>
              <w:spacing w:before="0" w:after="0" w:line="259" w:lineRule="auto"/>
              <w:rPr>
                <w:lang w:val="en-NZ"/>
              </w:rPr>
            </w:pPr>
            <w:r w:rsidRPr="008874DE">
              <w:rPr>
                <w:lang w:val="en-NZ"/>
              </w:rPr>
              <w:t xml:space="preserve">Monitors and reports on compliance with New Zealand law and international human rights instruments, including the rights of people with disabilities. Part of the Independent Monitoring Mechanism (IMM) that monitors the implementation of the UN Convention on the Rights of Persons with Disabilities. Coordinates the National Preventative Mechanism Against Torture.  </w:t>
            </w:r>
          </w:p>
        </w:tc>
      </w:tr>
      <w:tr w:rsidR="00DF5850" w:rsidRPr="0009699E" w14:paraId="4F2552DA" w14:textId="77777777" w:rsidTr="00DF37CC">
        <w:tc>
          <w:tcPr>
            <w:tcW w:w="1560" w:type="dxa"/>
          </w:tcPr>
          <w:p w14:paraId="1D92E4E8" w14:textId="77777777" w:rsidR="00DF5850" w:rsidRPr="008874DE" w:rsidRDefault="00DF5850" w:rsidP="00903CCA">
            <w:pPr>
              <w:pStyle w:val="ListParagraph"/>
              <w:numPr>
                <w:ilvl w:val="0"/>
                <w:numId w:val="0"/>
              </w:numPr>
              <w:spacing w:before="0" w:after="0" w:line="259" w:lineRule="auto"/>
              <w:rPr>
                <w:color w:val="1F3864" w:themeColor="accent1" w:themeShade="80"/>
                <w:lang w:val="en-NZ"/>
              </w:rPr>
            </w:pPr>
            <w:r w:rsidRPr="008874DE">
              <w:rPr>
                <w:color w:val="1F3864" w:themeColor="accent1" w:themeShade="80"/>
                <w:lang w:val="en-NZ"/>
              </w:rPr>
              <w:t>Ministry of Health</w:t>
            </w:r>
          </w:p>
        </w:tc>
        <w:tc>
          <w:tcPr>
            <w:tcW w:w="7229" w:type="dxa"/>
          </w:tcPr>
          <w:p w14:paraId="27645533" w14:textId="77777777" w:rsidR="00DF5850" w:rsidRPr="008874DE" w:rsidRDefault="00DF5850" w:rsidP="00903CCA">
            <w:pPr>
              <w:pStyle w:val="ListParagraph"/>
              <w:numPr>
                <w:ilvl w:val="0"/>
                <w:numId w:val="0"/>
              </w:numPr>
              <w:spacing w:before="0" w:after="0" w:line="259" w:lineRule="auto"/>
              <w:rPr>
                <w:lang w:val="en-NZ"/>
              </w:rPr>
            </w:pPr>
            <w:r w:rsidRPr="008874DE">
              <w:rPr>
                <w:lang w:val="en-NZ"/>
              </w:rPr>
              <w:t>Monitor health sector Crown entity performance, including of District Health Boards, on behalf of the Minister of Health.</w:t>
            </w:r>
          </w:p>
        </w:tc>
      </w:tr>
      <w:tr w:rsidR="00DF5850" w:rsidRPr="0009699E" w14:paraId="701B3692" w14:textId="77777777" w:rsidTr="00DF37CC">
        <w:tc>
          <w:tcPr>
            <w:tcW w:w="1560" w:type="dxa"/>
          </w:tcPr>
          <w:p w14:paraId="65E8606A" w14:textId="77777777" w:rsidR="00DF5850" w:rsidRPr="008874DE" w:rsidRDefault="00DF5850" w:rsidP="00903CCA">
            <w:pPr>
              <w:pStyle w:val="ListParagraph"/>
              <w:numPr>
                <w:ilvl w:val="0"/>
                <w:numId w:val="0"/>
              </w:numPr>
              <w:spacing w:before="0" w:after="0" w:line="259" w:lineRule="auto"/>
              <w:rPr>
                <w:color w:val="1F3864" w:themeColor="accent1" w:themeShade="80"/>
                <w:lang w:val="en-NZ"/>
              </w:rPr>
            </w:pPr>
            <w:r w:rsidRPr="008874DE">
              <w:rPr>
                <w:color w:val="1F3864" w:themeColor="accent1" w:themeShade="80"/>
                <w:lang w:val="en-NZ"/>
              </w:rPr>
              <w:t>Office of the Auditor General</w:t>
            </w:r>
          </w:p>
        </w:tc>
        <w:tc>
          <w:tcPr>
            <w:tcW w:w="7229" w:type="dxa"/>
          </w:tcPr>
          <w:p w14:paraId="1EC7BFF1" w14:textId="77777777" w:rsidR="00DF5850" w:rsidRPr="008874DE" w:rsidRDefault="00DF5850" w:rsidP="00903CCA">
            <w:pPr>
              <w:pStyle w:val="ListParagraph"/>
              <w:numPr>
                <w:ilvl w:val="0"/>
                <w:numId w:val="0"/>
              </w:numPr>
              <w:spacing w:before="0" w:after="0" w:line="259" w:lineRule="auto"/>
              <w:rPr>
                <w:lang w:val="en-NZ"/>
              </w:rPr>
            </w:pPr>
            <w:r w:rsidRPr="008874DE">
              <w:rPr>
                <w:lang w:val="en-NZ"/>
              </w:rPr>
              <w:t>Oversees the effective use of public funds for delivering services. Has powers to initiate inquiries into the performance of public sector mental health and addiction services.</w:t>
            </w:r>
          </w:p>
        </w:tc>
      </w:tr>
      <w:tr w:rsidR="00DF5850" w:rsidRPr="0009699E" w14:paraId="6D425EA1" w14:textId="77777777" w:rsidTr="00DF37CC">
        <w:tc>
          <w:tcPr>
            <w:tcW w:w="1560" w:type="dxa"/>
          </w:tcPr>
          <w:p w14:paraId="5F097DD1" w14:textId="77777777" w:rsidR="00DF5850" w:rsidRPr="008874DE" w:rsidRDefault="00DF5850" w:rsidP="00903CCA">
            <w:pPr>
              <w:pStyle w:val="ListParagraph"/>
              <w:numPr>
                <w:ilvl w:val="0"/>
                <w:numId w:val="0"/>
              </w:numPr>
              <w:spacing w:before="0" w:after="0" w:line="259" w:lineRule="auto"/>
              <w:rPr>
                <w:color w:val="1F3864" w:themeColor="accent1" w:themeShade="80"/>
                <w:lang w:val="en-NZ"/>
              </w:rPr>
            </w:pPr>
            <w:r w:rsidRPr="008874DE">
              <w:rPr>
                <w:color w:val="1F3864" w:themeColor="accent1" w:themeShade="80"/>
                <w:lang w:val="en-NZ"/>
              </w:rPr>
              <w:t>Office of the Ombudsman</w:t>
            </w:r>
          </w:p>
        </w:tc>
        <w:tc>
          <w:tcPr>
            <w:tcW w:w="7229" w:type="dxa"/>
          </w:tcPr>
          <w:p w14:paraId="0A2CA1A8" w14:textId="77777777" w:rsidR="00DF5850" w:rsidRPr="008874DE" w:rsidRDefault="00DF5850" w:rsidP="00903CCA">
            <w:pPr>
              <w:pStyle w:val="ListParagraph"/>
              <w:numPr>
                <w:ilvl w:val="0"/>
                <w:numId w:val="0"/>
              </w:numPr>
              <w:spacing w:before="0" w:after="0" w:line="259" w:lineRule="auto"/>
              <w:rPr>
                <w:lang w:val="en-NZ"/>
              </w:rPr>
            </w:pPr>
            <w:r w:rsidRPr="008874DE">
              <w:rPr>
                <w:lang w:val="en-NZ"/>
              </w:rPr>
              <w:t xml:space="preserve">Independently monitors and oversees state care facilities and places of detention, including mental health and addiction in-patient facilities as part of the National Preventative Mechanism Against Torture. The Ombudsman is also part of the IMM. </w:t>
            </w:r>
          </w:p>
        </w:tc>
      </w:tr>
      <w:tr w:rsidR="00DF5850" w:rsidRPr="0009699E" w14:paraId="2D28320E" w14:textId="77777777" w:rsidTr="00DF37CC">
        <w:tc>
          <w:tcPr>
            <w:tcW w:w="1560" w:type="dxa"/>
          </w:tcPr>
          <w:p w14:paraId="263533F6" w14:textId="77777777" w:rsidR="00DF5850" w:rsidRPr="008874DE" w:rsidRDefault="00DF5850" w:rsidP="00903CCA">
            <w:pPr>
              <w:pStyle w:val="ListParagraph"/>
              <w:numPr>
                <w:ilvl w:val="0"/>
                <w:numId w:val="0"/>
              </w:numPr>
              <w:spacing w:before="0" w:after="0" w:line="259" w:lineRule="auto"/>
              <w:rPr>
                <w:lang w:val="en-NZ"/>
              </w:rPr>
            </w:pPr>
            <w:r w:rsidRPr="008874DE">
              <w:rPr>
                <w:color w:val="1F3864" w:themeColor="accent1" w:themeShade="80"/>
                <w:lang w:val="en-NZ"/>
              </w:rPr>
              <w:t>Privacy Commission</w:t>
            </w:r>
          </w:p>
        </w:tc>
        <w:tc>
          <w:tcPr>
            <w:tcW w:w="7229" w:type="dxa"/>
          </w:tcPr>
          <w:p w14:paraId="62172661" w14:textId="77777777" w:rsidR="00DF5850" w:rsidRPr="008874DE" w:rsidRDefault="00DF5850" w:rsidP="00903CCA">
            <w:pPr>
              <w:pStyle w:val="ListParagraph"/>
              <w:numPr>
                <w:ilvl w:val="0"/>
                <w:numId w:val="0"/>
              </w:numPr>
              <w:spacing w:before="0" w:after="0" w:line="259" w:lineRule="auto"/>
              <w:rPr>
                <w:lang w:val="en-NZ"/>
              </w:rPr>
            </w:pPr>
            <w:r w:rsidRPr="008874DE">
              <w:rPr>
                <w:lang w:val="en-NZ"/>
              </w:rPr>
              <w:t>Investigates complaints about breaches of privacy.</w:t>
            </w:r>
          </w:p>
        </w:tc>
      </w:tr>
      <w:tr w:rsidR="00DF5850" w:rsidRPr="0009699E" w14:paraId="2CA9E3C7" w14:textId="77777777" w:rsidTr="00DF37CC">
        <w:tc>
          <w:tcPr>
            <w:tcW w:w="1560" w:type="dxa"/>
          </w:tcPr>
          <w:p w14:paraId="7A14FC41" w14:textId="77777777" w:rsidR="00DF5850" w:rsidRPr="008874DE" w:rsidRDefault="00DF5850" w:rsidP="00903CCA">
            <w:pPr>
              <w:pStyle w:val="ListParagraph"/>
              <w:numPr>
                <w:ilvl w:val="0"/>
                <w:numId w:val="0"/>
              </w:numPr>
              <w:spacing w:before="0" w:after="0" w:line="259" w:lineRule="auto"/>
              <w:rPr>
                <w:color w:val="1F3864" w:themeColor="accent1" w:themeShade="80"/>
                <w:lang w:val="en-NZ"/>
              </w:rPr>
            </w:pPr>
          </w:p>
        </w:tc>
        <w:tc>
          <w:tcPr>
            <w:tcW w:w="7229" w:type="dxa"/>
          </w:tcPr>
          <w:p w14:paraId="121E3A29" w14:textId="77777777" w:rsidR="00DF5850" w:rsidRPr="008874DE" w:rsidRDefault="00DF5850" w:rsidP="00903CCA">
            <w:pPr>
              <w:pStyle w:val="ListParagraph"/>
              <w:numPr>
                <w:ilvl w:val="0"/>
                <w:numId w:val="0"/>
              </w:numPr>
              <w:spacing w:before="0" w:after="0" w:line="259" w:lineRule="auto"/>
              <w:rPr>
                <w:b/>
                <w:color w:val="1F3864" w:themeColor="accent1" w:themeShade="80"/>
                <w:lang w:val="en-NZ"/>
              </w:rPr>
            </w:pPr>
            <w:r w:rsidRPr="008874DE">
              <w:rPr>
                <w:b/>
                <w:color w:val="1F3864" w:themeColor="accent1" w:themeShade="80"/>
                <w:lang w:val="en-NZ"/>
              </w:rPr>
              <w:t>Quality improvement role</w:t>
            </w:r>
          </w:p>
        </w:tc>
      </w:tr>
      <w:tr w:rsidR="00DF5850" w:rsidRPr="0009699E" w14:paraId="72AA759C" w14:textId="77777777" w:rsidTr="00DF37CC">
        <w:tc>
          <w:tcPr>
            <w:tcW w:w="1560" w:type="dxa"/>
          </w:tcPr>
          <w:p w14:paraId="0C941B91" w14:textId="77777777" w:rsidR="00DF5850" w:rsidRPr="008874DE" w:rsidRDefault="00DF5850" w:rsidP="00903CCA">
            <w:pPr>
              <w:pStyle w:val="ListParagraph"/>
              <w:numPr>
                <w:ilvl w:val="0"/>
                <w:numId w:val="0"/>
              </w:numPr>
              <w:spacing w:before="0" w:after="0" w:line="259" w:lineRule="auto"/>
              <w:rPr>
                <w:color w:val="1F3864" w:themeColor="accent1" w:themeShade="80"/>
                <w:lang w:val="en-NZ"/>
              </w:rPr>
            </w:pPr>
            <w:r w:rsidRPr="008874DE">
              <w:rPr>
                <w:color w:val="1F3864" w:themeColor="accent1" w:themeShade="80"/>
                <w:lang w:val="en-NZ"/>
              </w:rPr>
              <w:t>Health Quality and Safety Commission</w:t>
            </w:r>
          </w:p>
        </w:tc>
        <w:tc>
          <w:tcPr>
            <w:tcW w:w="7229" w:type="dxa"/>
          </w:tcPr>
          <w:p w14:paraId="28F24E16" w14:textId="77777777" w:rsidR="00DF5850" w:rsidRPr="008874DE" w:rsidRDefault="00DF5850" w:rsidP="00903CCA">
            <w:pPr>
              <w:pStyle w:val="ListParagraph"/>
              <w:numPr>
                <w:ilvl w:val="0"/>
                <w:numId w:val="0"/>
              </w:numPr>
              <w:spacing w:before="0" w:after="0" w:line="259" w:lineRule="auto"/>
              <w:rPr>
                <w:lang w:val="en-NZ"/>
              </w:rPr>
            </w:pPr>
            <w:r w:rsidRPr="008874DE">
              <w:rPr>
                <w:lang w:val="en-NZ"/>
              </w:rPr>
              <w:t xml:space="preserve">A five-year quality improvement programme to ensure people that experience mental health and addiction issues receive high-quality care and support. The programme is being delivered by DHBs, NGOs and primary health care organisations across the mental health and addiction sector. </w:t>
            </w:r>
          </w:p>
        </w:tc>
      </w:tr>
      <w:tr w:rsidR="00DF5850" w:rsidRPr="0009699E" w14:paraId="3F13EDCD" w14:textId="77777777" w:rsidTr="00DF37CC">
        <w:tc>
          <w:tcPr>
            <w:tcW w:w="1560" w:type="dxa"/>
          </w:tcPr>
          <w:p w14:paraId="106ED6CA" w14:textId="77777777" w:rsidR="00DF5850" w:rsidRPr="008874DE" w:rsidRDefault="00DF5850" w:rsidP="00903CCA">
            <w:pPr>
              <w:pStyle w:val="ListParagraph"/>
              <w:numPr>
                <w:ilvl w:val="0"/>
                <w:numId w:val="0"/>
              </w:numPr>
              <w:spacing w:before="0" w:after="0" w:line="259" w:lineRule="auto"/>
              <w:rPr>
                <w:color w:val="1F3864" w:themeColor="accent1" w:themeShade="80"/>
                <w:lang w:val="en-NZ"/>
              </w:rPr>
            </w:pPr>
            <w:r w:rsidRPr="008874DE">
              <w:rPr>
                <w:color w:val="1F3864" w:themeColor="accent1" w:themeShade="80"/>
                <w:lang w:val="en-NZ"/>
              </w:rPr>
              <w:t>Key Performance Indicator Programme</w:t>
            </w:r>
          </w:p>
        </w:tc>
        <w:tc>
          <w:tcPr>
            <w:tcW w:w="7229" w:type="dxa"/>
          </w:tcPr>
          <w:p w14:paraId="0732B344" w14:textId="77777777" w:rsidR="00DF5850" w:rsidRPr="008874DE" w:rsidRDefault="00DF5850" w:rsidP="00903CCA">
            <w:pPr>
              <w:pStyle w:val="ListParagraph"/>
              <w:numPr>
                <w:ilvl w:val="0"/>
                <w:numId w:val="0"/>
              </w:numPr>
              <w:spacing w:before="0" w:after="0" w:line="259" w:lineRule="auto"/>
              <w:rPr>
                <w:lang w:val="en-NZ"/>
              </w:rPr>
            </w:pPr>
            <w:r w:rsidRPr="008874DE">
              <w:rPr>
                <w:lang w:val="en-NZ"/>
              </w:rPr>
              <w:t>A provider-led initiative designed to bring about quality and performance improvement across the mental health and addictions sector</w:t>
            </w:r>
            <w:r w:rsidRPr="008874DE">
              <w:rPr>
                <w:color w:val="444444"/>
              </w:rPr>
              <w:t xml:space="preserve"> through ready access to, and use of, comparative service performance information.  The initiative promotes the sharing of information, ideas and learning to drive service improvement and is supported by provider governance, national coordination and the formation of peer groupings based on issues of mutual interest and benefit.</w:t>
            </w:r>
          </w:p>
        </w:tc>
      </w:tr>
      <w:tr w:rsidR="00DF5850" w:rsidRPr="0009699E" w14:paraId="13A5BA99" w14:textId="77777777" w:rsidTr="00DF37CC">
        <w:tc>
          <w:tcPr>
            <w:tcW w:w="1560" w:type="dxa"/>
          </w:tcPr>
          <w:p w14:paraId="7A96B0DA" w14:textId="77777777" w:rsidR="00DF5850" w:rsidRPr="008874DE" w:rsidRDefault="00DF5850" w:rsidP="00903CCA">
            <w:pPr>
              <w:pStyle w:val="ListParagraph"/>
              <w:numPr>
                <w:ilvl w:val="0"/>
                <w:numId w:val="0"/>
              </w:numPr>
              <w:spacing w:before="0" w:after="0" w:line="259" w:lineRule="auto"/>
              <w:rPr>
                <w:color w:val="1F3864" w:themeColor="accent1" w:themeShade="80"/>
                <w:lang w:val="en-NZ"/>
              </w:rPr>
            </w:pPr>
            <w:r w:rsidRPr="008874DE">
              <w:rPr>
                <w:color w:val="1F3864" w:themeColor="accent1" w:themeShade="80"/>
                <w:lang w:val="en-NZ"/>
              </w:rPr>
              <w:t>Knowledge Network</w:t>
            </w:r>
          </w:p>
        </w:tc>
        <w:tc>
          <w:tcPr>
            <w:tcW w:w="7229" w:type="dxa"/>
          </w:tcPr>
          <w:p w14:paraId="020BA42B" w14:textId="77777777" w:rsidR="00DF5850" w:rsidRPr="008874DE" w:rsidRDefault="00DF5850" w:rsidP="00903CCA">
            <w:pPr>
              <w:spacing w:line="259" w:lineRule="auto"/>
              <w:rPr>
                <w:rFonts w:cs="Arial"/>
                <w:lang w:val="en-NZ"/>
              </w:rPr>
            </w:pPr>
            <w:r w:rsidRPr="008874DE">
              <w:rPr>
                <w:rFonts w:cs="Arial"/>
                <w:lang w:val="en-NZ"/>
              </w:rPr>
              <w:t>The Knowledge Network is a Te Tiriti-based and sector owned initiative that aims to improve the mental health and wellbeing of New Zealanders and achieve equity for Māori by: bringing together diverse mental health and addiction leaders; sharing assorted perspectives and experiences; learning about how to implement innovations and transformation; focusing on learning about Māori models of health and wellbeing, and approaches that address equity for Māori. Te Pou has been awarded the contract to establish and host the Network for the next 12 months.</w:t>
            </w:r>
          </w:p>
        </w:tc>
      </w:tr>
    </w:tbl>
    <w:p w14:paraId="1C3854E5" w14:textId="39E4129F" w:rsidR="00502672" w:rsidRPr="0009699E" w:rsidRDefault="00502672" w:rsidP="00502672">
      <w:pPr>
        <w:rPr>
          <w:rFonts w:cs="Arial"/>
          <w:b/>
          <w:sz w:val="20"/>
          <w:szCs w:val="20"/>
          <w:lang w:val="en-NZ" w:eastAsia="en-GB"/>
        </w:rPr>
      </w:pPr>
      <w:r w:rsidRPr="0009699E">
        <w:rPr>
          <w:rFonts w:cs="Arial"/>
          <w:b/>
          <w:sz w:val="20"/>
          <w:szCs w:val="20"/>
          <w:lang w:val="en-NZ" w:eastAsia="en-GB"/>
        </w:rPr>
        <w:lastRenderedPageBreak/>
        <w:t xml:space="preserve">Appendix </w:t>
      </w:r>
      <w:r w:rsidR="006138AA">
        <w:rPr>
          <w:rFonts w:cs="Arial"/>
          <w:b/>
          <w:sz w:val="20"/>
          <w:szCs w:val="20"/>
          <w:lang w:val="en-NZ" w:eastAsia="en-GB"/>
        </w:rPr>
        <w:t>2</w:t>
      </w:r>
    </w:p>
    <w:p w14:paraId="381D9448" w14:textId="77777777" w:rsidR="00502672" w:rsidRPr="0009699E" w:rsidRDefault="00502672" w:rsidP="00502672">
      <w:pPr>
        <w:rPr>
          <w:rFonts w:cs="Arial"/>
          <w:b/>
          <w:sz w:val="20"/>
          <w:szCs w:val="20"/>
          <w:lang w:val="en-NZ" w:eastAsia="en-GB"/>
        </w:rPr>
      </w:pPr>
      <w:r w:rsidRPr="0009699E">
        <w:rPr>
          <w:rFonts w:cs="Arial"/>
          <w:b/>
          <w:sz w:val="20"/>
          <w:szCs w:val="20"/>
          <w:lang w:val="en-NZ" w:eastAsia="en-GB"/>
        </w:rPr>
        <w:t>Sources for developing a draft definition of mental health services and addiction services</w:t>
      </w:r>
    </w:p>
    <w:tbl>
      <w:tblPr>
        <w:tblStyle w:val="TableGrid"/>
        <w:tblW w:w="9361" w:type="dxa"/>
        <w:tblInd w:w="0" w:type="dxa"/>
        <w:tblBorders>
          <w:top w:val="single" w:sz="4" w:space="0" w:color="1F3864" w:themeColor="accent1" w:themeShade="80"/>
          <w:left w:val="none" w:sz="0" w:space="0" w:color="auto"/>
          <w:bottom w:val="single" w:sz="4" w:space="0" w:color="1F3864" w:themeColor="accent1" w:themeShade="80"/>
          <w:right w:val="none" w:sz="0" w:space="0" w:color="auto"/>
          <w:insideH w:val="single" w:sz="4" w:space="0" w:color="1F3864" w:themeColor="accent1" w:themeShade="80"/>
          <w:insideV w:val="none" w:sz="0" w:space="0" w:color="auto"/>
        </w:tblBorders>
        <w:tblLook w:val="04A0" w:firstRow="1" w:lastRow="0" w:firstColumn="1" w:lastColumn="0" w:noHBand="0" w:noVBand="1"/>
      </w:tblPr>
      <w:tblGrid>
        <w:gridCol w:w="1495"/>
        <w:gridCol w:w="7866"/>
      </w:tblGrid>
      <w:tr w:rsidR="00502672" w:rsidRPr="0009699E" w14:paraId="29AC0E5F" w14:textId="77777777" w:rsidTr="00C50011">
        <w:tc>
          <w:tcPr>
            <w:tcW w:w="1281" w:type="dxa"/>
          </w:tcPr>
          <w:p w14:paraId="61CE65BF" w14:textId="77777777" w:rsidR="00502672" w:rsidRPr="008874DE" w:rsidRDefault="00502672" w:rsidP="00C50011">
            <w:pPr>
              <w:spacing w:before="60" w:after="60"/>
              <w:rPr>
                <w:rFonts w:cs="Arial"/>
                <w:b/>
                <w:color w:val="1F3864" w:themeColor="accent1" w:themeShade="80"/>
              </w:rPr>
            </w:pPr>
            <w:bookmarkStart w:id="17" w:name="_Toc52913218"/>
            <w:r w:rsidRPr="008874DE">
              <w:rPr>
                <w:rFonts w:cs="Arial"/>
                <w:b/>
                <w:color w:val="1F3864" w:themeColor="accent1" w:themeShade="80"/>
              </w:rPr>
              <w:t>Source</w:t>
            </w:r>
          </w:p>
        </w:tc>
        <w:tc>
          <w:tcPr>
            <w:tcW w:w="8080" w:type="dxa"/>
          </w:tcPr>
          <w:p w14:paraId="46223730" w14:textId="77777777" w:rsidR="00502672" w:rsidRPr="008874DE" w:rsidRDefault="00502672" w:rsidP="00C50011">
            <w:pPr>
              <w:spacing w:before="60" w:after="60"/>
              <w:rPr>
                <w:rFonts w:cs="Arial"/>
                <w:b/>
                <w:color w:val="1F3864" w:themeColor="accent1" w:themeShade="80"/>
              </w:rPr>
            </w:pPr>
            <w:r w:rsidRPr="008874DE">
              <w:rPr>
                <w:rFonts w:cs="Arial"/>
                <w:b/>
                <w:color w:val="1F3864" w:themeColor="accent1" w:themeShade="80"/>
              </w:rPr>
              <w:t>Commentary</w:t>
            </w:r>
          </w:p>
        </w:tc>
      </w:tr>
      <w:tr w:rsidR="00502672" w:rsidRPr="0009699E" w14:paraId="466045BB" w14:textId="77777777" w:rsidTr="00C50011">
        <w:tc>
          <w:tcPr>
            <w:tcW w:w="1281" w:type="dxa"/>
          </w:tcPr>
          <w:p w14:paraId="48B0157F" w14:textId="77777777" w:rsidR="00502672" w:rsidRPr="008874DE" w:rsidRDefault="00502672" w:rsidP="00C50011">
            <w:pPr>
              <w:spacing w:before="60" w:after="60"/>
              <w:rPr>
                <w:rFonts w:cs="Arial"/>
                <w:color w:val="1F3864" w:themeColor="accent1" w:themeShade="80"/>
              </w:rPr>
            </w:pPr>
            <w:r w:rsidRPr="008874DE">
              <w:rPr>
                <w:rFonts w:cs="Arial"/>
                <w:color w:val="1F3864" w:themeColor="accent1" w:themeShade="80"/>
              </w:rPr>
              <w:t>The Mental Health and Wellbeing Commission Act 2020</w:t>
            </w:r>
          </w:p>
          <w:p w14:paraId="263591D0" w14:textId="77777777" w:rsidR="00502672" w:rsidRPr="008874DE" w:rsidRDefault="00502672" w:rsidP="00C50011">
            <w:pPr>
              <w:spacing w:before="60" w:after="60"/>
              <w:rPr>
                <w:rFonts w:cs="Arial"/>
                <w:color w:val="1F3864" w:themeColor="accent1" w:themeShade="80"/>
              </w:rPr>
            </w:pPr>
          </w:p>
        </w:tc>
        <w:tc>
          <w:tcPr>
            <w:tcW w:w="8080" w:type="dxa"/>
          </w:tcPr>
          <w:p w14:paraId="7027A8E2" w14:textId="77777777" w:rsidR="00502672" w:rsidRPr="008874DE" w:rsidRDefault="00502672" w:rsidP="00C50011">
            <w:pPr>
              <w:spacing w:before="60" w:after="60" w:line="252" w:lineRule="auto"/>
              <w:rPr>
                <w:rFonts w:cs="Arial"/>
                <w:lang w:val="mi-NZ"/>
              </w:rPr>
            </w:pPr>
            <w:r w:rsidRPr="008874DE">
              <w:rPr>
                <w:rFonts w:cs="Arial"/>
              </w:rPr>
              <w:t xml:space="preserve">The Mental Health and Wellbeing Act 2020 does not define a mental health service or addiction service. It does distinguish, however, </w:t>
            </w:r>
            <w:r w:rsidRPr="008874DE">
              <w:rPr>
                <w:rFonts w:cs="Arial"/>
                <w:lang w:val="mi-NZ"/>
              </w:rPr>
              <w:t>between “mental health services and addiction services”; “</w:t>
            </w:r>
            <w:r w:rsidRPr="008874DE">
              <w:rPr>
                <w:rFonts w:cs="Arial"/>
              </w:rPr>
              <w:t>approaches</w:t>
            </w:r>
            <w:r w:rsidRPr="008874DE">
              <w:rPr>
                <w:rFonts w:cs="Arial"/>
                <w:lang w:val="mi-NZ"/>
              </w:rPr>
              <w:t xml:space="preserve"> to mental health and wellbeing”; and factors and activities that affect people’s mental health and wellbeing (see Figure 4 in the body of the paper). These distinctions indicate that mental health services and addiction services are intended to be a subset of approaches to mental health and wellbeing. </w:t>
            </w:r>
          </w:p>
          <w:p w14:paraId="3C86DB84" w14:textId="77777777" w:rsidR="00502672" w:rsidRPr="008874DE" w:rsidRDefault="00502672" w:rsidP="00C50011">
            <w:pPr>
              <w:spacing w:before="60" w:after="60" w:line="252" w:lineRule="auto"/>
              <w:rPr>
                <w:rFonts w:cs="Arial"/>
              </w:rPr>
            </w:pPr>
            <w:r w:rsidRPr="008874DE">
              <w:rPr>
                <w:rFonts w:cs="Arial"/>
              </w:rPr>
              <w:t xml:space="preserve">The Act’s objective is to “contribute to better and equitable mental health and wellbeing outcomes for people in New Zealand”. As the Act came as a response to </w:t>
            </w:r>
            <w:r w:rsidRPr="008874DE">
              <w:rPr>
                <w:rFonts w:cs="Arial"/>
                <w:i/>
              </w:rPr>
              <w:t xml:space="preserve">He Ara Oranga, </w:t>
            </w:r>
            <w:r w:rsidRPr="008874DE">
              <w:rPr>
                <w:rFonts w:cs="Arial"/>
              </w:rPr>
              <w:t xml:space="preserve">we suggest the definition of mental health services and addiction services should reflect the transformational vision of </w:t>
            </w:r>
            <w:r w:rsidRPr="008874DE">
              <w:rPr>
                <w:rFonts w:cs="Arial"/>
                <w:i/>
              </w:rPr>
              <w:t>He Ara Oranga</w:t>
            </w:r>
            <w:r w:rsidRPr="008874DE">
              <w:rPr>
                <w:rFonts w:cs="Arial"/>
              </w:rPr>
              <w:t xml:space="preserve">, while also recognising that </w:t>
            </w:r>
            <w:r w:rsidRPr="008874DE">
              <w:rPr>
                <w:rFonts w:cs="Arial"/>
                <w:i/>
              </w:rPr>
              <w:t xml:space="preserve">He Ara Oranga </w:t>
            </w:r>
            <w:r w:rsidRPr="008874DE">
              <w:rPr>
                <w:rFonts w:cs="Arial"/>
              </w:rPr>
              <w:t>itself made a distinction between mental wellbeing approaches as being in scope and other wellbeing approaches and services as being out of scope of the Commission. The departmental report accompanying the second reading of the Bill notes that:</w:t>
            </w:r>
          </w:p>
          <w:p w14:paraId="1CA022B5" w14:textId="77777777" w:rsidR="00502672" w:rsidRPr="008874DE" w:rsidRDefault="00502672" w:rsidP="00C50011">
            <w:pPr>
              <w:pStyle w:val="Default"/>
              <w:spacing w:before="60" w:after="60" w:line="252" w:lineRule="auto"/>
              <w:ind w:left="336"/>
              <w:rPr>
                <w:rFonts w:ascii="Arial" w:hAnsi="Arial" w:cs="Arial"/>
                <w:sz w:val="20"/>
                <w:szCs w:val="20"/>
              </w:rPr>
            </w:pPr>
            <w:r w:rsidRPr="008874DE">
              <w:rPr>
                <w:rFonts w:ascii="Arial" w:hAnsi="Arial" w:cs="Arial"/>
                <w:sz w:val="20"/>
                <w:szCs w:val="20"/>
              </w:rPr>
              <w:t xml:space="preserve">The Ministry considers that the Bill as drafted, along with the Explanatory Note, is sufficiently clear that the Commission’s focus is mental wellbeing. This is consistent with </w:t>
            </w:r>
            <w:r w:rsidRPr="008874DE">
              <w:rPr>
                <w:rFonts w:ascii="Arial" w:hAnsi="Arial" w:cs="Arial"/>
                <w:i/>
                <w:iCs/>
                <w:sz w:val="20"/>
                <w:szCs w:val="20"/>
              </w:rPr>
              <w:t>He Ara Oranga</w:t>
            </w:r>
            <w:r w:rsidRPr="008874DE">
              <w:rPr>
                <w:rFonts w:ascii="Arial" w:hAnsi="Arial" w:cs="Arial"/>
                <w:sz w:val="20"/>
                <w:szCs w:val="20"/>
              </w:rPr>
              <w:t xml:space="preserve">, which recommended establishing a social wellbeing agency, separate from the Mental Health and Wellbeing Commission, to “prevent the Commission being ‘swamped’ by having to address every domain of wellbeing and all social determinants and enable it to focus more directly on its core roles.” The Bill does provide the Commission with the mandate to consider the impact of other factors on mental wellbeing. These factors could include financial, social, spiritual or physical wellbeing. </w:t>
            </w:r>
          </w:p>
        </w:tc>
      </w:tr>
      <w:tr w:rsidR="00502672" w:rsidRPr="0009699E" w14:paraId="0B5F1288" w14:textId="77777777" w:rsidTr="00C50011">
        <w:tc>
          <w:tcPr>
            <w:tcW w:w="1281" w:type="dxa"/>
          </w:tcPr>
          <w:p w14:paraId="765FF7D0" w14:textId="77777777" w:rsidR="00502672" w:rsidRPr="008874DE" w:rsidRDefault="00502672" w:rsidP="00C50011">
            <w:pPr>
              <w:spacing w:before="60" w:after="60"/>
              <w:rPr>
                <w:rFonts w:cs="Arial"/>
                <w:color w:val="1F3864" w:themeColor="accent1" w:themeShade="80"/>
              </w:rPr>
            </w:pPr>
            <w:r w:rsidRPr="008874DE">
              <w:rPr>
                <w:rFonts w:cs="Arial"/>
                <w:color w:val="1F3864" w:themeColor="accent1" w:themeShade="80"/>
              </w:rPr>
              <w:t>Mental Health Commissioner</w:t>
            </w:r>
          </w:p>
        </w:tc>
        <w:tc>
          <w:tcPr>
            <w:tcW w:w="8080" w:type="dxa"/>
          </w:tcPr>
          <w:p w14:paraId="5AB2E172" w14:textId="77777777" w:rsidR="00502672" w:rsidRPr="008874DE" w:rsidRDefault="00502672" w:rsidP="00C50011">
            <w:pPr>
              <w:spacing w:before="60" w:after="60" w:line="252" w:lineRule="auto"/>
              <w:rPr>
                <w:rFonts w:cs="Arial"/>
                <w:lang w:val="mi-NZ"/>
              </w:rPr>
            </w:pPr>
            <w:r w:rsidRPr="008874DE">
              <w:rPr>
                <w:rFonts w:cs="Arial"/>
                <w:lang w:val="mi-NZ"/>
              </w:rPr>
              <w:t xml:space="preserve">The Mental Health Commissioner defines </w:t>
            </w:r>
            <w:r w:rsidRPr="008874DE">
              <w:rPr>
                <w:rFonts w:cs="Arial"/>
                <w:color w:val="1F3864" w:themeColor="accent1" w:themeShade="80"/>
                <w:lang w:val="mi-NZ"/>
              </w:rPr>
              <w:t>mental health services</w:t>
            </w:r>
            <w:r w:rsidRPr="008874DE">
              <w:rPr>
                <w:rFonts w:cs="Arial"/>
                <w:color w:val="1F3864" w:themeColor="accent1" w:themeShade="80"/>
                <w:u w:val="single"/>
                <w:lang w:val="mi-NZ"/>
              </w:rPr>
              <w:t xml:space="preserve"> </w:t>
            </w:r>
            <w:r w:rsidRPr="008874DE">
              <w:rPr>
                <w:rFonts w:cs="Arial"/>
                <w:color w:val="1F3864" w:themeColor="accent1" w:themeShade="80"/>
                <w:lang w:val="mi-NZ"/>
              </w:rPr>
              <w:t xml:space="preserve">and addiction services </w:t>
            </w:r>
            <w:r w:rsidRPr="008874DE">
              <w:rPr>
                <w:rFonts w:cs="Arial"/>
                <w:lang w:val="mi-NZ"/>
              </w:rPr>
              <w:t xml:space="preserve">for the purpose of his monitoring function as “health services that respond to mental health or addiction need”. The definition of a ‘health service’ is taken from the Health and Disability Commissioner Act 1994 and includes services (regardless of funding source or provider) to promote and protect health, prevent ill-health, and to treat, diagnose or rehabilitate. </w:t>
            </w:r>
          </w:p>
          <w:p w14:paraId="1B7FA80F" w14:textId="77777777" w:rsidR="00502672" w:rsidRPr="008874DE" w:rsidRDefault="00502672" w:rsidP="00C50011">
            <w:pPr>
              <w:spacing w:before="60" w:after="60" w:line="252" w:lineRule="auto"/>
              <w:rPr>
                <w:rFonts w:cs="Arial"/>
              </w:rPr>
            </w:pPr>
            <w:r w:rsidRPr="008874DE">
              <w:rPr>
                <w:rFonts w:cs="Arial"/>
              </w:rPr>
              <w:t xml:space="preserve">In practice, the monitoring and reporting focus of the Mental Health Commissioner has been on Vote Health services and Corrections Services. This focus reflects the concentration of complaints received by the Health and Disability Commissioner in relation to mental health and addiction services; the availability of information to undertake robust monitoring and advocacy; and the availability of resource to deliver on the monitoring and advocacy function. </w:t>
            </w:r>
          </w:p>
        </w:tc>
      </w:tr>
      <w:tr w:rsidR="00502672" w:rsidRPr="0009699E" w14:paraId="74E65903" w14:textId="77777777" w:rsidTr="00C50011">
        <w:tc>
          <w:tcPr>
            <w:tcW w:w="1281" w:type="dxa"/>
            <w:vMerge w:val="restart"/>
          </w:tcPr>
          <w:p w14:paraId="59569F08" w14:textId="77777777" w:rsidR="00502672" w:rsidRPr="008874DE" w:rsidRDefault="00502672" w:rsidP="00C50011">
            <w:pPr>
              <w:spacing w:before="60" w:after="60"/>
              <w:rPr>
                <w:rFonts w:cs="Arial"/>
                <w:color w:val="1F3864" w:themeColor="accent1" w:themeShade="80"/>
              </w:rPr>
            </w:pPr>
            <w:bookmarkStart w:id="18" w:name="_Toc52913219"/>
            <w:r w:rsidRPr="008874DE">
              <w:rPr>
                <w:rFonts w:cs="Arial"/>
                <w:color w:val="1F3864" w:themeColor="accent1" w:themeShade="80"/>
              </w:rPr>
              <w:t>Ministry of Health and Ministry endorsed definitions</w:t>
            </w:r>
            <w:bookmarkEnd w:id="18"/>
          </w:p>
          <w:p w14:paraId="6B1FD583" w14:textId="77777777" w:rsidR="00502672" w:rsidRPr="008874DE" w:rsidRDefault="00502672" w:rsidP="00C50011">
            <w:pPr>
              <w:spacing w:before="60" w:after="60"/>
              <w:rPr>
                <w:rFonts w:cs="Arial"/>
                <w:color w:val="1F3864" w:themeColor="accent1" w:themeShade="80"/>
              </w:rPr>
            </w:pPr>
          </w:p>
        </w:tc>
        <w:tc>
          <w:tcPr>
            <w:tcW w:w="8080" w:type="dxa"/>
          </w:tcPr>
          <w:p w14:paraId="3F4EFA1A" w14:textId="77777777" w:rsidR="00502672" w:rsidRPr="008874DE" w:rsidRDefault="00502672" w:rsidP="00C50011">
            <w:pPr>
              <w:spacing w:before="60" w:after="60" w:line="252" w:lineRule="auto"/>
              <w:rPr>
                <w:rFonts w:cs="Arial"/>
              </w:rPr>
            </w:pPr>
            <w:r w:rsidRPr="008874DE">
              <w:rPr>
                <w:rFonts w:cs="Arial"/>
                <w:color w:val="1F3864" w:themeColor="accent1" w:themeShade="80"/>
                <w:lang w:val="mi-NZ"/>
              </w:rPr>
              <w:t>Specialist mental health and addiction services</w:t>
            </w:r>
            <w:r w:rsidRPr="008874DE">
              <w:rPr>
                <w:rFonts w:cs="Arial"/>
                <w:color w:val="2F5496" w:themeColor="accent1" w:themeShade="BF"/>
                <w:lang w:val="mi-NZ"/>
              </w:rPr>
              <w:t xml:space="preserve"> </w:t>
            </w:r>
            <w:r w:rsidRPr="008874DE">
              <w:rPr>
                <w:rFonts w:cs="Arial"/>
                <w:lang w:val="mi-NZ"/>
              </w:rPr>
              <w:t xml:space="preserve">are reasonably well defined in Ministry of Health documents, most recently in the </w:t>
            </w:r>
            <w:r w:rsidRPr="008874DE">
              <w:rPr>
                <w:rFonts w:cs="Arial"/>
                <w:i/>
                <w:lang w:val="mi-NZ"/>
              </w:rPr>
              <w:t>Kia Kaha COVID-19 Wellbeing Recovery Plan</w:t>
            </w:r>
            <w:r w:rsidRPr="008874DE">
              <w:rPr>
                <w:rFonts w:cs="Arial"/>
              </w:rPr>
              <w:t xml:space="preserve"> [https://www.health.govt.nz/publication/covid-19-psychosocial-and-mental-wellbeing-recovery-plan] </w:t>
            </w:r>
            <w:r w:rsidRPr="008874DE">
              <w:rPr>
                <w:rFonts w:cs="Arial"/>
                <w:lang w:val="mi-NZ"/>
              </w:rPr>
              <w:t>as:</w:t>
            </w:r>
          </w:p>
          <w:p w14:paraId="53DD867E" w14:textId="77777777" w:rsidR="00502672" w:rsidRPr="008874DE" w:rsidRDefault="00502672" w:rsidP="00C50011">
            <w:pPr>
              <w:pStyle w:val="ListParagraph"/>
              <w:numPr>
                <w:ilvl w:val="0"/>
                <w:numId w:val="0"/>
              </w:numPr>
              <w:spacing w:before="60" w:after="60" w:line="252" w:lineRule="auto"/>
              <w:ind w:left="181"/>
              <w:contextualSpacing w:val="0"/>
            </w:pPr>
            <w:r w:rsidRPr="008874DE">
              <w:t>services designed specifically for people with complex and/or enduring mental health and/or addiction needs. These services include NGO- and DHB-delivered community and residential services and services delivered in a hospital setting.</w:t>
            </w:r>
          </w:p>
          <w:p w14:paraId="747D81D0" w14:textId="77777777" w:rsidR="00502672" w:rsidRPr="008874DE" w:rsidRDefault="00502672" w:rsidP="00C50011">
            <w:pPr>
              <w:spacing w:before="60" w:after="60" w:line="252" w:lineRule="auto"/>
              <w:rPr>
                <w:rFonts w:cs="Arial"/>
              </w:rPr>
            </w:pPr>
          </w:p>
          <w:p w14:paraId="0DE9F3F0" w14:textId="77777777" w:rsidR="00502672" w:rsidRPr="008874DE" w:rsidRDefault="00502672" w:rsidP="00C50011">
            <w:pPr>
              <w:spacing w:before="60" w:after="60" w:line="252" w:lineRule="auto"/>
              <w:rPr>
                <w:rFonts w:cs="Arial"/>
              </w:rPr>
            </w:pPr>
          </w:p>
          <w:p w14:paraId="633FFCE7" w14:textId="77777777" w:rsidR="00502672" w:rsidRPr="008874DE" w:rsidRDefault="00502672" w:rsidP="00C50011">
            <w:pPr>
              <w:spacing w:before="60" w:after="60" w:line="252" w:lineRule="auto"/>
              <w:rPr>
                <w:rFonts w:cs="Arial"/>
              </w:rPr>
            </w:pPr>
          </w:p>
          <w:p w14:paraId="28D60508" w14:textId="77777777" w:rsidR="00502672" w:rsidRPr="008874DE" w:rsidRDefault="00502672" w:rsidP="00C50011">
            <w:pPr>
              <w:spacing w:before="60" w:after="60" w:line="252" w:lineRule="auto"/>
              <w:rPr>
                <w:rFonts w:cs="Arial"/>
              </w:rPr>
            </w:pPr>
          </w:p>
          <w:p w14:paraId="358BD8F3" w14:textId="77777777" w:rsidR="00502672" w:rsidRPr="008874DE" w:rsidRDefault="00502672" w:rsidP="00C50011">
            <w:pPr>
              <w:spacing w:before="60" w:after="60" w:line="252" w:lineRule="auto"/>
              <w:rPr>
                <w:rFonts w:cs="Arial"/>
              </w:rPr>
            </w:pPr>
          </w:p>
          <w:p w14:paraId="510EC256" w14:textId="77777777" w:rsidR="00502672" w:rsidRPr="008874DE" w:rsidRDefault="00502672" w:rsidP="00C50011">
            <w:pPr>
              <w:spacing w:before="60" w:after="60" w:line="252" w:lineRule="auto"/>
              <w:rPr>
                <w:rFonts w:cs="Arial"/>
              </w:rPr>
            </w:pPr>
          </w:p>
          <w:p w14:paraId="3E4231D6" w14:textId="77777777" w:rsidR="00502672" w:rsidRPr="008874DE" w:rsidRDefault="00502672" w:rsidP="00C50011">
            <w:pPr>
              <w:spacing w:before="60" w:after="60" w:line="252" w:lineRule="auto"/>
              <w:rPr>
                <w:rFonts w:cs="Arial"/>
              </w:rPr>
            </w:pPr>
            <w:r w:rsidRPr="008874DE">
              <w:rPr>
                <w:rFonts w:cs="Arial"/>
              </w:rPr>
              <w:lastRenderedPageBreak/>
              <w:t xml:space="preserve">The </w:t>
            </w:r>
            <w:r w:rsidRPr="008874DE">
              <w:rPr>
                <w:rFonts w:cs="Arial"/>
                <w:lang w:val="mi-NZ"/>
              </w:rPr>
              <w:t>expectations</w:t>
            </w:r>
            <w:r w:rsidRPr="008874DE">
              <w:rPr>
                <w:rFonts w:cs="Arial"/>
              </w:rPr>
              <w:t xml:space="preserve"> for specialist services are set out in the Ministry of Health’s </w:t>
            </w:r>
            <w:hyperlink r:id="rId26" w:history="1">
              <w:r w:rsidRPr="008874DE">
                <w:rPr>
                  <w:rStyle w:val="Hyperlink"/>
                  <w:rFonts w:cs="Arial"/>
                </w:rPr>
                <w:t>Mental Health and Addiction Service Specifications</w:t>
              </w:r>
            </w:hyperlink>
            <w:r w:rsidRPr="008874DE">
              <w:rPr>
                <w:rFonts w:cs="Arial"/>
              </w:rPr>
              <w:t>. These service specifications note that:</w:t>
            </w:r>
          </w:p>
          <w:p w14:paraId="0C7EBB5B" w14:textId="77777777" w:rsidR="00502672" w:rsidRPr="008874DE" w:rsidRDefault="00502672" w:rsidP="00C50011">
            <w:pPr>
              <w:pStyle w:val="ListParagraph"/>
              <w:numPr>
                <w:ilvl w:val="0"/>
                <w:numId w:val="0"/>
              </w:numPr>
              <w:spacing w:before="60" w:after="60" w:line="252" w:lineRule="auto"/>
              <w:ind w:left="181"/>
              <w:contextualSpacing w:val="0"/>
            </w:pPr>
            <w:r w:rsidRPr="008874DE">
              <w:t xml:space="preserve">The full continuum of publicly funded mental health and addiction care includes health promotion, prevention, primary, secondary and tertiary services. Mental Health and Addiction service specifications cover specialist mental health and addiction services targeted at those most severely affected by mental illness or addiction.  However, it is </w:t>
            </w:r>
            <w:r w:rsidRPr="008874DE">
              <w:rPr>
                <w:lang w:val="en-NZ"/>
              </w:rPr>
              <w:t>recognised</w:t>
            </w:r>
            <w:r w:rsidRPr="008874DE">
              <w:t xml:space="preserve"> that a focus on early intervention and integration between specialist, primary and community services will lead to increased access for those who may be more at risk of developing mental health or addiction issues.</w:t>
            </w:r>
          </w:p>
        </w:tc>
      </w:tr>
      <w:tr w:rsidR="00502672" w:rsidRPr="0009699E" w14:paraId="1A71D3BD" w14:textId="77777777" w:rsidTr="00C50011">
        <w:tc>
          <w:tcPr>
            <w:tcW w:w="1281" w:type="dxa"/>
            <w:vMerge/>
          </w:tcPr>
          <w:p w14:paraId="43F1C8D1" w14:textId="77777777" w:rsidR="00502672" w:rsidRPr="008874DE" w:rsidRDefault="00502672" w:rsidP="00C50011">
            <w:pPr>
              <w:pStyle w:val="Heading2"/>
              <w:spacing w:before="60" w:after="60" w:line="252" w:lineRule="auto"/>
              <w:outlineLvl w:val="1"/>
              <w:rPr>
                <w:b w:val="0"/>
                <w:color w:val="2F5496" w:themeColor="accent1" w:themeShade="BF"/>
                <w:sz w:val="20"/>
                <w:szCs w:val="20"/>
              </w:rPr>
            </w:pPr>
          </w:p>
        </w:tc>
        <w:tc>
          <w:tcPr>
            <w:tcW w:w="8080" w:type="dxa"/>
          </w:tcPr>
          <w:p w14:paraId="2DB1D62A" w14:textId="77777777" w:rsidR="00502672" w:rsidRPr="008874DE" w:rsidRDefault="00502672" w:rsidP="00C50011">
            <w:pPr>
              <w:spacing w:before="60" w:after="60" w:line="252" w:lineRule="auto"/>
              <w:rPr>
                <w:rFonts w:cs="Arial"/>
              </w:rPr>
            </w:pPr>
            <w:r w:rsidRPr="008874DE">
              <w:rPr>
                <w:rFonts w:cs="Arial"/>
              </w:rPr>
              <w:t xml:space="preserve">The </w:t>
            </w:r>
            <w:r w:rsidRPr="008874DE">
              <w:rPr>
                <w:rFonts w:cs="Arial"/>
                <w:color w:val="1F3864" w:themeColor="accent1" w:themeShade="80"/>
              </w:rPr>
              <w:t xml:space="preserve">continuum of publicly funded mental health and addiction care </w:t>
            </w:r>
            <w:r w:rsidRPr="008874DE">
              <w:rPr>
                <w:rFonts w:cs="Arial"/>
              </w:rPr>
              <w:t xml:space="preserve">referenced in the service specifications above is reflected in the five focus areas of the </w:t>
            </w:r>
            <w:r w:rsidRPr="008874DE">
              <w:rPr>
                <w:rFonts w:cs="Arial"/>
                <w:i/>
              </w:rPr>
              <w:t xml:space="preserve">Kia Kaha Covid-19 Recovery Plan </w:t>
            </w:r>
            <w:r w:rsidRPr="008874DE">
              <w:rPr>
                <w:rFonts w:cs="Arial"/>
              </w:rPr>
              <w:t>which span promotion and prevention through to mental health and addiction support</w:t>
            </w:r>
            <w:r w:rsidRPr="008874DE">
              <w:rPr>
                <w:rFonts w:cs="Arial"/>
                <w:i/>
              </w:rPr>
              <w:t xml:space="preserve">. </w:t>
            </w:r>
            <w:r w:rsidRPr="008874DE">
              <w:rPr>
                <w:rFonts w:cs="Arial"/>
              </w:rPr>
              <w:t>A key consideration for the scope of services is whether all activity along the continuum of promotion and prevention and mental health and addiction support should be considered a ‘service’, or whether some activities should more appropriately be considered ‘approaches’ and accordingly out of scope of service-level monitoring.</w:t>
            </w:r>
          </w:p>
        </w:tc>
      </w:tr>
      <w:tr w:rsidR="00502672" w:rsidRPr="0009699E" w14:paraId="0950F986" w14:textId="77777777" w:rsidTr="00C50011">
        <w:tc>
          <w:tcPr>
            <w:tcW w:w="1281" w:type="dxa"/>
            <w:vMerge/>
          </w:tcPr>
          <w:p w14:paraId="1BD4C245" w14:textId="77777777" w:rsidR="00502672" w:rsidRPr="008874DE" w:rsidRDefault="00502672" w:rsidP="00C50011">
            <w:pPr>
              <w:pStyle w:val="Heading2"/>
              <w:spacing w:before="60" w:after="60" w:line="252" w:lineRule="auto"/>
              <w:outlineLvl w:val="1"/>
              <w:rPr>
                <w:b w:val="0"/>
                <w:color w:val="2F5496" w:themeColor="accent1" w:themeShade="BF"/>
                <w:sz w:val="20"/>
                <w:szCs w:val="20"/>
              </w:rPr>
            </w:pPr>
          </w:p>
        </w:tc>
        <w:tc>
          <w:tcPr>
            <w:tcW w:w="8080" w:type="dxa"/>
          </w:tcPr>
          <w:p w14:paraId="4C2D84EB" w14:textId="77777777" w:rsidR="00502672" w:rsidRPr="008874DE" w:rsidRDefault="00502672" w:rsidP="00C50011">
            <w:pPr>
              <w:spacing w:before="60" w:after="60"/>
              <w:rPr>
                <w:rFonts w:cs="Arial"/>
              </w:rPr>
            </w:pPr>
            <w:r w:rsidRPr="008874DE">
              <w:rPr>
                <w:rFonts w:cs="Arial"/>
              </w:rPr>
              <w:t xml:space="preserve">The </w:t>
            </w:r>
            <w:r w:rsidRPr="008874DE">
              <w:rPr>
                <w:rFonts w:cs="Arial"/>
                <w:i/>
              </w:rPr>
              <w:t>Kia Kaha COVID-19 Wellbeing Recovery Plan</w:t>
            </w:r>
            <w:r w:rsidRPr="008874DE">
              <w:rPr>
                <w:rFonts w:cs="Arial"/>
                <w:lang w:val="mi-NZ"/>
              </w:rPr>
              <w:t xml:space="preserve"> uses the term addiction to </w:t>
            </w:r>
            <w:r w:rsidRPr="008874DE">
              <w:rPr>
                <w:rFonts w:cs="Arial"/>
              </w:rPr>
              <w:t xml:space="preserve">refer to “a wide range of harm from the misuse of substances or from gambling”. It then goes on to define </w:t>
            </w:r>
            <w:r w:rsidRPr="008874DE">
              <w:rPr>
                <w:rFonts w:cs="Arial"/>
                <w:color w:val="1F3864" w:themeColor="accent1" w:themeShade="80"/>
              </w:rPr>
              <w:t xml:space="preserve">addiction services </w:t>
            </w:r>
            <w:r w:rsidRPr="008874DE">
              <w:rPr>
                <w:rFonts w:cs="Arial"/>
              </w:rPr>
              <w:t>as “services which support people’s recovery from alcohol and other drug or gambling harm”.</w:t>
            </w:r>
            <w:r w:rsidRPr="008874DE">
              <w:rPr>
                <w:rFonts w:cs="Arial"/>
                <w:lang w:val="mi-NZ"/>
              </w:rPr>
              <w:t xml:space="preserve"> </w:t>
            </w:r>
          </w:p>
        </w:tc>
      </w:tr>
      <w:tr w:rsidR="00502672" w:rsidRPr="0009699E" w14:paraId="21D5A607" w14:textId="77777777" w:rsidTr="00C50011">
        <w:tc>
          <w:tcPr>
            <w:tcW w:w="1281" w:type="dxa"/>
            <w:vMerge/>
          </w:tcPr>
          <w:p w14:paraId="02814E78" w14:textId="77777777" w:rsidR="00502672" w:rsidRPr="008874DE" w:rsidRDefault="00502672" w:rsidP="00C50011">
            <w:pPr>
              <w:pStyle w:val="Heading2"/>
              <w:spacing w:before="60" w:after="60" w:line="252" w:lineRule="auto"/>
              <w:outlineLvl w:val="1"/>
              <w:rPr>
                <w:b w:val="0"/>
                <w:color w:val="2F5496" w:themeColor="accent1" w:themeShade="BF"/>
                <w:sz w:val="20"/>
                <w:szCs w:val="20"/>
              </w:rPr>
            </w:pPr>
          </w:p>
        </w:tc>
        <w:tc>
          <w:tcPr>
            <w:tcW w:w="8080" w:type="dxa"/>
          </w:tcPr>
          <w:p w14:paraId="35ABFB54" w14:textId="77777777" w:rsidR="00502672" w:rsidRPr="008874DE" w:rsidRDefault="00502672" w:rsidP="00C50011">
            <w:pPr>
              <w:spacing w:before="60" w:after="60"/>
              <w:rPr>
                <w:rFonts w:cs="Arial"/>
              </w:rPr>
            </w:pPr>
            <w:r w:rsidRPr="008874DE">
              <w:rPr>
                <w:rFonts w:cs="Arial"/>
              </w:rPr>
              <w:t xml:space="preserve">Best practice guidance for </w:t>
            </w:r>
            <w:r w:rsidRPr="008874DE">
              <w:rPr>
                <w:rFonts w:cs="Arial"/>
                <w:color w:val="1F3864" w:themeColor="accent1" w:themeShade="80"/>
              </w:rPr>
              <w:t xml:space="preserve">kaupapa Māori mental health and addiction services </w:t>
            </w:r>
            <w:r w:rsidRPr="008874DE">
              <w:rPr>
                <w:rFonts w:cs="Arial"/>
              </w:rPr>
              <w:t>developed by Te Rau Matatini (now Te Rau Ora) and endorsed by the Ministry of Health defines these services as “an indigenous response to effectively meeting the mental health and/or addiction needs of tangata whaiora and their whānau” [Te Rau Matatini (2015). Kaupapa Māori Mental Health and Addiction Services Best Practice Framework. Wellington: Te Rau Matatini]</w:t>
            </w:r>
          </w:p>
        </w:tc>
      </w:tr>
      <w:bookmarkEnd w:id="17"/>
    </w:tbl>
    <w:p w14:paraId="1C4F233A" w14:textId="77777777" w:rsidR="00502672" w:rsidRPr="008874DE" w:rsidRDefault="00502672" w:rsidP="00502672">
      <w:pPr>
        <w:tabs>
          <w:tab w:val="left" w:pos="6150"/>
        </w:tabs>
        <w:rPr>
          <w:rFonts w:cs="Arial"/>
          <w:b/>
          <w:sz w:val="20"/>
          <w:szCs w:val="20"/>
        </w:rPr>
      </w:pPr>
    </w:p>
    <w:p w14:paraId="63D24EDB" w14:textId="77777777" w:rsidR="00502672" w:rsidRPr="0009699E" w:rsidRDefault="00502672">
      <w:pPr>
        <w:rPr>
          <w:rFonts w:cs="Arial"/>
          <w:b/>
          <w:color w:val="000000"/>
          <w:sz w:val="20"/>
          <w:szCs w:val="20"/>
          <w:lang w:val="en-NZ"/>
        </w:rPr>
      </w:pPr>
      <w:r w:rsidRPr="0009699E">
        <w:rPr>
          <w:rFonts w:cs="Arial"/>
          <w:b/>
          <w:color w:val="000000"/>
          <w:sz w:val="20"/>
          <w:szCs w:val="20"/>
          <w:lang w:val="en-NZ"/>
        </w:rPr>
        <w:br w:type="page"/>
      </w:r>
    </w:p>
    <w:p w14:paraId="44205068" w14:textId="1B72C050" w:rsidR="0074697D" w:rsidRPr="008874DE" w:rsidRDefault="0074697D" w:rsidP="00786A1F">
      <w:pPr>
        <w:spacing w:after="120"/>
        <w:rPr>
          <w:rFonts w:cs="Arial"/>
          <w:b/>
          <w:color w:val="000000"/>
          <w:sz w:val="20"/>
          <w:szCs w:val="20"/>
          <w:lang w:val="en-NZ"/>
        </w:rPr>
      </w:pPr>
      <w:r w:rsidRPr="008874DE">
        <w:rPr>
          <w:rFonts w:cs="Arial"/>
          <w:b/>
          <w:color w:val="000000"/>
          <w:sz w:val="20"/>
          <w:szCs w:val="20"/>
          <w:lang w:val="en-NZ"/>
        </w:rPr>
        <w:lastRenderedPageBreak/>
        <w:t xml:space="preserve">Appendix </w:t>
      </w:r>
      <w:r w:rsidR="00E52302">
        <w:rPr>
          <w:rFonts w:cs="Arial"/>
          <w:b/>
          <w:color w:val="000000"/>
          <w:sz w:val="20"/>
          <w:szCs w:val="20"/>
          <w:lang w:val="en-NZ"/>
        </w:rPr>
        <w:t>3</w:t>
      </w:r>
    </w:p>
    <w:p w14:paraId="0655E747" w14:textId="6EBC2D3C" w:rsidR="00A939F7" w:rsidRPr="008874DE" w:rsidRDefault="00A939F7" w:rsidP="00786A1F">
      <w:pPr>
        <w:spacing w:after="120"/>
        <w:rPr>
          <w:rFonts w:cs="Arial"/>
          <w:b/>
          <w:color w:val="000000"/>
          <w:sz w:val="20"/>
          <w:szCs w:val="20"/>
          <w:lang w:val="en-NZ"/>
        </w:rPr>
      </w:pPr>
      <w:r w:rsidRPr="008874DE">
        <w:rPr>
          <w:rFonts w:cs="Arial"/>
          <w:b/>
          <w:color w:val="000000"/>
          <w:sz w:val="20"/>
          <w:szCs w:val="20"/>
          <w:lang w:val="en-NZ"/>
        </w:rPr>
        <w:t>Performance monitoring questions of the Mental Health Commissioner</w:t>
      </w:r>
    </w:p>
    <w:tbl>
      <w:tblPr>
        <w:tblStyle w:val="TableGrid"/>
        <w:tblW w:w="0" w:type="auto"/>
        <w:tblInd w:w="-5" w:type="dxa"/>
        <w:tblBorders>
          <w:top w:val="single" w:sz="4" w:space="0" w:color="1F3864" w:themeColor="accent1" w:themeShade="80"/>
          <w:left w:val="none" w:sz="0" w:space="0" w:color="auto"/>
          <w:bottom w:val="single" w:sz="4" w:space="0" w:color="1F3864" w:themeColor="accent1" w:themeShade="80"/>
          <w:right w:val="none" w:sz="0" w:space="0" w:color="auto"/>
          <w:insideH w:val="single" w:sz="4" w:space="0" w:color="1F3864" w:themeColor="accent1" w:themeShade="80"/>
          <w:insideV w:val="none" w:sz="0" w:space="0" w:color="auto"/>
        </w:tblBorders>
        <w:tblLook w:val="04A0" w:firstRow="1" w:lastRow="0" w:firstColumn="1" w:lastColumn="0" w:noHBand="0" w:noVBand="1"/>
      </w:tblPr>
      <w:tblGrid>
        <w:gridCol w:w="2023"/>
        <w:gridCol w:w="4648"/>
        <w:gridCol w:w="2690"/>
      </w:tblGrid>
      <w:tr w:rsidR="003C4BD5" w:rsidRPr="0009699E" w14:paraId="4D034135" w14:textId="77777777" w:rsidTr="007D6807">
        <w:tc>
          <w:tcPr>
            <w:tcW w:w="1874" w:type="dxa"/>
          </w:tcPr>
          <w:p w14:paraId="29F1864A" w14:textId="4BF9A4D8" w:rsidR="00A939F7" w:rsidRPr="008874DE" w:rsidRDefault="00A939F7" w:rsidP="00452E55">
            <w:pPr>
              <w:spacing w:before="40" w:after="40" w:line="259" w:lineRule="auto"/>
              <w:rPr>
                <w:rFonts w:cs="Arial"/>
                <w:b/>
                <w:color w:val="1F3864" w:themeColor="accent1" w:themeShade="80"/>
                <w:lang w:val="en-NZ"/>
              </w:rPr>
            </w:pPr>
            <w:r w:rsidRPr="008874DE">
              <w:rPr>
                <w:rFonts w:cs="Arial"/>
                <w:b/>
                <w:color w:val="1F3864" w:themeColor="accent1" w:themeShade="80"/>
                <w:lang w:val="en-NZ"/>
              </w:rPr>
              <w:t xml:space="preserve"> Monitoring question</w:t>
            </w:r>
            <w:r w:rsidR="006E6120" w:rsidRPr="008874DE">
              <w:rPr>
                <w:rFonts w:cs="Arial"/>
                <w:b/>
                <w:color w:val="1F3864" w:themeColor="accent1" w:themeShade="80"/>
                <w:lang w:val="en-NZ"/>
              </w:rPr>
              <w:t xml:space="preserve"> </w:t>
            </w:r>
          </w:p>
        </w:tc>
        <w:tc>
          <w:tcPr>
            <w:tcW w:w="4671" w:type="dxa"/>
          </w:tcPr>
          <w:p w14:paraId="31B985FF" w14:textId="3A293667" w:rsidR="00A939F7" w:rsidRPr="008874DE" w:rsidRDefault="007F680F" w:rsidP="00452E55">
            <w:pPr>
              <w:spacing w:before="40" w:after="40" w:line="259" w:lineRule="auto"/>
              <w:rPr>
                <w:rFonts w:cs="Arial"/>
                <w:b/>
                <w:color w:val="1F3864" w:themeColor="accent1" w:themeShade="80"/>
                <w:lang w:val="en-NZ"/>
              </w:rPr>
            </w:pPr>
            <w:r w:rsidRPr="008874DE">
              <w:rPr>
                <w:rFonts w:cs="Arial"/>
                <w:b/>
                <w:color w:val="1F3864" w:themeColor="accent1" w:themeShade="80"/>
                <w:lang w:val="en-NZ"/>
              </w:rPr>
              <w:t>Supporting narrative</w:t>
            </w:r>
            <w:r w:rsidR="00874F99" w:rsidRPr="008874DE">
              <w:rPr>
                <w:rFonts w:cs="Arial"/>
                <w:b/>
                <w:color w:val="1F3864" w:themeColor="accent1" w:themeShade="80"/>
                <w:lang w:val="en-NZ"/>
              </w:rPr>
              <w:t xml:space="preserve"> excerpts</w:t>
            </w:r>
            <w:r w:rsidR="006E2B57" w:rsidRPr="008874DE">
              <w:rPr>
                <w:rFonts w:cs="Arial"/>
                <w:b/>
                <w:color w:val="1F3864" w:themeColor="accent1" w:themeShade="80"/>
                <w:lang w:val="en-NZ"/>
              </w:rPr>
              <w:t>, June 2020 Report</w:t>
            </w:r>
          </w:p>
        </w:tc>
        <w:tc>
          <w:tcPr>
            <w:tcW w:w="2698" w:type="dxa"/>
          </w:tcPr>
          <w:p w14:paraId="35565B8F" w14:textId="32AF00E7" w:rsidR="00A939F7" w:rsidRPr="008874DE" w:rsidRDefault="00B61D14" w:rsidP="00452E55">
            <w:pPr>
              <w:spacing w:before="40" w:after="40" w:line="259" w:lineRule="auto"/>
              <w:rPr>
                <w:rFonts w:cs="Arial"/>
                <w:b/>
                <w:color w:val="1F3864" w:themeColor="accent1" w:themeShade="80"/>
                <w:lang w:val="en-NZ"/>
              </w:rPr>
            </w:pPr>
            <w:r w:rsidRPr="008874DE">
              <w:rPr>
                <w:rFonts w:cs="Arial"/>
                <w:b/>
                <w:color w:val="1F3864" w:themeColor="accent1" w:themeShade="80"/>
                <w:lang w:val="en-NZ"/>
              </w:rPr>
              <w:t>Assessment</w:t>
            </w:r>
          </w:p>
        </w:tc>
      </w:tr>
      <w:tr w:rsidR="003C4BD5" w:rsidRPr="0009699E" w14:paraId="11472558" w14:textId="77777777" w:rsidTr="007D6807">
        <w:tc>
          <w:tcPr>
            <w:tcW w:w="1874" w:type="dxa"/>
          </w:tcPr>
          <w:p w14:paraId="49DE39BA" w14:textId="77777777" w:rsidR="00A939F7" w:rsidRPr="008874DE" w:rsidRDefault="00A939F7" w:rsidP="002F5E93">
            <w:pPr>
              <w:pStyle w:val="ListParagraph"/>
              <w:numPr>
                <w:ilvl w:val="0"/>
                <w:numId w:val="4"/>
              </w:numPr>
              <w:spacing w:before="60" w:after="60" w:line="259" w:lineRule="auto"/>
              <w:ind w:left="184" w:hanging="184"/>
              <w:rPr>
                <w:b/>
                <w:color w:val="1F3864" w:themeColor="accent1" w:themeShade="80"/>
                <w:lang w:val="en-NZ"/>
              </w:rPr>
            </w:pPr>
            <w:r w:rsidRPr="008874DE">
              <w:rPr>
                <w:b/>
                <w:color w:val="1F3864" w:themeColor="accent1" w:themeShade="80"/>
                <w:lang w:val="en-NZ"/>
              </w:rPr>
              <w:t>Can I get help for my needs?</w:t>
            </w:r>
          </w:p>
          <w:p w14:paraId="10E97A4E" w14:textId="0B8457E2" w:rsidR="006E6120" w:rsidRPr="008874DE" w:rsidRDefault="006E6120" w:rsidP="008E6A7C">
            <w:pPr>
              <w:spacing w:before="60" w:after="60" w:line="259" w:lineRule="auto"/>
              <w:ind w:left="184"/>
              <w:rPr>
                <w:rFonts w:cs="Arial"/>
                <w:color w:val="000000"/>
                <w:lang w:val="en-NZ"/>
              </w:rPr>
            </w:pPr>
            <w:r w:rsidRPr="008874DE">
              <w:rPr>
                <w:rFonts w:cs="Arial"/>
                <w:color w:val="000000"/>
                <w:lang w:val="en-NZ"/>
              </w:rPr>
              <w:t>(</w:t>
            </w:r>
            <w:r w:rsidR="006E622C" w:rsidRPr="008874DE">
              <w:rPr>
                <w:rFonts w:cs="Arial"/>
                <w:color w:val="000000"/>
                <w:lang w:val="en-NZ"/>
              </w:rPr>
              <w:t>Q</w:t>
            </w:r>
            <w:r w:rsidR="00E919A7" w:rsidRPr="008874DE">
              <w:rPr>
                <w:rFonts w:cs="Arial"/>
                <w:color w:val="000000"/>
                <w:lang w:val="en-NZ"/>
              </w:rPr>
              <w:t>uality measure: a</w:t>
            </w:r>
            <w:r w:rsidRPr="008874DE">
              <w:rPr>
                <w:rFonts w:cs="Arial"/>
                <w:color w:val="000000"/>
                <w:lang w:val="en-NZ"/>
              </w:rPr>
              <w:t>ccess/timeliness</w:t>
            </w:r>
            <w:r w:rsidR="00150FDA" w:rsidRPr="008874DE">
              <w:rPr>
                <w:rFonts w:cs="Arial"/>
                <w:color w:val="000000"/>
                <w:lang w:val="en-NZ"/>
              </w:rPr>
              <w:t>,</w:t>
            </w:r>
            <w:r w:rsidR="00965850" w:rsidRPr="008874DE">
              <w:rPr>
                <w:rFonts w:cs="Arial"/>
                <w:color w:val="000000"/>
                <w:lang w:val="en-NZ"/>
              </w:rPr>
              <w:t xml:space="preserve"> </w:t>
            </w:r>
            <w:r w:rsidR="001C2B5C" w:rsidRPr="008874DE">
              <w:rPr>
                <w:rFonts w:cs="Arial"/>
                <w:color w:val="000000"/>
                <w:lang w:val="en-NZ"/>
              </w:rPr>
              <w:t>consumer</w:t>
            </w:r>
            <w:r w:rsidR="004B7CFD" w:rsidRPr="008874DE">
              <w:rPr>
                <w:rFonts w:cs="Arial"/>
                <w:color w:val="000000"/>
                <w:lang w:val="en-NZ"/>
              </w:rPr>
              <w:t xml:space="preserve"> e</w:t>
            </w:r>
            <w:r w:rsidR="00965850" w:rsidRPr="008874DE">
              <w:rPr>
                <w:rFonts w:cs="Arial"/>
                <w:color w:val="000000"/>
                <w:lang w:val="en-NZ"/>
              </w:rPr>
              <w:t>xperience</w:t>
            </w:r>
            <w:r w:rsidRPr="008874DE">
              <w:rPr>
                <w:rFonts w:cs="Arial"/>
                <w:color w:val="000000"/>
                <w:lang w:val="en-NZ"/>
              </w:rPr>
              <w:t>)</w:t>
            </w:r>
          </w:p>
        </w:tc>
        <w:tc>
          <w:tcPr>
            <w:tcW w:w="4671" w:type="dxa"/>
          </w:tcPr>
          <w:p w14:paraId="6805B2F6" w14:textId="0B1B990D" w:rsidR="00A939F7" w:rsidRPr="008874DE" w:rsidRDefault="007F680F" w:rsidP="008E6A7C">
            <w:pPr>
              <w:pStyle w:val="Pa9"/>
              <w:spacing w:before="60" w:after="60" w:line="259" w:lineRule="auto"/>
              <w:rPr>
                <w:rFonts w:ascii="Arial" w:hAnsi="Arial" w:cs="Arial"/>
                <w:color w:val="000000"/>
                <w:sz w:val="20"/>
                <w:szCs w:val="20"/>
              </w:rPr>
            </w:pPr>
            <w:r w:rsidRPr="008874DE">
              <w:rPr>
                <w:rFonts w:ascii="Arial" w:hAnsi="Arial" w:cs="Arial"/>
                <w:color w:val="000000"/>
                <w:sz w:val="20"/>
                <w:szCs w:val="20"/>
              </w:rPr>
              <w:t>Not everyone who experiences mental distress or addiction issues needs a health-service intervention. But when people do, it is fundamental that they can get the right support, in the right way, when they need it. A well-functioning mental health and addiction system responds appropriately to a diversity of needs across a continuum of care, from help to stay well in the community to intensive support when people are most unwell. Support should be person- and whānau-centred, and relevant to life stages and cultural and social context.</w:t>
            </w:r>
          </w:p>
        </w:tc>
        <w:tc>
          <w:tcPr>
            <w:tcW w:w="2698" w:type="dxa"/>
          </w:tcPr>
          <w:p w14:paraId="3CCB4C48" w14:textId="094A3867" w:rsidR="007F680F" w:rsidRPr="008874DE" w:rsidRDefault="007F680F" w:rsidP="008E6A7C">
            <w:pPr>
              <w:pStyle w:val="Pa9"/>
              <w:spacing w:before="60" w:after="60" w:line="259" w:lineRule="auto"/>
              <w:rPr>
                <w:rFonts w:ascii="Arial" w:hAnsi="Arial" w:cs="Arial"/>
                <w:color w:val="000000"/>
                <w:sz w:val="20"/>
                <w:szCs w:val="20"/>
              </w:rPr>
            </w:pPr>
            <w:r w:rsidRPr="008874DE">
              <w:rPr>
                <w:rFonts w:ascii="Arial" w:hAnsi="Arial" w:cs="Arial"/>
                <w:color w:val="000000"/>
                <w:sz w:val="20"/>
                <w:szCs w:val="20"/>
              </w:rPr>
              <w:t xml:space="preserve">Assesses access to a range of healthcare supports for people experiencing mental distress and addiction issues, and progress made to address issues identified in previous reports. </w:t>
            </w:r>
          </w:p>
          <w:p w14:paraId="3DAF8326" w14:textId="3723F3A9" w:rsidR="00A939F7" w:rsidRPr="008874DE" w:rsidRDefault="00A939F7" w:rsidP="008E6A7C">
            <w:pPr>
              <w:spacing w:before="60" w:after="60" w:line="259" w:lineRule="auto"/>
              <w:rPr>
                <w:rFonts w:cs="Arial"/>
                <w:color w:val="000000"/>
                <w:lang w:val="en-NZ"/>
              </w:rPr>
            </w:pPr>
          </w:p>
        </w:tc>
      </w:tr>
      <w:tr w:rsidR="003C4BD5" w:rsidRPr="0009699E" w14:paraId="681923A2" w14:textId="77777777" w:rsidTr="007D6807">
        <w:tc>
          <w:tcPr>
            <w:tcW w:w="1874" w:type="dxa"/>
          </w:tcPr>
          <w:p w14:paraId="672976C9" w14:textId="36D5ABFD" w:rsidR="00A939F7" w:rsidRPr="008874DE" w:rsidRDefault="00A939F7" w:rsidP="002F5E93">
            <w:pPr>
              <w:pStyle w:val="ListParagraph"/>
              <w:numPr>
                <w:ilvl w:val="0"/>
                <w:numId w:val="4"/>
              </w:numPr>
              <w:spacing w:before="60" w:after="60" w:line="259" w:lineRule="auto"/>
              <w:ind w:left="184" w:hanging="184"/>
              <w:rPr>
                <w:b/>
                <w:color w:val="000000"/>
                <w:lang w:val="en-NZ"/>
              </w:rPr>
            </w:pPr>
            <w:r w:rsidRPr="008874DE">
              <w:rPr>
                <w:b/>
                <w:color w:val="1F3864" w:themeColor="accent1" w:themeShade="80"/>
                <w:lang w:val="en-NZ"/>
              </w:rPr>
              <w:t>Am I helped to be well?</w:t>
            </w:r>
            <w:r w:rsidR="00815C48" w:rsidRPr="008874DE">
              <w:rPr>
                <w:b/>
                <w:color w:val="1F3864" w:themeColor="accent1" w:themeShade="80"/>
                <w:lang w:val="en-NZ"/>
              </w:rPr>
              <w:t xml:space="preserve"> </w:t>
            </w:r>
            <w:r w:rsidR="00815C48" w:rsidRPr="008874DE">
              <w:rPr>
                <w:color w:val="000000"/>
                <w:lang w:val="en-NZ"/>
              </w:rPr>
              <w:t>(</w:t>
            </w:r>
            <w:r w:rsidR="006E622C" w:rsidRPr="008874DE">
              <w:rPr>
                <w:color w:val="000000"/>
                <w:lang w:val="en-NZ"/>
              </w:rPr>
              <w:t>Q</w:t>
            </w:r>
            <w:r w:rsidR="00E919A7" w:rsidRPr="008874DE">
              <w:rPr>
                <w:color w:val="000000"/>
                <w:lang w:val="en-NZ"/>
              </w:rPr>
              <w:t>uality measure: e</w:t>
            </w:r>
            <w:r w:rsidR="00815C48" w:rsidRPr="008874DE">
              <w:rPr>
                <w:color w:val="000000"/>
                <w:lang w:val="en-NZ"/>
              </w:rPr>
              <w:t>ffectiveness</w:t>
            </w:r>
            <w:r w:rsidR="00965850" w:rsidRPr="008874DE">
              <w:rPr>
                <w:color w:val="000000"/>
                <w:lang w:val="en-NZ"/>
              </w:rPr>
              <w:t xml:space="preserve">, </w:t>
            </w:r>
            <w:r w:rsidR="001C2B5C" w:rsidRPr="008874DE">
              <w:rPr>
                <w:color w:val="000000"/>
                <w:lang w:val="en-NZ"/>
              </w:rPr>
              <w:t>consumer</w:t>
            </w:r>
            <w:r w:rsidR="00E25C49" w:rsidRPr="008874DE">
              <w:rPr>
                <w:color w:val="000000"/>
                <w:lang w:val="en-NZ"/>
              </w:rPr>
              <w:t xml:space="preserve"> e</w:t>
            </w:r>
            <w:r w:rsidR="00965850" w:rsidRPr="008874DE">
              <w:rPr>
                <w:color w:val="000000"/>
                <w:lang w:val="en-NZ"/>
              </w:rPr>
              <w:t>xperience</w:t>
            </w:r>
            <w:r w:rsidR="00815C48" w:rsidRPr="008874DE">
              <w:rPr>
                <w:color w:val="000000"/>
                <w:lang w:val="en-NZ"/>
              </w:rPr>
              <w:t>)</w:t>
            </w:r>
          </w:p>
          <w:p w14:paraId="717060F4" w14:textId="4981F21B" w:rsidR="00401FD7" w:rsidRPr="008874DE" w:rsidRDefault="00401FD7" w:rsidP="008E6A7C">
            <w:pPr>
              <w:spacing w:before="60" w:after="60" w:line="259" w:lineRule="auto"/>
              <w:rPr>
                <w:rFonts w:cs="Arial"/>
                <w:b/>
                <w:color w:val="000000"/>
                <w:lang w:val="en-NZ"/>
              </w:rPr>
            </w:pPr>
          </w:p>
        </w:tc>
        <w:tc>
          <w:tcPr>
            <w:tcW w:w="4671" w:type="dxa"/>
          </w:tcPr>
          <w:p w14:paraId="7F44757C" w14:textId="6314F31B" w:rsidR="00A939F7" w:rsidRPr="008874DE" w:rsidRDefault="0016564F" w:rsidP="008E6A7C">
            <w:pPr>
              <w:spacing w:before="60" w:after="60" w:line="259" w:lineRule="auto"/>
              <w:rPr>
                <w:rFonts w:cs="Arial"/>
                <w:color w:val="000000"/>
                <w:lang w:val="en-NZ"/>
              </w:rPr>
            </w:pPr>
            <w:r w:rsidRPr="008874DE">
              <w:rPr>
                <w:rFonts w:cs="Arial"/>
                <w:color w:val="000000"/>
              </w:rPr>
              <w:t>Concepts of wellbeing and recovery are different for every person, and refer to living a satisfying, hopeful, and meaningful life, even where there are ongoing limitations and challenges caused by mental distress and addiction. A wellbeing system response to mental distress and addiction is centred on people and what matters to them. It recognises that mental wellbeing (taha hinengaro) is intimately connected with physical (taha tinana), spiritual (taha wairua), and social (taha whānau) wellbeing.</w:t>
            </w:r>
          </w:p>
        </w:tc>
        <w:tc>
          <w:tcPr>
            <w:tcW w:w="2698" w:type="dxa"/>
          </w:tcPr>
          <w:p w14:paraId="005C1834" w14:textId="345DDABF" w:rsidR="0030396E" w:rsidRPr="008874DE" w:rsidRDefault="0016564F" w:rsidP="008E6A7C">
            <w:pPr>
              <w:spacing w:before="60" w:after="60" w:line="259" w:lineRule="auto"/>
              <w:rPr>
                <w:rFonts w:cs="Arial"/>
                <w:color w:val="000000"/>
                <w:lang w:val="en-NZ"/>
              </w:rPr>
            </w:pPr>
            <w:r w:rsidRPr="008874DE">
              <w:rPr>
                <w:rFonts w:cs="Arial"/>
                <w:color w:val="000000"/>
              </w:rPr>
              <w:t xml:space="preserve">Assesses tāngata whaiora </w:t>
            </w:r>
            <w:r w:rsidR="000C6149" w:rsidRPr="008874DE">
              <w:rPr>
                <w:rFonts w:cs="Arial"/>
                <w:color w:val="000000"/>
              </w:rPr>
              <w:t>wellbeing</w:t>
            </w:r>
            <w:r w:rsidR="00E5632F" w:rsidRPr="008874DE">
              <w:rPr>
                <w:rFonts w:cs="Arial"/>
                <w:color w:val="000000"/>
              </w:rPr>
              <w:t xml:space="preserve"> in relation to housing</w:t>
            </w:r>
            <w:r w:rsidR="000C6149" w:rsidRPr="008874DE">
              <w:rPr>
                <w:rFonts w:cs="Arial"/>
                <w:color w:val="000000"/>
              </w:rPr>
              <w:t xml:space="preserve">, </w:t>
            </w:r>
            <w:r w:rsidR="00171671" w:rsidRPr="008874DE">
              <w:rPr>
                <w:rFonts w:cs="Arial"/>
                <w:color w:val="000000"/>
              </w:rPr>
              <w:t>training and employment</w:t>
            </w:r>
            <w:r w:rsidR="00672174" w:rsidRPr="008874DE">
              <w:rPr>
                <w:rFonts w:cs="Arial"/>
                <w:color w:val="000000"/>
              </w:rPr>
              <w:t xml:space="preserve">, physical health, </w:t>
            </w:r>
            <w:r w:rsidR="00FD34B4" w:rsidRPr="008874DE">
              <w:rPr>
                <w:rFonts w:cs="Arial"/>
                <w:color w:val="000000"/>
              </w:rPr>
              <w:t xml:space="preserve">self-rated </w:t>
            </w:r>
            <w:r w:rsidR="00672174" w:rsidRPr="008874DE">
              <w:rPr>
                <w:rFonts w:cs="Arial"/>
                <w:color w:val="000000"/>
              </w:rPr>
              <w:t xml:space="preserve">progress towards recovery (addiction services) and </w:t>
            </w:r>
            <w:r w:rsidR="00FD34B4" w:rsidRPr="008874DE">
              <w:rPr>
                <w:rFonts w:cs="Arial"/>
                <w:color w:val="000000"/>
              </w:rPr>
              <w:t>clinical assessment of social function (mental health services</w:t>
            </w:r>
            <w:r w:rsidR="00AC7A44" w:rsidRPr="008874DE">
              <w:rPr>
                <w:rFonts w:cs="Arial"/>
                <w:color w:val="000000"/>
              </w:rPr>
              <w:t>)</w:t>
            </w:r>
            <w:r w:rsidRPr="008874DE">
              <w:rPr>
                <w:rFonts w:cs="Arial"/>
                <w:color w:val="000000"/>
              </w:rPr>
              <w:t>.</w:t>
            </w:r>
          </w:p>
        </w:tc>
      </w:tr>
      <w:tr w:rsidR="003C4BD5" w:rsidRPr="0009699E" w14:paraId="48469C33" w14:textId="77777777" w:rsidTr="007D6807">
        <w:tc>
          <w:tcPr>
            <w:tcW w:w="1874" w:type="dxa"/>
          </w:tcPr>
          <w:p w14:paraId="2778E628" w14:textId="5A1873AD" w:rsidR="00815C48" w:rsidRPr="008874DE" w:rsidRDefault="00A939F7" w:rsidP="002F5E93">
            <w:pPr>
              <w:pStyle w:val="ListParagraph"/>
              <w:numPr>
                <w:ilvl w:val="0"/>
                <w:numId w:val="4"/>
              </w:numPr>
              <w:spacing w:before="60" w:after="60" w:line="259" w:lineRule="auto"/>
              <w:ind w:left="184" w:hanging="184"/>
              <w:rPr>
                <w:b/>
                <w:color w:val="000000"/>
                <w:lang w:val="en-NZ"/>
              </w:rPr>
            </w:pPr>
            <w:r w:rsidRPr="008874DE">
              <w:rPr>
                <w:b/>
                <w:color w:val="1F3864" w:themeColor="accent1" w:themeShade="80"/>
                <w:lang w:val="en-NZ"/>
              </w:rPr>
              <w:t>Am I a partner in my care?</w:t>
            </w:r>
            <w:r w:rsidR="00DC2867" w:rsidRPr="008874DE">
              <w:rPr>
                <w:b/>
                <w:color w:val="1F3864" w:themeColor="accent1" w:themeShade="80"/>
                <w:lang w:val="en-NZ"/>
              </w:rPr>
              <w:t xml:space="preserve"> </w:t>
            </w:r>
            <w:r w:rsidR="00815C48" w:rsidRPr="008874DE">
              <w:rPr>
                <w:color w:val="000000"/>
                <w:lang w:val="en-NZ"/>
              </w:rPr>
              <w:t>(</w:t>
            </w:r>
            <w:r w:rsidR="006E622C" w:rsidRPr="008874DE">
              <w:rPr>
                <w:color w:val="000000"/>
                <w:lang w:val="en-NZ"/>
              </w:rPr>
              <w:t>Q</w:t>
            </w:r>
            <w:r w:rsidR="00E919A7" w:rsidRPr="008874DE">
              <w:rPr>
                <w:color w:val="000000"/>
                <w:lang w:val="en-NZ"/>
              </w:rPr>
              <w:t>uality measure: c</w:t>
            </w:r>
            <w:r w:rsidR="001C2B5C" w:rsidRPr="008874DE">
              <w:rPr>
                <w:color w:val="000000"/>
                <w:lang w:val="en-NZ"/>
              </w:rPr>
              <w:t>onsumer</w:t>
            </w:r>
            <w:r w:rsidR="00815C48" w:rsidRPr="008874DE">
              <w:rPr>
                <w:color w:val="000000"/>
                <w:lang w:val="en-NZ"/>
              </w:rPr>
              <w:t xml:space="preserve"> experience</w:t>
            </w:r>
            <w:r w:rsidR="00915F91" w:rsidRPr="008874DE">
              <w:rPr>
                <w:color w:val="000000"/>
                <w:lang w:val="en-NZ"/>
              </w:rPr>
              <w:t>, effectiveness</w:t>
            </w:r>
            <w:r w:rsidR="00815C48" w:rsidRPr="008874DE">
              <w:rPr>
                <w:color w:val="000000"/>
                <w:lang w:val="en-NZ"/>
              </w:rPr>
              <w:t>)</w:t>
            </w:r>
          </w:p>
        </w:tc>
        <w:tc>
          <w:tcPr>
            <w:tcW w:w="4671" w:type="dxa"/>
          </w:tcPr>
          <w:p w14:paraId="64224866" w14:textId="0D232E64" w:rsidR="00A939F7" w:rsidRPr="008874DE" w:rsidRDefault="0016564F" w:rsidP="008E6A7C">
            <w:pPr>
              <w:spacing w:before="60" w:after="60" w:line="259" w:lineRule="auto"/>
              <w:rPr>
                <w:rFonts w:cs="Arial"/>
                <w:color w:val="000000"/>
                <w:lang w:val="en-NZ"/>
              </w:rPr>
            </w:pPr>
            <w:r w:rsidRPr="008874DE">
              <w:rPr>
                <w:rFonts w:cs="Arial"/>
                <w:color w:val="000000"/>
              </w:rPr>
              <w:t>The greatest resource in supporting a person’s wellbeing and making change is the person themselves and their whānau. No two people are the same, and every wellbeing journey is unique. Services that work from a person’s strengths will increase that person’s capacity to manage and improve their own health and wellbeing.</w:t>
            </w:r>
          </w:p>
        </w:tc>
        <w:tc>
          <w:tcPr>
            <w:tcW w:w="2698" w:type="dxa"/>
          </w:tcPr>
          <w:p w14:paraId="12404FEB" w14:textId="598BF53E" w:rsidR="00A939F7" w:rsidRPr="008874DE" w:rsidRDefault="003C4BD5" w:rsidP="008E6A7C">
            <w:pPr>
              <w:spacing w:before="60" w:after="60" w:line="259" w:lineRule="auto"/>
              <w:rPr>
                <w:rFonts w:cs="Arial"/>
                <w:color w:val="000000"/>
                <w:lang w:val="en-NZ"/>
              </w:rPr>
            </w:pPr>
            <w:r w:rsidRPr="008874DE">
              <w:rPr>
                <w:rFonts w:cs="Arial"/>
                <w:color w:val="000000"/>
              </w:rPr>
              <w:t>Assesses i</w:t>
            </w:r>
            <w:r w:rsidR="0016564F" w:rsidRPr="008874DE">
              <w:rPr>
                <w:rFonts w:cs="Arial"/>
                <w:color w:val="000000"/>
              </w:rPr>
              <w:t xml:space="preserve">ndicators of partnership </w:t>
            </w:r>
            <w:r w:rsidRPr="008874DE">
              <w:rPr>
                <w:rFonts w:cs="Arial"/>
                <w:color w:val="000000"/>
              </w:rPr>
              <w:t>i</w:t>
            </w:r>
            <w:r w:rsidR="0016564F" w:rsidRPr="008874DE">
              <w:rPr>
                <w:rFonts w:cs="Arial"/>
                <w:color w:val="000000"/>
              </w:rPr>
              <w:t>n relation to communication, respe</w:t>
            </w:r>
            <w:r w:rsidRPr="008874DE">
              <w:rPr>
                <w:rFonts w:cs="Arial"/>
                <w:color w:val="000000"/>
              </w:rPr>
              <w:t>ct,</w:t>
            </w:r>
            <w:r w:rsidR="0016564F" w:rsidRPr="008874DE">
              <w:rPr>
                <w:rFonts w:cs="Arial"/>
                <w:color w:val="000000"/>
              </w:rPr>
              <w:t xml:space="preserve"> shared planning, </w:t>
            </w:r>
            <w:r w:rsidRPr="008874DE">
              <w:rPr>
                <w:rFonts w:cs="Arial"/>
                <w:color w:val="000000"/>
              </w:rPr>
              <w:t>and</w:t>
            </w:r>
            <w:r w:rsidR="0016564F" w:rsidRPr="008874DE">
              <w:rPr>
                <w:rFonts w:cs="Arial"/>
                <w:color w:val="000000"/>
              </w:rPr>
              <w:t xml:space="preserve"> involvement of whānau, where appropriate, in a person’s care. </w:t>
            </w:r>
            <w:r w:rsidRPr="008874DE">
              <w:rPr>
                <w:rFonts w:cs="Arial"/>
                <w:color w:val="000000"/>
              </w:rPr>
              <w:t>Assesses t</w:t>
            </w:r>
            <w:r w:rsidR="0016564F" w:rsidRPr="008874DE">
              <w:rPr>
                <w:rFonts w:cs="Arial"/>
                <w:color w:val="000000"/>
              </w:rPr>
              <w:t>he use of compulsory assessment and treatment</w:t>
            </w:r>
            <w:r w:rsidR="00D02869" w:rsidRPr="008874DE">
              <w:rPr>
                <w:rFonts w:cs="Arial"/>
                <w:color w:val="000000"/>
              </w:rPr>
              <w:t>.</w:t>
            </w:r>
          </w:p>
        </w:tc>
      </w:tr>
      <w:tr w:rsidR="003C4BD5" w:rsidRPr="0009699E" w14:paraId="794AF9BD" w14:textId="77777777" w:rsidTr="007D6807">
        <w:tc>
          <w:tcPr>
            <w:tcW w:w="1874" w:type="dxa"/>
          </w:tcPr>
          <w:p w14:paraId="57E32259" w14:textId="3E0FC361" w:rsidR="00815C48" w:rsidRPr="008874DE" w:rsidRDefault="00A939F7" w:rsidP="002F5E93">
            <w:pPr>
              <w:pStyle w:val="ListParagraph"/>
              <w:numPr>
                <w:ilvl w:val="0"/>
                <w:numId w:val="4"/>
              </w:numPr>
              <w:spacing w:before="60" w:after="60" w:line="259" w:lineRule="auto"/>
              <w:ind w:left="184" w:hanging="184"/>
              <w:rPr>
                <w:b/>
                <w:color w:val="000000"/>
                <w:lang w:val="en-NZ"/>
              </w:rPr>
            </w:pPr>
            <w:r w:rsidRPr="008874DE">
              <w:rPr>
                <w:b/>
                <w:color w:val="1F3864" w:themeColor="accent1" w:themeShade="80"/>
                <w:lang w:val="en-NZ"/>
              </w:rPr>
              <w:t>Am I safe in services?</w:t>
            </w:r>
            <w:r w:rsidR="00DC2867" w:rsidRPr="008874DE">
              <w:rPr>
                <w:b/>
                <w:color w:val="1F3864" w:themeColor="accent1" w:themeShade="80"/>
                <w:lang w:val="en-NZ"/>
              </w:rPr>
              <w:t xml:space="preserve"> </w:t>
            </w:r>
            <w:r w:rsidR="00815C48" w:rsidRPr="008874DE">
              <w:rPr>
                <w:color w:val="000000"/>
                <w:lang w:val="en-NZ"/>
              </w:rPr>
              <w:t>(</w:t>
            </w:r>
            <w:r w:rsidR="006E622C" w:rsidRPr="008874DE">
              <w:rPr>
                <w:color w:val="000000"/>
                <w:lang w:val="en-NZ"/>
              </w:rPr>
              <w:t>Q</w:t>
            </w:r>
            <w:r w:rsidR="00E919A7" w:rsidRPr="008874DE">
              <w:rPr>
                <w:color w:val="000000"/>
                <w:lang w:val="en-NZ"/>
              </w:rPr>
              <w:t>uality measure: s</w:t>
            </w:r>
            <w:r w:rsidR="00815C48" w:rsidRPr="008874DE">
              <w:rPr>
                <w:color w:val="000000"/>
                <w:lang w:val="en-NZ"/>
              </w:rPr>
              <w:t>afety</w:t>
            </w:r>
            <w:r w:rsidR="00E25C49" w:rsidRPr="008874DE">
              <w:rPr>
                <w:color w:val="000000"/>
                <w:lang w:val="en-NZ"/>
              </w:rPr>
              <w:t xml:space="preserve">, </w:t>
            </w:r>
            <w:r w:rsidR="001C2B5C" w:rsidRPr="008874DE">
              <w:rPr>
                <w:color w:val="000000"/>
                <w:lang w:val="en-NZ"/>
              </w:rPr>
              <w:t>consumer</w:t>
            </w:r>
            <w:r w:rsidR="00E25C49" w:rsidRPr="008874DE">
              <w:rPr>
                <w:color w:val="000000"/>
                <w:lang w:val="en-NZ"/>
              </w:rPr>
              <w:t xml:space="preserve"> experience</w:t>
            </w:r>
            <w:r w:rsidR="00815C48" w:rsidRPr="008874DE">
              <w:rPr>
                <w:color w:val="000000"/>
                <w:lang w:val="en-NZ"/>
              </w:rPr>
              <w:t>)</w:t>
            </w:r>
          </w:p>
        </w:tc>
        <w:tc>
          <w:tcPr>
            <w:tcW w:w="4671" w:type="dxa"/>
          </w:tcPr>
          <w:p w14:paraId="3FA997A9" w14:textId="0AC7D04A" w:rsidR="00A939F7" w:rsidRPr="008874DE" w:rsidRDefault="0016564F" w:rsidP="008E6A7C">
            <w:pPr>
              <w:pStyle w:val="Pa9"/>
              <w:spacing w:before="60" w:after="60" w:line="259" w:lineRule="auto"/>
              <w:rPr>
                <w:rFonts w:ascii="Arial" w:hAnsi="Arial" w:cs="Arial"/>
                <w:color w:val="000000"/>
              </w:rPr>
            </w:pPr>
            <w:r w:rsidRPr="008874DE">
              <w:rPr>
                <w:rFonts w:ascii="Arial" w:hAnsi="Arial" w:cs="Arial"/>
                <w:color w:val="000000"/>
                <w:sz w:val="20"/>
                <w:szCs w:val="20"/>
              </w:rPr>
              <w:t>The Code of Health and Disability Services Consumer Rights (the Code) includes a right to services being of an appropriate standard, including being delivered in a manner that minimises potential harm.</w:t>
            </w:r>
            <w:r w:rsidR="009B2B86" w:rsidRPr="008874DE">
              <w:rPr>
                <w:rFonts w:ascii="Arial" w:hAnsi="Arial" w:cs="Arial"/>
                <w:color w:val="000000"/>
                <w:sz w:val="20"/>
                <w:szCs w:val="20"/>
              </w:rPr>
              <w:t xml:space="preserve"> </w:t>
            </w:r>
            <w:r w:rsidRPr="008874DE">
              <w:rPr>
                <w:rFonts w:ascii="Arial" w:hAnsi="Arial" w:cs="Arial"/>
                <w:color w:val="000000"/>
                <w:sz w:val="20"/>
                <w:szCs w:val="20"/>
              </w:rPr>
              <w:t>For mental health and addiction services, minimising harm includes a balance of risk between keeping a person safe and supporting recovery in the least restrictive way possible.</w:t>
            </w:r>
            <w:r w:rsidRPr="008874DE">
              <w:rPr>
                <w:rStyle w:val="A14"/>
                <w:rFonts w:ascii="Arial" w:hAnsi="Arial" w:cs="Arial"/>
                <w:sz w:val="20"/>
                <w:szCs w:val="20"/>
              </w:rPr>
              <w:t xml:space="preserve"> </w:t>
            </w:r>
            <w:r w:rsidRPr="008874DE">
              <w:rPr>
                <w:rFonts w:ascii="Arial" w:hAnsi="Arial" w:cs="Arial"/>
                <w:color w:val="000000"/>
                <w:sz w:val="20"/>
                <w:szCs w:val="20"/>
              </w:rPr>
              <w:t>Being safe is not equivalent to being free from risk: positive risk-taking gives people freedom and supports their wellbeing and recovery.</w:t>
            </w:r>
          </w:p>
        </w:tc>
        <w:tc>
          <w:tcPr>
            <w:tcW w:w="2698" w:type="dxa"/>
          </w:tcPr>
          <w:p w14:paraId="682BF460" w14:textId="765F3B91" w:rsidR="00A939F7" w:rsidRPr="008874DE" w:rsidRDefault="003C4BD5" w:rsidP="008E6A7C">
            <w:pPr>
              <w:spacing w:before="60" w:after="60" w:line="259" w:lineRule="auto"/>
              <w:rPr>
                <w:rFonts w:cs="Arial"/>
                <w:color w:val="000000"/>
                <w:lang w:val="en-NZ"/>
              </w:rPr>
            </w:pPr>
            <w:r w:rsidRPr="008874DE">
              <w:rPr>
                <w:rFonts w:cs="Arial"/>
                <w:color w:val="000000"/>
              </w:rPr>
              <w:t>A</w:t>
            </w:r>
            <w:r w:rsidRPr="008874DE">
              <w:rPr>
                <w:rFonts w:cs="Arial"/>
              </w:rPr>
              <w:t>ssesses i</w:t>
            </w:r>
            <w:r w:rsidR="0016564F" w:rsidRPr="008874DE">
              <w:rPr>
                <w:rFonts w:cs="Arial"/>
                <w:color w:val="000000"/>
              </w:rPr>
              <w:t>ncidences of harm in relation to HDC complaints, serious adverse events, and restrictive practices, with a particular focus on the experience of people in inpatient mental health services under the Mental Health Act, because of the vulnerability of this population.</w:t>
            </w:r>
          </w:p>
        </w:tc>
      </w:tr>
    </w:tbl>
    <w:p w14:paraId="7B362D5A" w14:textId="6876D48C" w:rsidR="007D6807" w:rsidRPr="008874DE" w:rsidRDefault="007D6807">
      <w:pPr>
        <w:rPr>
          <w:rFonts w:cs="Arial"/>
        </w:rPr>
      </w:pPr>
    </w:p>
    <w:p w14:paraId="31C4ECA1" w14:textId="6AB6BA4C" w:rsidR="007D6807" w:rsidRPr="008874DE" w:rsidRDefault="007D6807">
      <w:pPr>
        <w:rPr>
          <w:rFonts w:cs="Arial"/>
        </w:rPr>
      </w:pPr>
    </w:p>
    <w:p w14:paraId="7F15DF54" w14:textId="77777777" w:rsidR="007D6807" w:rsidRPr="008874DE" w:rsidRDefault="007D6807">
      <w:pPr>
        <w:rPr>
          <w:rFonts w:cs="Arial"/>
        </w:rPr>
      </w:pPr>
    </w:p>
    <w:tbl>
      <w:tblPr>
        <w:tblStyle w:val="TableGrid"/>
        <w:tblW w:w="0" w:type="auto"/>
        <w:tblInd w:w="-5" w:type="dxa"/>
        <w:tblBorders>
          <w:top w:val="single" w:sz="4" w:space="0" w:color="1F3864" w:themeColor="accent1" w:themeShade="80"/>
          <w:left w:val="none" w:sz="0" w:space="0" w:color="auto"/>
          <w:bottom w:val="single" w:sz="4" w:space="0" w:color="1F3864" w:themeColor="accent1" w:themeShade="80"/>
          <w:right w:val="none" w:sz="0" w:space="0" w:color="auto"/>
          <w:insideH w:val="single" w:sz="4" w:space="0" w:color="1F3864" w:themeColor="accent1" w:themeShade="80"/>
          <w:insideV w:val="none" w:sz="0" w:space="0" w:color="auto"/>
        </w:tblBorders>
        <w:tblLook w:val="04A0" w:firstRow="1" w:lastRow="0" w:firstColumn="1" w:lastColumn="0" w:noHBand="0" w:noVBand="1"/>
      </w:tblPr>
      <w:tblGrid>
        <w:gridCol w:w="1874"/>
        <w:gridCol w:w="4671"/>
        <w:gridCol w:w="2698"/>
      </w:tblGrid>
      <w:tr w:rsidR="003C4BD5" w:rsidRPr="0009699E" w14:paraId="07186280" w14:textId="77777777" w:rsidTr="007D6807">
        <w:tc>
          <w:tcPr>
            <w:tcW w:w="1874" w:type="dxa"/>
          </w:tcPr>
          <w:p w14:paraId="4C5BB2F5" w14:textId="0E3A0D80" w:rsidR="0033792D" w:rsidRPr="008874DE" w:rsidRDefault="00A939F7" w:rsidP="002F5E93">
            <w:pPr>
              <w:pStyle w:val="ListParagraph"/>
              <w:numPr>
                <w:ilvl w:val="0"/>
                <w:numId w:val="4"/>
              </w:numPr>
              <w:spacing w:before="60" w:after="60" w:line="259" w:lineRule="auto"/>
              <w:ind w:left="184" w:hanging="184"/>
              <w:rPr>
                <w:b/>
                <w:color w:val="000000"/>
                <w:lang w:val="en-NZ"/>
              </w:rPr>
            </w:pPr>
            <w:r w:rsidRPr="008874DE">
              <w:rPr>
                <w:b/>
                <w:color w:val="1F3864" w:themeColor="accent1" w:themeShade="80"/>
                <w:lang w:val="en-NZ"/>
              </w:rPr>
              <w:lastRenderedPageBreak/>
              <w:t>Do services work well together for me?</w:t>
            </w:r>
            <w:r w:rsidR="00DC2867" w:rsidRPr="008874DE">
              <w:rPr>
                <w:b/>
                <w:color w:val="1F3864" w:themeColor="accent1" w:themeShade="80"/>
                <w:lang w:val="en-NZ"/>
              </w:rPr>
              <w:t xml:space="preserve"> </w:t>
            </w:r>
            <w:r w:rsidR="0033792D" w:rsidRPr="008874DE">
              <w:rPr>
                <w:color w:val="000000"/>
                <w:lang w:val="en-NZ"/>
              </w:rPr>
              <w:t>(</w:t>
            </w:r>
            <w:r w:rsidR="006E622C" w:rsidRPr="008874DE">
              <w:rPr>
                <w:color w:val="000000"/>
                <w:lang w:val="en-NZ"/>
              </w:rPr>
              <w:t>Q</w:t>
            </w:r>
            <w:r w:rsidR="00915F91" w:rsidRPr="008874DE">
              <w:rPr>
                <w:color w:val="000000"/>
                <w:lang w:val="en-NZ"/>
              </w:rPr>
              <w:t>uality measure: c</w:t>
            </w:r>
            <w:r w:rsidR="001C2B5C" w:rsidRPr="008874DE">
              <w:rPr>
                <w:color w:val="000000"/>
                <w:lang w:val="en-NZ"/>
              </w:rPr>
              <w:t>onsumer</w:t>
            </w:r>
            <w:r w:rsidR="007A4BDB" w:rsidRPr="008874DE">
              <w:rPr>
                <w:color w:val="000000"/>
                <w:lang w:val="en-NZ"/>
              </w:rPr>
              <w:t xml:space="preserve"> e</w:t>
            </w:r>
            <w:r w:rsidR="0033792D" w:rsidRPr="008874DE">
              <w:rPr>
                <w:color w:val="000000"/>
                <w:lang w:val="en-NZ"/>
              </w:rPr>
              <w:t>xperienc</w:t>
            </w:r>
            <w:r w:rsidR="002A2738" w:rsidRPr="008874DE">
              <w:rPr>
                <w:color w:val="000000"/>
                <w:lang w:val="en-NZ"/>
              </w:rPr>
              <w:t>e</w:t>
            </w:r>
            <w:r w:rsidR="0033792D" w:rsidRPr="008874DE">
              <w:rPr>
                <w:color w:val="000000"/>
                <w:lang w:val="en-NZ"/>
              </w:rPr>
              <w:t>)</w:t>
            </w:r>
          </w:p>
        </w:tc>
        <w:tc>
          <w:tcPr>
            <w:tcW w:w="4671" w:type="dxa"/>
          </w:tcPr>
          <w:p w14:paraId="74ED3F09" w14:textId="07635308" w:rsidR="00A939F7" w:rsidRPr="008874DE" w:rsidRDefault="0016564F" w:rsidP="008E6A7C">
            <w:pPr>
              <w:spacing w:before="60" w:after="60" w:line="259" w:lineRule="auto"/>
              <w:rPr>
                <w:rFonts w:cs="Arial"/>
                <w:color w:val="000000"/>
                <w:lang w:val="en-NZ"/>
              </w:rPr>
            </w:pPr>
            <w:r w:rsidRPr="008874DE">
              <w:rPr>
                <w:rFonts w:cs="Arial"/>
                <w:color w:val="000000"/>
              </w:rPr>
              <w:t>People-centred health care means delivering care that is seamless within and across services. Transitions in and out of different mental health and addiction services is a natural part of a tangata whaiora’s recovery journey.</w:t>
            </w:r>
          </w:p>
        </w:tc>
        <w:tc>
          <w:tcPr>
            <w:tcW w:w="2698" w:type="dxa"/>
          </w:tcPr>
          <w:p w14:paraId="4C983AE6" w14:textId="6CC3F085" w:rsidR="00A939F7" w:rsidRPr="008874DE" w:rsidRDefault="003C4BD5" w:rsidP="008E6A7C">
            <w:pPr>
              <w:spacing w:before="60" w:after="60" w:line="259" w:lineRule="auto"/>
              <w:rPr>
                <w:rFonts w:cs="Arial"/>
                <w:color w:val="000000"/>
                <w:lang w:val="en-NZ"/>
              </w:rPr>
            </w:pPr>
            <w:r w:rsidRPr="008874DE">
              <w:rPr>
                <w:rFonts w:cs="Arial"/>
                <w:color w:val="000000"/>
              </w:rPr>
              <w:t>A</w:t>
            </w:r>
            <w:r w:rsidRPr="008874DE">
              <w:rPr>
                <w:rFonts w:cs="Arial"/>
              </w:rPr>
              <w:t xml:space="preserve">ssesses </w:t>
            </w:r>
            <w:r w:rsidR="0016564F" w:rsidRPr="008874DE">
              <w:rPr>
                <w:rFonts w:cs="Arial"/>
                <w:color w:val="000000"/>
              </w:rPr>
              <w:t xml:space="preserve">complaints to HDC about coordination of care, </w:t>
            </w:r>
            <w:r w:rsidRPr="008874DE">
              <w:rPr>
                <w:rFonts w:cs="Arial"/>
                <w:color w:val="000000"/>
              </w:rPr>
              <w:t>a</w:t>
            </w:r>
            <w:r w:rsidRPr="008874DE">
              <w:rPr>
                <w:rFonts w:cs="Arial"/>
              </w:rPr>
              <w:t>nd se</w:t>
            </w:r>
            <w:r w:rsidR="0016564F" w:rsidRPr="008874DE">
              <w:rPr>
                <w:rFonts w:cs="Arial"/>
                <w:color w:val="000000"/>
              </w:rPr>
              <w:t>rvice transitions for people moving from an inpatient to a community setting</w:t>
            </w:r>
            <w:r w:rsidR="00500A5E" w:rsidRPr="008874DE">
              <w:rPr>
                <w:rFonts w:cs="Arial"/>
                <w:color w:val="000000"/>
              </w:rPr>
              <w:t>.</w:t>
            </w:r>
          </w:p>
        </w:tc>
      </w:tr>
      <w:tr w:rsidR="003C4BD5" w:rsidRPr="0009699E" w14:paraId="02D0FEBB" w14:textId="77777777" w:rsidTr="007D6807">
        <w:tc>
          <w:tcPr>
            <w:tcW w:w="1874" w:type="dxa"/>
          </w:tcPr>
          <w:p w14:paraId="4D876CEA" w14:textId="578A25D5" w:rsidR="0033792D" w:rsidRPr="008874DE" w:rsidRDefault="00A939F7" w:rsidP="002F5E93">
            <w:pPr>
              <w:pStyle w:val="ListParagraph"/>
              <w:numPr>
                <w:ilvl w:val="0"/>
                <w:numId w:val="4"/>
              </w:numPr>
              <w:spacing w:before="60" w:after="60" w:line="259" w:lineRule="auto"/>
              <w:ind w:left="184" w:hanging="184"/>
              <w:rPr>
                <w:b/>
                <w:color w:val="000000"/>
                <w:lang w:val="en-NZ"/>
              </w:rPr>
            </w:pPr>
            <w:r w:rsidRPr="008874DE">
              <w:rPr>
                <w:b/>
                <w:color w:val="1F3864" w:themeColor="accent1" w:themeShade="80"/>
                <w:lang w:val="en-NZ"/>
              </w:rPr>
              <w:t>Do services work well for everyone?</w:t>
            </w:r>
            <w:r w:rsidR="00DC2867" w:rsidRPr="008874DE">
              <w:rPr>
                <w:b/>
                <w:color w:val="1F3864" w:themeColor="accent1" w:themeShade="80"/>
                <w:lang w:val="en-NZ"/>
              </w:rPr>
              <w:t xml:space="preserve"> </w:t>
            </w:r>
            <w:r w:rsidR="0033792D" w:rsidRPr="008874DE">
              <w:rPr>
                <w:color w:val="000000"/>
                <w:lang w:val="en-NZ"/>
              </w:rPr>
              <w:t>(</w:t>
            </w:r>
            <w:r w:rsidR="006E622C" w:rsidRPr="008874DE">
              <w:rPr>
                <w:color w:val="000000"/>
                <w:lang w:val="en-NZ"/>
              </w:rPr>
              <w:t>Q</w:t>
            </w:r>
            <w:r w:rsidR="00915F91" w:rsidRPr="008874DE">
              <w:rPr>
                <w:color w:val="000000"/>
                <w:lang w:val="en-NZ"/>
              </w:rPr>
              <w:t>uality measure: e</w:t>
            </w:r>
            <w:r w:rsidR="0033792D" w:rsidRPr="008874DE">
              <w:rPr>
                <w:color w:val="000000"/>
                <w:lang w:val="en-NZ"/>
              </w:rPr>
              <w:t>quity</w:t>
            </w:r>
            <w:r w:rsidR="001C2B5C" w:rsidRPr="008874DE">
              <w:rPr>
                <w:color w:val="000000"/>
                <w:lang w:val="en-NZ"/>
              </w:rPr>
              <w:t>, consumer experience</w:t>
            </w:r>
            <w:r w:rsidR="0033792D" w:rsidRPr="008874DE">
              <w:rPr>
                <w:color w:val="000000"/>
                <w:lang w:val="en-NZ"/>
              </w:rPr>
              <w:t>)</w:t>
            </w:r>
          </w:p>
        </w:tc>
        <w:tc>
          <w:tcPr>
            <w:tcW w:w="4671" w:type="dxa"/>
          </w:tcPr>
          <w:p w14:paraId="5F6A317C" w14:textId="730E1AA6" w:rsidR="00A939F7" w:rsidRPr="008874DE" w:rsidRDefault="0016564F" w:rsidP="008E6A7C">
            <w:pPr>
              <w:spacing w:before="60" w:after="60" w:line="259" w:lineRule="auto"/>
              <w:rPr>
                <w:rFonts w:cs="Arial"/>
                <w:color w:val="000000"/>
                <w:lang w:val="en-NZ"/>
              </w:rPr>
            </w:pPr>
            <w:r w:rsidRPr="008874DE">
              <w:rPr>
                <w:rFonts w:cs="Arial"/>
                <w:color w:val="000000"/>
              </w:rPr>
              <w:t xml:space="preserve">A well-functioning mental health and addiction system should provide equity of care for all populations, particularly the most vulnerable. People accessing services should be able to expect the same quality of care, experience, and outcomes as others, regardless of who they are. Services should provide a culturally safe environment by respecting and acknowledging a person’s identity, values, and beliefs, including ties with family and whānau. As a Tiriti o Waitangi partner, publicly funded services have a particular responsibility to </w:t>
            </w:r>
            <w:r w:rsidR="00AD0A2B" w:rsidRPr="008874DE">
              <w:rPr>
                <w:rFonts w:cs="Arial"/>
                <w:color w:val="000000"/>
              </w:rPr>
              <w:t>practice</w:t>
            </w:r>
            <w:r w:rsidRPr="008874DE">
              <w:rPr>
                <w:rFonts w:cs="Arial"/>
                <w:color w:val="000000"/>
              </w:rPr>
              <w:t xml:space="preserve"> the principles of partnership, participation, and protection in the design and delivery of mental health and addiction care.</w:t>
            </w:r>
          </w:p>
        </w:tc>
        <w:tc>
          <w:tcPr>
            <w:tcW w:w="2698" w:type="dxa"/>
          </w:tcPr>
          <w:p w14:paraId="07F95225" w14:textId="08D9A52D" w:rsidR="00A939F7" w:rsidRPr="008874DE" w:rsidRDefault="003C4BD5" w:rsidP="008E6A7C">
            <w:pPr>
              <w:spacing w:before="60" w:after="60" w:line="259" w:lineRule="auto"/>
              <w:rPr>
                <w:rFonts w:cs="Arial"/>
                <w:color w:val="000000"/>
                <w:lang w:val="en-NZ"/>
              </w:rPr>
            </w:pPr>
            <w:r w:rsidRPr="008874DE">
              <w:rPr>
                <w:rFonts w:cs="Arial"/>
                <w:color w:val="000000"/>
              </w:rPr>
              <w:t xml:space="preserve">Assesses </w:t>
            </w:r>
            <w:r w:rsidR="0016564F" w:rsidRPr="008874DE">
              <w:rPr>
                <w:rFonts w:cs="Arial"/>
                <w:color w:val="000000"/>
              </w:rPr>
              <w:t xml:space="preserve">the responsiveness of services </w:t>
            </w:r>
            <w:r w:rsidRPr="008874DE">
              <w:rPr>
                <w:rFonts w:cs="Arial"/>
                <w:color w:val="000000"/>
              </w:rPr>
              <w:t>for</w:t>
            </w:r>
            <w:r w:rsidR="0016564F" w:rsidRPr="008874DE">
              <w:rPr>
                <w:rFonts w:cs="Arial"/>
                <w:color w:val="000000"/>
              </w:rPr>
              <w:t xml:space="preserve"> </w:t>
            </w:r>
            <w:r w:rsidRPr="008874DE">
              <w:rPr>
                <w:rFonts w:cs="Arial"/>
                <w:color w:val="000000"/>
              </w:rPr>
              <w:t>Māori and other</w:t>
            </w:r>
            <w:r w:rsidR="0016564F" w:rsidRPr="008874DE">
              <w:rPr>
                <w:rFonts w:cs="Arial"/>
                <w:color w:val="000000"/>
              </w:rPr>
              <w:t xml:space="preserve"> population groups with disparit</w:t>
            </w:r>
            <w:r w:rsidR="00482643" w:rsidRPr="008874DE">
              <w:rPr>
                <w:rFonts w:cs="Arial"/>
                <w:color w:val="000000"/>
              </w:rPr>
              <w:t>y</w:t>
            </w:r>
            <w:r w:rsidR="0016564F" w:rsidRPr="008874DE">
              <w:rPr>
                <w:rFonts w:cs="Arial"/>
                <w:color w:val="000000"/>
              </w:rPr>
              <w:t xml:space="preserve"> in outcome and distinct needs</w:t>
            </w:r>
            <w:r w:rsidRPr="008874DE">
              <w:rPr>
                <w:rFonts w:cs="Arial"/>
                <w:color w:val="000000"/>
              </w:rPr>
              <w:t xml:space="preserve">. Focus areas have included Pacific peoples; </w:t>
            </w:r>
            <w:r w:rsidR="0016564F" w:rsidRPr="008874DE">
              <w:rPr>
                <w:rFonts w:cs="Arial"/>
                <w:color w:val="000000"/>
              </w:rPr>
              <w:t xml:space="preserve">mothers and infants; </w:t>
            </w:r>
            <w:r w:rsidRPr="008874DE">
              <w:rPr>
                <w:rFonts w:cs="Arial"/>
                <w:color w:val="000000"/>
              </w:rPr>
              <w:t xml:space="preserve">young people; </w:t>
            </w:r>
            <w:r w:rsidR="0016564F" w:rsidRPr="008874DE">
              <w:rPr>
                <w:rFonts w:cs="Arial"/>
                <w:color w:val="000000"/>
              </w:rPr>
              <w:t>people with problematic substance use; and people in prison.</w:t>
            </w:r>
          </w:p>
        </w:tc>
      </w:tr>
    </w:tbl>
    <w:p w14:paraId="323CD68C" w14:textId="77777777" w:rsidR="004575BB" w:rsidRPr="0009699E" w:rsidRDefault="004575BB" w:rsidP="00452E55">
      <w:pPr>
        <w:rPr>
          <w:rFonts w:cs="Arial"/>
          <w:b/>
          <w:sz w:val="20"/>
          <w:szCs w:val="20"/>
          <w:lang w:val="en-NZ" w:eastAsia="en-GB"/>
        </w:rPr>
      </w:pPr>
    </w:p>
    <w:p w14:paraId="7FB4A554" w14:textId="488472E3" w:rsidR="004575BB" w:rsidRPr="0009699E" w:rsidRDefault="004575BB">
      <w:pPr>
        <w:rPr>
          <w:rFonts w:cs="Arial"/>
          <w:b/>
          <w:sz w:val="20"/>
          <w:szCs w:val="20"/>
          <w:lang w:val="en-NZ" w:eastAsia="en-GB"/>
        </w:rPr>
      </w:pPr>
    </w:p>
    <w:sectPr w:rsidR="004575BB" w:rsidRPr="0009699E" w:rsidSect="00B3403B">
      <w:headerReference w:type="even" r:id="rId27"/>
      <w:headerReference w:type="default" r:id="rId28"/>
      <w:footerReference w:type="default" r:id="rId29"/>
      <w:headerReference w:type="first" r:id="rId30"/>
      <w:footerReference w:type="first" r:id="rId31"/>
      <w:pgSz w:w="11906" w:h="16838"/>
      <w:pgMar w:top="1701" w:right="1274" w:bottom="1134" w:left="1276" w:header="708" w:footer="3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D1643" w14:textId="77777777" w:rsidR="00C228F5" w:rsidRDefault="00C228F5" w:rsidP="00BD7BE6">
      <w:pPr>
        <w:spacing w:after="0" w:line="240" w:lineRule="auto"/>
      </w:pPr>
      <w:r>
        <w:separator/>
      </w:r>
    </w:p>
  </w:endnote>
  <w:endnote w:type="continuationSeparator" w:id="0">
    <w:p w14:paraId="36C3A626" w14:textId="77777777" w:rsidR="00C228F5" w:rsidRDefault="00C228F5" w:rsidP="00BD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261519"/>
      <w:docPartObj>
        <w:docPartGallery w:val="Page Numbers (Bottom of Page)"/>
        <w:docPartUnique/>
      </w:docPartObj>
    </w:sdtPr>
    <w:sdtEndPr>
      <w:rPr>
        <w:noProof/>
      </w:rPr>
    </w:sdtEndPr>
    <w:sdtContent>
      <w:p w14:paraId="03DA3B34" w14:textId="23F46EA9" w:rsidR="00903CCA" w:rsidRDefault="00903C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CA7AEA" w14:textId="77777777" w:rsidR="00903CCA" w:rsidRDefault="00903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0A30" w14:textId="607346FC" w:rsidR="00903CCA" w:rsidRDefault="00903CCA">
    <w:pPr>
      <w:pStyle w:val="Footer"/>
      <w:jc w:val="right"/>
    </w:pPr>
  </w:p>
  <w:p w14:paraId="12E7DC59" w14:textId="77777777" w:rsidR="00903CCA" w:rsidRDefault="00903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29FA6" w14:textId="77777777" w:rsidR="00C228F5" w:rsidRDefault="00C228F5" w:rsidP="00BD7BE6">
      <w:pPr>
        <w:spacing w:after="0" w:line="240" w:lineRule="auto"/>
      </w:pPr>
      <w:r>
        <w:separator/>
      </w:r>
    </w:p>
  </w:footnote>
  <w:footnote w:type="continuationSeparator" w:id="0">
    <w:p w14:paraId="40C5DE14" w14:textId="77777777" w:rsidR="00C228F5" w:rsidRDefault="00C228F5" w:rsidP="00BD7BE6">
      <w:pPr>
        <w:spacing w:after="0" w:line="240" w:lineRule="auto"/>
      </w:pPr>
      <w:r>
        <w:continuationSeparator/>
      </w:r>
    </w:p>
  </w:footnote>
  <w:footnote w:id="1">
    <w:p w14:paraId="11DD6D28" w14:textId="0640146C" w:rsidR="00F920AE" w:rsidRPr="007E043C" w:rsidRDefault="00F920AE" w:rsidP="00F920AE">
      <w:pPr>
        <w:pStyle w:val="Footnote"/>
        <w:spacing w:before="0"/>
        <w:rPr>
          <w:sz w:val="18"/>
          <w:szCs w:val="18"/>
        </w:rPr>
      </w:pPr>
      <w:r w:rsidRPr="007E043C">
        <w:rPr>
          <w:rStyle w:val="FootnoteReference"/>
          <w:sz w:val="18"/>
          <w:szCs w:val="18"/>
        </w:rPr>
        <w:footnoteRef/>
      </w:r>
      <w:r w:rsidRPr="007E043C">
        <w:rPr>
          <w:sz w:val="18"/>
          <w:szCs w:val="18"/>
        </w:rPr>
        <w:t xml:space="preserve"> </w:t>
      </w:r>
      <w:r>
        <w:rPr>
          <w:i/>
          <w:sz w:val="18"/>
          <w:szCs w:val="18"/>
        </w:rPr>
        <w:t xml:space="preserve">He Ara Oranga </w:t>
      </w:r>
      <w:r>
        <w:rPr>
          <w:sz w:val="18"/>
          <w:szCs w:val="18"/>
        </w:rPr>
        <w:t xml:space="preserve"> The r</w:t>
      </w:r>
      <w:r w:rsidRPr="007E043C">
        <w:rPr>
          <w:sz w:val="18"/>
          <w:szCs w:val="18"/>
        </w:rPr>
        <w:t>eport of the Government Inquiry into Mental Health and Addiction</w:t>
      </w:r>
      <w:r>
        <w:rPr>
          <w:sz w:val="18"/>
          <w:szCs w:val="18"/>
        </w:rPr>
        <w:t xml:space="preserve"> ca be found here:</w:t>
      </w:r>
      <w:r w:rsidRPr="007E043C">
        <w:rPr>
          <w:sz w:val="18"/>
          <w:szCs w:val="18"/>
        </w:rPr>
        <w:t xml:space="preserve"> </w:t>
      </w:r>
      <w:hyperlink r:id="rId1" w:history="1">
        <w:r w:rsidRPr="007E043C">
          <w:rPr>
            <w:rStyle w:val="Hyperlink"/>
            <w:sz w:val="18"/>
            <w:szCs w:val="18"/>
          </w:rPr>
          <w:t>https://mentalhealth.inquiry.govt.nz/inquiry-report/he-ara-oranga/</w:t>
        </w:r>
      </w:hyperlink>
      <w:r w:rsidRPr="007E043C">
        <w:rPr>
          <w:sz w:val="18"/>
          <w:szCs w:val="18"/>
        </w:rPr>
        <w:t xml:space="preserve"> </w:t>
      </w:r>
    </w:p>
  </w:footnote>
  <w:footnote w:id="2">
    <w:p w14:paraId="7AF81488" w14:textId="16F1AD65" w:rsidR="00903CCA" w:rsidRPr="007E043C" w:rsidRDefault="00903CCA" w:rsidP="008751A6">
      <w:pPr>
        <w:pStyle w:val="Footnote"/>
        <w:spacing w:before="0"/>
        <w:rPr>
          <w:sz w:val="18"/>
          <w:szCs w:val="18"/>
        </w:rPr>
      </w:pPr>
      <w:r w:rsidRPr="007E043C">
        <w:rPr>
          <w:rStyle w:val="FootnoteReference"/>
          <w:sz w:val="18"/>
          <w:szCs w:val="18"/>
        </w:rPr>
        <w:footnoteRef/>
      </w:r>
      <w:r w:rsidRPr="007E043C">
        <w:rPr>
          <w:sz w:val="18"/>
          <w:szCs w:val="18"/>
        </w:rPr>
        <w:t xml:space="preserve"> </w:t>
      </w:r>
      <w:r w:rsidR="000D4750" w:rsidRPr="007E043C">
        <w:rPr>
          <w:sz w:val="18"/>
          <w:szCs w:val="18"/>
        </w:rPr>
        <w:t>The Mental Health and Wellbeing Commission</w:t>
      </w:r>
      <w:r w:rsidR="000D4750">
        <w:rPr>
          <w:sz w:val="18"/>
          <w:szCs w:val="18"/>
        </w:rPr>
        <w:t xml:space="preserve"> Act</w:t>
      </w:r>
      <w:r w:rsidR="000D4750" w:rsidRPr="007E043C">
        <w:rPr>
          <w:sz w:val="18"/>
          <w:szCs w:val="18"/>
        </w:rPr>
        <w:t xml:space="preserve"> 2020</w:t>
      </w:r>
      <w:r w:rsidR="000D4750">
        <w:rPr>
          <w:sz w:val="18"/>
          <w:szCs w:val="18"/>
        </w:rPr>
        <w:t xml:space="preserve"> was passed in June and</w:t>
      </w:r>
      <w:r w:rsidR="000D4750" w:rsidRPr="007E043C">
        <w:rPr>
          <w:sz w:val="18"/>
          <w:szCs w:val="18"/>
        </w:rPr>
        <w:t xml:space="preserve"> will come into force by February 2021.</w:t>
      </w:r>
    </w:p>
  </w:footnote>
  <w:footnote w:id="3">
    <w:p w14:paraId="71BF2E45" w14:textId="26477CF3" w:rsidR="00903CCA" w:rsidRPr="00B12888" w:rsidRDefault="00903CCA">
      <w:pPr>
        <w:pStyle w:val="FootnoteText"/>
      </w:pPr>
      <w:r w:rsidRPr="00616738">
        <w:rPr>
          <w:rStyle w:val="FootnoteReference"/>
        </w:rPr>
        <w:footnoteRef/>
      </w:r>
      <w:r w:rsidRPr="00616738">
        <w:t xml:space="preserve"> </w:t>
      </w:r>
      <w:r>
        <w:t xml:space="preserve">See here for the </w:t>
      </w:r>
      <w:r w:rsidR="00F14836">
        <w:t xml:space="preserve">Commission’s </w:t>
      </w:r>
      <w:r>
        <w:t xml:space="preserve">Terms of Reference: </w:t>
      </w:r>
      <w:hyperlink r:id="rId2" w:history="1">
        <w:r w:rsidRPr="00324A3E">
          <w:rPr>
            <w:rStyle w:val="Hyperlink"/>
          </w:rPr>
          <w:t>https://www.mhwc.govt.nz/about-us/terms-of-reference/</w:t>
        </w:r>
      </w:hyperlink>
      <w:r w:rsidR="008531C9">
        <w:rPr>
          <w:rStyle w:val="Hyperlink"/>
        </w:rPr>
        <w:t>.</w:t>
      </w:r>
    </w:p>
  </w:footnote>
  <w:footnote w:id="4">
    <w:p w14:paraId="57F2C1B2" w14:textId="1F8D432F" w:rsidR="00903CCA" w:rsidRPr="00473FD2" w:rsidRDefault="00903CCA">
      <w:pPr>
        <w:pStyle w:val="FootnoteText"/>
        <w:rPr>
          <w:lang w:val="en-NZ"/>
        </w:rPr>
      </w:pPr>
      <w:r>
        <w:rPr>
          <w:rStyle w:val="FootnoteReference"/>
        </w:rPr>
        <w:footnoteRef/>
      </w:r>
      <w:r>
        <w:t xml:space="preserve"> </w:t>
      </w:r>
      <w:r>
        <w:rPr>
          <w:lang w:val="en-NZ"/>
        </w:rPr>
        <w:t xml:space="preserve">See here </w:t>
      </w:r>
      <w:r w:rsidRPr="00F14836">
        <w:rPr>
          <w:lang w:val="en-NZ"/>
        </w:rPr>
        <w:t xml:space="preserve">for the draft </w:t>
      </w:r>
      <w:r w:rsidR="00DE41C2" w:rsidRPr="00F14836">
        <w:rPr>
          <w:lang w:val="en-NZ"/>
        </w:rPr>
        <w:t>conceptual framework</w:t>
      </w:r>
      <w:r w:rsidR="009D09D7" w:rsidRPr="00F14836">
        <w:rPr>
          <w:lang w:val="en-NZ"/>
        </w:rPr>
        <w:t xml:space="preserve"> for the </w:t>
      </w:r>
      <w:r w:rsidR="009D09D7" w:rsidRPr="00F14836">
        <w:rPr>
          <w:i/>
          <w:lang w:val="en-NZ"/>
        </w:rPr>
        <w:t>He Ara Oranga Wellbeing Outcomes Framework</w:t>
      </w:r>
      <w:r w:rsidRPr="00F14836">
        <w:rPr>
          <w:lang w:val="en-NZ"/>
        </w:rPr>
        <w:t xml:space="preserve"> </w:t>
      </w:r>
      <w:hyperlink r:id="rId3" w:history="1">
        <w:r w:rsidRPr="00F14836">
          <w:rPr>
            <w:rStyle w:val="Hyperlink"/>
            <w:lang w:val="en-NZ"/>
          </w:rPr>
          <w:t>https://www.mhwc.govt.nz/assets/Outcomes-framework/Conceptual-framework-August-2020.pdf</w:t>
        </w:r>
      </w:hyperlink>
      <w:r w:rsidRPr="00F14836">
        <w:rPr>
          <w:lang w:val="en-NZ"/>
        </w:rPr>
        <w:t xml:space="preserve">. </w:t>
      </w:r>
    </w:p>
  </w:footnote>
  <w:footnote w:id="5">
    <w:p w14:paraId="46368CCA" w14:textId="69B4DF96" w:rsidR="00903CCA" w:rsidRPr="00C87C4A" w:rsidRDefault="00903CCA" w:rsidP="000C3C8C">
      <w:pPr>
        <w:pStyle w:val="FootnoteText"/>
      </w:pPr>
      <w:r w:rsidRPr="004C4889">
        <w:rPr>
          <w:rStyle w:val="FootnoteReference"/>
        </w:rPr>
        <w:footnoteRef/>
      </w:r>
      <w:r w:rsidRPr="004C4889">
        <w:t xml:space="preserve"> </w:t>
      </w:r>
      <w:r w:rsidR="00E7553C" w:rsidRPr="004C4889">
        <w:t xml:space="preserve">The Mental Health Commissioner’s monitoring and advocacy framework can be found </w:t>
      </w:r>
      <w:hyperlink r:id="rId4" w:history="1">
        <w:r w:rsidR="00E7553C" w:rsidRPr="008E5611">
          <w:rPr>
            <w:rStyle w:val="Hyperlink"/>
          </w:rPr>
          <w:t>here</w:t>
        </w:r>
      </w:hyperlink>
      <w:r w:rsidR="0036710C">
        <w:t>; the 2020</w:t>
      </w:r>
      <w:r w:rsidR="005438CF">
        <w:t xml:space="preserve"> monitoring and advocacy report </w:t>
      </w:r>
      <w:hyperlink r:id="rId5" w:history="1">
        <w:r w:rsidR="005438CF" w:rsidRPr="005438CF">
          <w:rPr>
            <w:rStyle w:val="Hyperlink"/>
          </w:rPr>
          <w:t>here</w:t>
        </w:r>
      </w:hyperlink>
      <w:r w:rsidR="005438CF">
        <w:t>;</w:t>
      </w:r>
      <w:r w:rsidR="004C2514">
        <w:t xml:space="preserve"> the 2019 indicator update </w:t>
      </w:r>
      <w:hyperlink r:id="rId6" w:history="1">
        <w:r w:rsidR="004C2514" w:rsidRPr="00011E9B">
          <w:rPr>
            <w:rStyle w:val="Hyperlink"/>
          </w:rPr>
          <w:t>here</w:t>
        </w:r>
      </w:hyperlink>
      <w:r w:rsidR="004C2514">
        <w:t xml:space="preserve">; </w:t>
      </w:r>
      <w:r w:rsidR="00011E9B">
        <w:t xml:space="preserve">and the 2018 report </w:t>
      </w:r>
      <w:hyperlink r:id="rId7" w:history="1">
        <w:r w:rsidR="00011E9B" w:rsidRPr="00E80090">
          <w:rPr>
            <w:rStyle w:val="Hyperlink"/>
          </w:rPr>
          <w:t>here</w:t>
        </w:r>
      </w:hyperlink>
      <w:r w:rsidR="00011E9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B1F6" w14:textId="7FB8E049" w:rsidR="00903CCA" w:rsidRDefault="00903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F797" w14:textId="728144A8" w:rsidR="00903CCA" w:rsidRDefault="00903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EBA9B" w14:textId="29C18285" w:rsidR="00903CCA" w:rsidRDefault="00903CCA">
    <w:pPr>
      <w:pStyle w:val="Header"/>
    </w:pPr>
    <w:r>
      <w:rPr>
        <w:noProof/>
        <w:lang w:val="en-NZ" w:eastAsia="en-NZ"/>
      </w:rPr>
      <w:drawing>
        <wp:inline distT="0" distB="0" distL="0" distR="0" wp14:anchorId="0FF0F3C7" wp14:editId="29C4C01C">
          <wp:extent cx="5731510" cy="17100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10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9E6"/>
    <w:multiLevelType w:val="multilevel"/>
    <w:tmpl w:val="3440D22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C0A020D"/>
    <w:multiLevelType w:val="hybridMultilevel"/>
    <w:tmpl w:val="D166AE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361C25"/>
    <w:multiLevelType w:val="hybridMultilevel"/>
    <w:tmpl w:val="F6C8E1D6"/>
    <w:lvl w:ilvl="0" w:tplc="1409000F">
      <w:start w:val="1"/>
      <w:numFmt w:val="decimal"/>
      <w:lvlText w:val="%1."/>
      <w:lvlJc w:val="left"/>
      <w:pPr>
        <w:ind w:left="928"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19">
      <w:start w:val="1"/>
      <w:numFmt w:val="lowerLetter"/>
      <w:lvlText w:val="%4."/>
      <w:lvlJc w:val="left"/>
      <w:pPr>
        <w:ind w:left="2880" w:hanging="360"/>
      </w:pPr>
      <w:rPr>
        <w:b w:val="0"/>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A6B1E4E"/>
    <w:multiLevelType w:val="hybridMultilevel"/>
    <w:tmpl w:val="A81224EE"/>
    <w:lvl w:ilvl="0" w:tplc="31C48A88">
      <w:start w:val="1"/>
      <w:numFmt w:val="lowerLetter"/>
      <w:lvlText w:val="%1."/>
      <w:lvlJc w:val="left"/>
      <w:pPr>
        <w:ind w:left="72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BC054F3"/>
    <w:multiLevelType w:val="hybridMultilevel"/>
    <w:tmpl w:val="A81224EE"/>
    <w:lvl w:ilvl="0" w:tplc="31C48A88">
      <w:start w:val="1"/>
      <w:numFmt w:val="lowerLetter"/>
      <w:lvlText w:val="%1."/>
      <w:lvlJc w:val="left"/>
      <w:pPr>
        <w:ind w:left="72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F0804CB"/>
    <w:multiLevelType w:val="hybridMultilevel"/>
    <w:tmpl w:val="0DF4C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5715222"/>
    <w:multiLevelType w:val="hybridMultilevel"/>
    <w:tmpl w:val="5C94F3A4"/>
    <w:lvl w:ilvl="0" w:tplc="1409000F">
      <w:start w:val="1"/>
      <w:numFmt w:val="decimal"/>
      <w:lvlText w:val="%1."/>
      <w:lvlJc w:val="left"/>
      <w:pPr>
        <w:ind w:left="928"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1">
      <w:start w:val="1"/>
      <w:numFmt w:val="bullet"/>
      <w:lvlText w:val=""/>
      <w:lvlJc w:val="left"/>
      <w:pPr>
        <w:ind w:left="2880" w:hanging="360"/>
      </w:pPr>
      <w:rPr>
        <w:rFonts w:ascii="Symbol" w:hAnsi="Symbol" w:hint="default"/>
        <w:b w:val="0"/>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9ED5EEF"/>
    <w:multiLevelType w:val="hybridMultilevel"/>
    <w:tmpl w:val="979478B0"/>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B4E261D"/>
    <w:multiLevelType w:val="hybridMultilevel"/>
    <w:tmpl w:val="04B6398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BAD726D"/>
    <w:multiLevelType w:val="hybridMultilevel"/>
    <w:tmpl w:val="3D22B428"/>
    <w:lvl w:ilvl="0" w:tplc="1409000F">
      <w:start w:val="1"/>
      <w:numFmt w:val="decimal"/>
      <w:lvlText w:val="%1."/>
      <w:lvlJc w:val="left"/>
      <w:pPr>
        <w:ind w:left="928"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1">
      <w:start w:val="1"/>
      <w:numFmt w:val="bullet"/>
      <w:lvlText w:val=""/>
      <w:lvlJc w:val="left"/>
      <w:pPr>
        <w:ind w:left="2880" w:hanging="360"/>
      </w:pPr>
      <w:rPr>
        <w:rFonts w:ascii="Symbol" w:hAnsi="Symbol" w:hint="default"/>
        <w:b w:val="0"/>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D5F6912"/>
    <w:multiLevelType w:val="hybridMultilevel"/>
    <w:tmpl w:val="B6E62324"/>
    <w:lvl w:ilvl="0" w:tplc="44A03234">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6A718C6"/>
    <w:multiLevelType w:val="hybridMultilevel"/>
    <w:tmpl w:val="B7F4ADA4"/>
    <w:lvl w:ilvl="0" w:tplc="E62262A2">
      <w:start w:val="1"/>
      <w:numFmt w:val="decimal"/>
      <w:lvlText w:val="%1."/>
      <w:lvlJc w:val="left"/>
      <w:pPr>
        <w:ind w:left="720" w:hanging="360"/>
      </w:pPr>
      <w:rPr>
        <w:color w:val="1F3864" w:themeColor="accent1" w:themeShade="80"/>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1F11E48"/>
    <w:multiLevelType w:val="hybridMultilevel"/>
    <w:tmpl w:val="06DEBAD2"/>
    <w:lvl w:ilvl="0" w:tplc="B114DD86">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2703402"/>
    <w:multiLevelType w:val="hybridMultilevel"/>
    <w:tmpl w:val="E3FC01A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657A5057"/>
    <w:multiLevelType w:val="hybridMultilevel"/>
    <w:tmpl w:val="74266438"/>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A453672"/>
    <w:multiLevelType w:val="hybridMultilevel"/>
    <w:tmpl w:val="C550048C"/>
    <w:lvl w:ilvl="0" w:tplc="F0129E90">
      <w:start w:val="1"/>
      <w:numFmt w:val="decimal"/>
      <w:lvlText w:val="%1."/>
      <w:lvlJc w:val="left"/>
      <w:pPr>
        <w:ind w:left="72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0"/>
  </w:num>
  <w:num w:numId="2">
    <w:abstractNumId w:val="0"/>
  </w:num>
  <w:num w:numId="3">
    <w:abstractNumId w:val="14"/>
  </w:num>
  <w:num w:numId="4">
    <w:abstractNumId w:val="11"/>
  </w:num>
  <w:num w:numId="5">
    <w:abstractNumId w:val="13"/>
  </w:num>
  <w:num w:numId="6">
    <w:abstractNumId w:val="8"/>
  </w:num>
  <w:num w:numId="7">
    <w:abstractNumId w:val="15"/>
  </w:num>
  <w:num w:numId="8">
    <w:abstractNumId w:val="2"/>
  </w:num>
  <w:num w:numId="9">
    <w:abstractNumId w:val="3"/>
  </w:num>
  <w:num w:numId="10">
    <w:abstractNumId w:val="1"/>
  </w:num>
  <w:num w:numId="11">
    <w:abstractNumId w:val="9"/>
  </w:num>
  <w:num w:numId="12">
    <w:abstractNumId w:val="12"/>
  </w:num>
  <w:num w:numId="13">
    <w:abstractNumId w:val="10"/>
  </w:num>
  <w:num w:numId="14">
    <w:abstractNumId w:val="6"/>
  </w:num>
  <w:num w:numId="15">
    <w:abstractNumId w:val="5"/>
  </w:num>
  <w:num w:numId="16">
    <w:abstractNumId w:val="10"/>
  </w:num>
  <w:num w:numId="17">
    <w:abstractNumId w:val="4"/>
  </w:num>
  <w:num w:numId="18">
    <w:abstractNumId w:val="10"/>
  </w:num>
  <w:num w:numId="1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62"/>
    <w:rsid w:val="00000B01"/>
    <w:rsid w:val="00001AC9"/>
    <w:rsid w:val="00002B9C"/>
    <w:rsid w:val="00002E5C"/>
    <w:rsid w:val="00004016"/>
    <w:rsid w:val="00006BF7"/>
    <w:rsid w:val="000079C1"/>
    <w:rsid w:val="00007D04"/>
    <w:rsid w:val="00007F36"/>
    <w:rsid w:val="00010A1D"/>
    <w:rsid w:val="00011423"/>
    <w:rsid w:val="00011E9B"/>
    <w:rsid w:val="000124E9"/>
    <w:rsid w:val="00012AF1"/>
    <w:rsid w:val="0001386C"/>
    <w:rsid w:val="000146DD"/>
    <w:rsid w:val="00022A5B"/>
    <w:rsid w:val="00025B80"/>
    <w:rsid w:val="000310B1"/>
    <w:rsid w:val="000312CA"/>
    <w:rsid w:val="0003148D"/>
    <w:rsid w:val="00035035"/>
    <w:rsid w:val="000368C3"/>
    <w:rsid w:val="00036B03"/>
    <w:rsid w:val="00040021"/>
    <w:rsid w:val="0004234F"/>
    <w:rsid w:val="00045F26"/>
    <w:rsid w:val="00052FA7"/>
    <w:rsid w:val="00053F72"/>
    <w:rsid w:val="00056213"/>
    <w:rsid w:val="00057259"/>
    <w:rsid w:val="000625D0"/>
    <w:rsid w:val="000646BD"/>
    <w:rsid w:val="000648C2"/>
    <w:rsid w:val="000658D2"/>
    <w:rsid w:val="00070E2B"/>
    <w:rsid w:val="00071ED8"/>
    <w:rsid w:val="00071EEC"/>
    <w:rsid w:val="0007204E"/>
    <w:rsid w:val="000731AA"/>
    <w:rsid w:val="00073590"/>
    <w:rsid w:val="0007406C"/>
    <w:rsid w:val="00074637"/>
    <w:rsid w:val="00074B87"/>
    <w:rsid w:val="00075406"/>
    <w:rsid w:val="0007641C"/>
    <w:rsid w:val="00076575"/>
    <w:rsid w:val="00076EB4"/>
    <w:rsid w:val="0007753A"/>
    <w:rsid w:val="000835B9"/>
    <w:rsid w:val="00090656"/>
    <w:rsid w:val="00090952"/>
    <w:rsid w:val="00090B9D"/>
    <w:rsid w:val="00091DCB"/>
    <w:rsid w:val="00092251"/>
    <w:rsid w:val="00092EE7"/>
    <w:rsid w:val="000942BF"/>
    <w:rsid w:val="0009498F"/>
    <w:rsid w:val="0009699E"/>
    <w:rsid w:val="00097348"/>
    <w:rsid w:val="000A1A54"/>
    <w:rsid w:val="000A1F45"/>
    <w:rsid w:val="000A2E9C"/>
    <w:rsid w:val="000A3FF8"/>
    <w:rsid w:val="000A520B"/>
    <w:rsid w:val="000A5298"/>
    <w:rsid w:val="000A536B"/>
    <w:rsid w:val="000B2CA4"/>
    <w:rsid w:val="000B2D85"/>
    <w:rsid w:val="000B38B6"/>
    <w:rsid w:val="000B43C1"/>
    <w:rsid w:val="000C1161"/>
    <w:rsid w:val="000C3C8C"/>
    <w:rsid w:val="000C4E9D"/>
    <w:rsid w:val="000C576F"/>
    <w:rsid w:val="000C57C9"/>
    <w:rsid w:val="000C57E4"/>
    <w:rsid w:val="000C5F66"/>
    <w:rsid w:val="000C6149"/>
    <w:rsid w:val="000C64D0"/>
    <w:rsid w:val="000C7212"/>
    <w:rsid w:val="000D0674"/>
    <w:rsid w:val="000D10D0"/>
    <w:rsid w:val="000D34FA"/>
    <w:rsid w:val="000D36F9"/>
    <w:rsid w:val="000D43B1"/>
    <w:rsid w:val="000D4750"/>
    <w:rsid w:val="000D632F"/>
    <w:rsid w:val="000E0BE9"/>
    <w:rsid w:val="000E1BDB"/>
    <w:rsid w:val="000E2472"/>
    <w:rsid w:val="000E2672"/>
    <w:rsid w:val="000E361B"/>
    <w:rsid w:val="000E4F09"/>
    <w:rsid w:val="000E66C3"/>
    <w:rsid w:val="000E6F11"/>
    <w:rsid w:val="000F0CD8"/>
    <w:rsid w:val="000F0E61"/>
    <w:rsid w:val="000F1975"/>
    <w:rsid w:val="000F2497"/>
    <w:rsid w:val="000F2D1C"/>
    <w:rsid w:val="000F2DB2"/>
    <w:rsid w:val="000F3C03"/>
    <w:rsid w:val="000F63E4"/>
    <w:rsid w:val="000F784A"/>
    <w:rsid w:val="00100056"/>
    <w:rsid w:val="00104F3F"/>
    <w:rsid w:val="0010661B"/>
    <w:rsid w:val="001071C9"/>
    <w:rsid w:val="001078A0"/>
    <w:rsid w:val="00110F31"/>
    <w:rsid w:val="00113AEC"/>
    <w:rsid w:val="001159B0"/>
    <w:rsid w:val="00115D53"/>
    <w:rsid w:val="00120F42"/>
    <w:rsid w:val="0012289A"/>
    <w:rsid w:val="00124857"/>
    <w:rsid w:val="0012656F"/>
    <w:rsid w:val="00127047"/>
    <w:rsid w:val="001275D3"/>
    <w:rsid w:val="00133328"/>
    <w:rsid w:val="00136885"/>
    <w:rsid w:val="00136D81"/>
    <w:rsid w:val="001375C0"/>
    <w:rsid w:val="00137FAB"/>
    <w:rsid w:val="001401ED"/>
    <w:rsid w:val="001408E2"/>
    <w:rsid w:val="0014371E"/>
    <w:rsid w:val="00144C1A"/>
    <w:rsid w:val="00144DD2"/>
    <w:rsid w:val="001451FE"/>
    <w:rsid w:val="00147B12"/>
    <w:rsid w:val="00150FDA"/>
    <w:rsid w:val="00152354"/>
    <w:rsid w:val="00152FD1"/>
    <w:rsid w:val="001533DC"/>
    <w:rsid w:val="00154875"/>
    <w:rsid w:val="0015579B"/>
    <w:rsid w:val="00155D9C"/>
    <w:rsid w:val="00156899"/>
    <w:rsid w:val="001600AF"/>
    <w:rsid w:val="00161840"/>
    <w:rsid w:val="00162CB7"/>
    <w:rsid w:val="00163126"/>
    <w:rsid w:val="00163AF6"/>
    <w:rsid w:val="001643BE"/>
    <w:rsid w:val="001648E5"/>
    <w:rsid w:val="0016564F"/>
    <w:rsid w:val="00170201"/>
    <w:rsid w:val="00170227"/>
    <w:rsid w:val="00171671"/>
    <w:rsid w:val="0017235A"/>
    <w:rsid w:val="001725D3"/>
    <w:rsid w:val="001742B4"/>
    <w:rsid w:val="001742E3"/>
    <w:rsid w:val="00174F71"/>
    <w:rsid w:val="0017521D"/>
    <w:rsid w:val="00177BEE"/>
    <w:rsid w:val="00180B2B"/>
    <w:rsid w:val="00180BC6"/>
    <w:rsid w:val="00181328"/>
    <w:rsid w:val="001853B3"/>
    <w:rsid w:val="0018560B"/>
    <w:rsid w:val="00185BAF"/>
    <w:rsid w:val="0018602A"/>
    <w:rsid w:val="00187CE9"/>
    <w:rsid w:val="00190050"/>
    <w:rsid w:val="00191ABB"/>
    <w:rsid w:val="001935C5"/>
    <w:rsid w:val="00193EF3"/>
    <w:rsid w:val="00194F0A"/>
    <w:rsid w:val="001950A4"/>
    <w:rsid w:val="00196C5D"/>
    <w:rsid w:val="00197269"/>
    <w:rsid w:val="0019799A"/>
    <w:rsid w:val="00197D12"/>
    <w:rsid w:val="001A01F1"/>
    <w:rsid w:val="001A1BED"/>
    <w:rsid w:val="001A2966"/>
    <w:rsid w:val="001A2AD1"/>
    <w:rsid w:val="001A4758"/>
    <w:rsid w:val="001A52EA"/>
    <w:rsid w:val="001A64CE"/>
    <w:rsid w:val="001B00CC"/>
    <w:rsid w:val="001B3072"/>
    <w:rsid w:val="001B4577"/>
    <w:rsid w:val="001B6469"/>
    <w:rsid w:val="001C1E6E"/>
    <w:rsid w:val="001C2B5C"/>
    <w:rsid w:val="001C327F"/>
    <w:rsid w:val="001C3DB1"/>
    <w:rsid w:val="001C59CB"/>
    <w:rsid w:val="001C5A2A"/>
    <w:rsid w:val="001C713E"/>
    <w:rsid w:val="001C7467"/>
    <w:rsid w:val="001D0137"/>
    <w:rsid w:val="001D0947"/>
    <w:rsid w:val="001D1514"/>
    <w:rsid w:val="001D2B02"/>
    <w:rsid w:val="001D43B8"/>
    <w:rsid w:val="001D46F6"/>
    <w:rsid w:val="001D6A9A"/>
    <w:rsid w:val="001D7C24"/>
    <w:rsid w:val="001E11F5"/>
    <w:rsid w:val="001F0155"/>
    <w:rsid w:val="001F0C0B"/>
    <w:rsid w:val="001F0EBD"/>
    <w:rsid w:val="001F27CA"/>
    <w:rsid w:val="001F3372"/>
    <w:rsid w:val="001F3381"/>
    <w:rsid w:val="001F38BC"/>
    <w:rsid w:val="001F4397"/>
    <w:rsid w:val="001F6826"/>
    <w:rsid w:val="001F6A47"/>
    <w:rsid w:val="001F7D9F"/>
    <w:rsid w:val="00203F7F"/>
    <w:rsid w:val="00204D7F"/>
    <w:rsid w:val="00207718"/>
    <w:rsid w:val="00210C4D"/>
    <w:rsid w:val="002157D4"/>
    <w:rsid w:val="00215DE3"/>
    <w:rsid w:val="00216217"/>
    <w:rsid w:val="00216DF5"/>
    <w:rsid w:val="00217061"/>
    <w:rsid w:val="002170D2"/>
    <w:rsid w:val="00217F88"/>
    <w:rsid w:val="00221496"/>
    <w:rsid w:val="00224458"/>
    <w:rsid w:val="00226D8F"/>
    <w:rsid w:val="00231365"/>
    <w:rsid w:val="002328EE"/>
    <w:rsid w:val="00232C6D"/>
    <w:rsid w:val="00232CFA"/>
    <w:rsid w:val="00233AE6"/>
    <w:rsid w:val="00234991"/>
    <w:rsid w:val="00234A6A"/>
    <w:rsid w:val="00234BF9"/>
    <w:rsid w:val="00235CB8"/>
    <w:rsid w:val="00236B7A"/>
    <w:rsid w:val="0023771D"/>
    <w:rsid w:val="00237DCC"/>
    <w:rsid w:val="002420D3"/>
    <w:rsid w:val="0024401B"/>
    <w:rsid w:val="00244B73"/>
    <w:rsid w:val="00245A4E"/>
    <w:rsid w:val="00245E6E"/>
    <w:rsid w:val="00247325"/>
    <w:rsid w:val="00251F2C"/>
    <w:rsid w:val="00255210"/>
    <w:rsid w:val="002566A6"/>
    <w:rsid w:val="00260EAA"/>
    <w:rsid w:val="00261234"/>
    <w:rsid w:val="00261F6C"/>
    <w:rsid w:val="002661A0"/>
    <w:rsid w:val="00267637"/>
    <w:rsid w:val="00267CE1"/>
    <w:rsid w:val="00271DAC"/>
    <w:rsid w:val="0027448B"/>
    <w:rsid w:val="00275651"/>
    <w:rsid w:val="00275721"/>
    <w:rsid w:val="0028016F"/>
    <w:rsid w:val="0028182A"/>
    <w:rsid w:val="0028196A"/>
    <w:rsid w:val="002825F4"/>
    <w:rsid w:val="00282CF8"/>
    <w:rsid w:val="00282E25"/>
    <w:rsid w:val="00283A26"/>
    <w:rsid w:val="002841B9"/>
    <w:rsid w:val="0028525C"/>
    <w:rsid w:val="00285C8F"/>
    <w:rsid w:val="0028647B"/>
    <w:rsid w:val="00290036"/>
    <w:rsid w:val="002907B7"/>
    <w:rsid w:val="00290C5C"/>
    <w:rsid w:val="00292E4D"/>
    <w:rsid w:val="00293E61"/>
    <w:rsid w:val="00296905"/>
    <w:rsid w:val="002A0A1B"/>
    <w:rsid w:val="002A0B9D"/>
    <w:rsid w:val="002A10E0"/>
    <w:rsid w:val="002A1182"/>
    <w:rsid w:val="002A135D"/>
    <w:rsid w:val="002A1E18"/>
    <w:rsid w:val="002A2738"/>
    <w:rsid w:val="002A2760"/>
    <w:rsid w:val="002A3273"/>
    <w:rsid w:val="002A4CCC"/>
    <w:rsid w:val="002B0F72"/>
    <w:rsid w:val="002B1BE8"/>
    <w:rsid w:val="002B2076"/>
    <w:rsid w:val="002B30F0"/>
    <w:rsid w:val="002B37AB"/>
    <w:rsid w:val="002B3ED9"/>
    <w:rsid w:val="002B549A"/>
    <w:rsid w:val="002B56D6"/>
    <w:rsid w:val="002B6150"/>
    <w:rsid w:val="002B7CAC"/>
    <w:rsid w:val="002C05F4"/>
    <w:rsid w:val="002C09B7"/>
    <w:rsid w:val="002C0F52"/>
    <w:rsid w:val="002C11C5"/>
    <w:rsid w:val="002C2121"/>
    <w:rsid w:val="002C238A"/>
    <w:rsid w:val="002C2CBC"/>
    <w:rsid w:val="002C3A2D"/>
    <w:rsid w:val="002C3D1E"/>
    <w:rsid w:val="002C43C1"/>
    <w:rsid w:val="002C7D02"/>
    <w:rsid w:val="002D0513"/>
    <w:rsid w:val="002D151E"/>
    <w:rsid w:val="002D506E"/>
    <w:rsid w:val="002D6301"/>
    <w:rsid w:val="002E06EF"/>
    <w:rsid w:val="002E09F1"/>
    <w:rsid w:val="002E0AC9"/>
    <w:rsid w:val="002E3C80"/>
    <w:rsid w:val="002E42C2"/>
    <w:rsid w:val="002E4312"/>
    <w:rsid w:val="002E5DD9"/>
    <w:rsid w:val="002E60D9"/>
    <w:rsid w:val="002E664F"/>
    <w:rsid w:val="002E6B4F"/>
    <w:rsid w:val="002E6C85"/>
    <w:rsid w:val="002E6F08"/>
    <w:rsid w:val="002F103F"/>
    <w:rsid w:val="002F1DFF"/>
    <w:rsid w:val="002F2C14"/>
    <w:rsid w:val="002F3411"/>
    <w:rsid w:val="002F38E8"/>
    <w:rsid w:val="002F3C6A"/>
    <w:rsid w:val="002F48B9"/>
    <w:rsid w:val="002F4F05"/>
    <w:rsid w:val="002F5E93"/>
    <w:rsid w:val="002F7D70"/>
    <w:rsid w:val="0030022B"/>
    <w:rsid w:val="00301C20"/>
    <w:rsid w:val="00303445"/>
    <w:rsid w:val="0030396E"/>
    <w:rsid w:val="003051F6"/>
    <w:rsid w:val="00311FB2"/>
    <w:rsid w:val="00316242"/>
    <w:rsid w:val="00317E97"/>
    <w:rsid w:val="003217B6"/>
    <w:rsid w:val="00321D06"/>
    <w:rsid w:val="00323892"/>
    <w:rsid w:val="00323AB7"/>
    <w:rsid w:val="00323E00"/>
    <w:rsid w:val="00323E5A"/>
    <w:rsid w:val="003325FF"/>
    <w:rsid w:val="00334AD4"/>
    <w:rsid w:val="00334EBD"/>
    <w:rsid w:val="00337592"/>
    <w:rsid w:val="0033792D"/>
    <w:rsid w:val="00340122"/>
    <w:rsid w:val="00341B30"/>
    <w:rsid w:val="00342A5E"/>
    <w:rsid w:val="00342DAC"/>
    <w:rsid w:val="00344BF7"/>
    <w:rsid w:val="00345138"/>
    <w:rsid w:val="00345260"/>
    <w:rsid w:val="0035054C"/>
    <w:rsid w:val="00351687"/>
    <w:rsid w:val="003538A1"/>
    <w:rsid w:val="00353FF5"/>
    <w:rsid w:val="0035514B"/>
    <w:rsid w:val="00356DF7"/>
    <w:rsid w:val="00356E50"/>
    <w:rsid w:val="00356F6C"/>
    <w:rsid w:val="0035710F"/>
    <w:rsid w:val="003573F3"/>
    <w:rsid w:val="0036032D"/>
    <w:rsid w:val="003605BD"/>
    <w:rsid w:val="003624B6"/>
    <w:rsid w:val="00363C3E"/>
    <w:rsid w:val="0036466E"/>
    <w:rsid w:val="00364C04"/>
    <w:rsid w:val="00366E33"/>
    <w:rsid w:val="0036710C"/>
    <w:rsid w:val="00370CA2"/>
    <w:rsid w:val="003713DE"/>
    <w:rsid w:val="00371E91"/>
    <w:rsid w:val="003735EF"/>
    <w:rsid w:val="00374783"/>
    <w:rsid w:val="00377554"/>
    <w:rsid w:val="00377F71"/>
    <w:rsid w:val="0038102C"/>
    <w:rsid w:val="0038161A"/>
    <w:rsid w:val="003818A5"/>
    <w:rsid w:val="00381A38"/>
    <w:rsid w:val="00381B01"/>
    <w:rsid w:val="00381E94"/>
    <w:rsid w:val="0038371A"/>
    <w:rsid w:val="00383D90"/>
    <w:rsid w:val="00384592"/>
    <w:rsid w:val="00385065"/>
    <w:rsid w:val="003857D6"/>
    <w:rsid w:val="00385B16"/>
    <w:rsid w:val="00386266"/>
    <w:rsid w:val="00386F34"/>
    <w:rsid w:val="0039278A"/>
    <w:rsid w:val="00392B0F"/>
    <w:rsid w:val="00392E7D"/>
    <w:rsid w:val="003A3EDD"/>
    <w:rsid w:val="003B4310"/>
    <w:rsid w:val="003B66FA"/>
    <w:rsid w:val="003B6B03"/>
    <w:rsid w:val="003C0925"/>
    <w:rsid w:val="003C0DEA"/>
    <w:rsid w:val="003C4BD5"/>
    <w:rsid w:val="003C5ECA"/>
    <w:rsid w:val="003C68FD"/>
    <w:rsid w:val="003C7EA5"/>
    <w:rsid w:val="003D47BE"/>
    <w:rsid w:val="003D5AB9"/>
    <w:rsid w:val="003D63B2"/>
    <w:rsid w:val="003D65DB"/>
    <w:rsid w:val="003D730F"/>
    <w:rsid w:val="003E45FE"/>
    <w:rsid w:val="003E6F0C"/>
    <w:rsid w:val="003F10FE"/>
    <w:rsid w:val="003F113F"/>
    <w:rsid w:val="003F34CE"/>
    <w:rsid w:val="003F41E1"/>
    <w:rsid w:val="003F4A94"/>
    <w:rsid w:val="00401FD7"/>
    <w:rsid w:val="00402B94"/>
    <w:rsid w:val="004039BF"/>
    <w:rsid w:val="00405C21"/>
    <w:rsid w:val="004062E5"/>
    <w:rsid w:val="0040679E"/>
    <w:rsid w:val="004069EB"/>
    <w:rsid w:val="00406E37"/>
    <w:rsid w:val="00411125"/>
    <w:rsid w:val="00411891"/>
    <w:rsid w:val="00412F62"/>
    <w:rsid w:val="00414581"/>
    <w:rsid w:val="00415901"/>
    <w:rsid w:val="00416E71"/>
    <w:rsid w:val="00417058"/>
    <w:rsid w:val="00420151"/>
    <w:rsid w:val="004207D0"/>
    <w:rsid w:val="00423BBE"/>
    <w:rsid w:val="004256D0"/>
    <w:rsid w:val="00425B7A"/>
    <w:rsid w:val="00425D5A"/>
    <w:rsid w:val="00427B29"/>
    <w:rsid w:val="00430E5C"/>
    <w:rsid w:val="00432FDE"/>
    <w:rsid w:val="00433E46"/>
    <w:rsid w:val="004340F4"/>
    <w:rsid w:val="00437487"/>
    <w:rsid w:val="00440426"/>
    <w:rsid w:val="0044053B"/>
    <w:rsid w:val="00440B09"/>
    <w:rsid w:val="00442B8D"/>
    <w:rsid w:val="00443BC0"/>
    <w:rsid w:val="004514EE"/>
    <w:rsid w:val="00451E8F"/>
    <w:rsid w:val="00452937"/>
    <w:rsid w:val="00452E55"/>
    <w:rsid w:val="004535EF"/>
    <w:rsid w:val="00454ECF"/>
    <w:rsid w:val="00455342"/>
    <w:rsid w:val="004575BB"/>
    <w:rsid w:val="00460E11"/>
    <w:rsid w:val="00461522"/>
    <w:rsid w:val="004627C8"/>
    <w:rsid w:val="0046480A"/>
    <w:rsid w:val="00466273"/>
    <w:rsid w:val="00466CD3"/>
    <w:rsid w:val="00470E5C"/>
    <w:rsid w:val="004711D1"/>
    <w:rsid w:val="00471622"/>
    <w:rsid w:val="00473BB4"/>
    <w:rsid w:val="00473FD2"/>
    <w:rsid w:val="00474052"/>
    <w:rsid w:val="004742FF"/>
    <w:rsid w:val="00476629"/>
    <w:rsid w:val="00477501"/>
    <w:rsid w:val="004806A9"/>
    <w:rsid w:val="00482643"/>
    <w:rsid w:val="00483352"/>
    <w:rsid w:val="004854E1"/>
    <w:rsid w:val="00486062"/>
    <w:rsid w:val="00486864"/>
    <w:rsid w:val="00491166"/>
    <w:rsid w:val="004912C9"/>
    <w:rsid w:val="00491B9F"/>
    <w:rsid w:val="00493E77"/>
    <w:rsid w:val="004A0ADB"/>
    <w:rsid w:val="004A24CF"/>
    <w:rsid w:val="004A279C"/>
    <w:rsid w:val="004A2F7D"/>
    <w:rsid w:val="004A308C"/>
    <w:rsid w:val="004A6529"/>
    <w:rsid w:val="004A6688"/>
    <w:rsid w:val="004A6E4E"/>
    <w:rsid w:val="004B0BE6"/>
    <w:rsid w:val="004B0D92"/>
    <w:rsid w:val="004B1C63"/>
    <w:rsid w:val="004B2B0E"/>
    <w:rsid w:val="004B477B"/>
    <w:rsid w:val="004B5469"/>
    <w:rsid w:val="004B5754"/>
    <w:rsid w:val="004B7CFD"/>
    <w:rsid w:val="004C05CD"/>
    <w:rsid w:val="004C2514"/>
    <w:rsid w:val="004C4482"/>
    <w:rsid w:val="004C4889"/>
    <w:rsid w:val="004C62F7"/>
    <w:rsid w:val="004C6E39"/>
    <w:rsid w:val="004D0FF3"/>
    <w:rsid w:val="004D1EB1"/>
    <w:rsid w:val="004D214A"/>
    <w:rsid w:val="004D3131"/>
    <w:rsid w:val="004D3A86"/>
    <w:rsid w:val="004D41E7"/>
    <w:rsid w:val="004D447B"/>
    <w:rsid w:val="004D54DC"/>
    <w:rsid w:val="004D76D5"/>
    <w:rsid w:val="004E0EC4"/>
    <w:rsid w:val="004E2828"/>
    <w:rsid w:val="004E2D87"/>
    <w:rsid w:val="004E3C2F"/>
    <w:rsid w:val="004E47A4"/>
    <w:rsid w:val="004E67D9"/>
    <w:rsid w:val="004E6F5E"/>
    <w:rsid w:val="004E74A0"/>
    <w:rsid w:val="004E7577"/>
    <w:rsid w:val="004E790B"/>
    <w:rsid w:val="004F0983"/>
    <w:rsid w:val="004F1A24"/>
    <w:rsid w:val="004F313E"/>
    <w:rsid w:val="004F38DD"/>
    <w:rsid w:val="004F4693"/>
    <w:rsid w:val="004F49C1"/>
    <w:rsid w:val="004F541C"/>
    <w:rsid w:val="004F5E85"/>
    <w:rsid w:val="004F60C8"/>
    <w:rsid w:val="004F7DD4"/>
    <w:rsid w:val="00500A5E"/>
    <w:rsid w:val="00502672"/>
    <w:rsid w:val="005044F4"/>
    <w:rsid w:val="00506773"/>
    <w:rsid w:val="00507F20"/>
    <w:rsid w:val="00510057"/>
    <w:rsid w:val="0051185B"/>
    <w:rsid w:val="0051314E"/>
    <w:rsid w:val="00513313"/>
    <w:rsid w:val="00513E69"/>
    <w:rsid w:val="005171D3"/>
    <w:rsid w:val="00520A02"/>
    <w:rsid w:val="00520A69"/>
    <w:rsid w:val="0052168A"/>
    <w:rsid w:val="00522B98"/>
    <w:rsid w:val="00523A6C"/>
    <w:rsid w:val="00523CB5"/>
    <w:rsid w:val="005243CF"/>
    <w:rsid w:val="0052611F"/>
    <w:rsid w:val="005263A2"/>
    <w:rsid w:val="005266D7"/>
    <w:rsid w:val="0053031B"/>
    <w:rsid w:val="0053109F"/>
    <w:rsid w:val="005310C7"/>
    <w:rsid w:val="0053125F"/>
    <w:rsid w:val="005325BD"/>
    <w:rsid w:val="005337BD"/>
    <w:rsid w:val="0053624A"/>
    <w:rsid w:val="00536B24"/>
    <w:rsid w:val="00537939"/>
    <w:rsid w:val="005401C3"/>
    <w:rsid w:val="00540797"/>
    <w:rsid w:val="005423B5"/>
    <w:rsid w:val="005438CF"/>
    <w:rsid w:val="005446B4"/>
    <w:rsid w:val="00546A46"/>
    <w:rsid w:val="005479C2"/>
    <w:rsid w:val="00551608"/>
    <w:rsid w:val="00556F80"/>
    <w:rsid w:val="0056047C"/>
    <w:rsid w:val="00564FDD"/>
    <w:rsid w:val="0056521B"/>
    <w:rsid w:val="00566465"/>
    <w:rsid w:val="0056660D"/>
    <w:rsid w:val="00566EDD"/>
    <w:rsid w:val="00567EBE"/>
    <w:rsid w:val="005712D2"/>
    <w:rsid w:val="00571E18"/>
    <w:rsid w:val="005728C0"/>
    <w:rsid w:val="00574283"/>
    <w:rsid w:val="00575A73"/>
    <w:rsid w:val="00575D0E"/>
    <w:rsid w:val="00580EDF"/>
    <w:rsid w:val="0058415B"/>
    <w:rsid w:val="00584A06"/>
    <w:rsid w:val="0058576A"/>
    <w:rsid w:val="00585EE4"/>
    <w:rsid w:val="00587099"/>
    <w:rsid w:val="00587EE1"/>
    <w:rsid w:val="00590ED2"/>
    <w:rsid w:val="0059295F"/>
    <w:rsid w:val="0059494D"/>
    <w:rsid w:val="00594BDD"/>
    <w:rsid w:val="00595681"/>
    <w:rsid w:val="0059648C"/>
    <w:rsid w:val="00596571"/>
    <w:rsid w:val="005975B1"/>
    <w:rsid w:val="005A154C"/>
    <w:rsid w:val="005A3BED"/>
    <w:rsid w:val="005A5620"/>
    <w:rsid w:val="005A64AB"/>
    <w:rsid w:val="005A7D45"/>
    <w:rsid w:val="005B0D93"/>
    <w:rsid w:val="005B2DD5"/>
    <w:rsid w:val="005B3F3E"/>
    <w:rsid w:val="005B5D32"/>
    <w:rsid w:val="005B5E91"/>
    <w:rsid w:val="005B622A"/>
    <w:rsid w:val="005B72D0"/>
    <w:rsid w:val="005C2742"/>
    <w:rsid w:val="005C6336"/>
    <w:rsid w:val="005C7344"/>
    <w:rsid w:val="005C741B"/>
    <w:rsid w:val="005D3D0C"/>
    <w:rsid w:val="005D3F29"/>
    <w:rsid w:val="005D42D7"/>
    <w:rsid w:val="005D6600"/>
    <w:rsid w:val="005D778C"/>
    <w:rsid w:val="005E01E2"/>
    <w:rsid w:val="005E06C3"/>
    <w:rsid w:val="005E3EB5"/>
    <w:rsid w:val="005E4E84"/>
    <w:rsid w:val="005E6F6B"/>
    <w:rsid w:val="005F0C64"/>
    <w:rsid w:val="005F2655"/>
    <w:rsid w:val="005F2E82"/>
    <w:rsid w:val="005F5190"/>
    <w:rsid w:val="005F6D77"/>
    <w:rsid w:val="005F6EC4"/>
    <w:rsid w:val="005F6ED2"/>
    <w:rsid w:val="006003D0"/>
    <w:rsid w:val="00600DC1"/>
    <w:rsid w:val="00603270"/>
    <w:rsid w:val="006038D7"/>
    <w:rsid w:val="006059D3"/>
    <w:rsid w:val="0060678B"/>
    <w:rsid w:val="00607FBE"/>
    <w:rsid w:val="0061109A"/>
    <w:rsid w:val="006116CD"/>
    <w:rsid w:val="00612A07"/>
    <w:rsid w:val="006138AA"/>
    <w:rsid w:val="00613C33"/>
    <w:rsid w:val="006164A0"/>
    <w:rsid w:val="00616738"/>
    <w:rsid w:val="006174AA"/>
    <w:rsid w:val="00617839"/>
    <w:rsid w:val="00621C70"/>
    <w:rsid w:val="006247BA"/>
    <w:rsid w:val="00624F36"/>
    <w:rsid w:val="006258B5"/>
    <w:rsid w:val="00630A22"/>
    <w:rsid w:val="00630C6F"/>
    <w:rsid w:val="006329B3"/>
    <w:rsid w:val="0063326A"/>
    <w:rsid w:val="00636397"/>
    <w:rsid w:val="006368D4"/>
    <w:rsid w:val="0063712A"/>
    <w:rsid w:val="0064020B"/>
    <w:rsid w:val="00640B15"/>
    <w:rsid w:val="00640D37"/>
    <w:rsid w:val="00641561"/>
    <w:rsid w:val="00642C95"/>
    <w:rsid w:val="00645FC0"/>
    <w:rsid w:val="00650EEB"/>
    <w:rsid w:val="00652E66"/>
    <w:rsid w:val="00657112"/>
    <w:rsid w:val="00657D5F"/>
    <w:rsid w:val="00662F6D"/>
    <w:rsid w:val="00663EA8"/>
    <w:rsid w:val="006664E7"/>
    <w:rsid w:val="00666663"/>
    <w:rsid w:val="0066776C"/>
    <w:rsid w:val="00670443"/>
    <w:rsid w:val="00671198"/>
    <w:rsid w:val="0067214A"/>
    <w:rsid w:val="00672174"/>
    <w:rsid w:val="00672CDE"/>
    <w:rsid w:val="006755C8"/>
    <w:rsid w:val="00676ADA"/>
    <w:rsid w:val="00676C58"/>
    <w:rsid w:val="00680B12"/>
    <w:rsid w:val="00680E5A"/>
    <w:rsid w:val="00682060"/>
    <w:rsid w:val="0068275D"/>
    <w:rsid w:val="00683AE9"/>
    <w:rsid w:val="0068555E"/>
    <w:rsid w:val="00685B38"/>
    <w:rsid w:val="006877DA"/>
    <w:rsid w:val="00687CC2"/>
    <w:rsid w:val="0069189A"/>
    <w:rsid w:val="00693BAD"/>
    <w:rsid w:val="006951B8"/>
    <w:rsid w:val="006951CD"/>
    <w:rsid w:val="006970C3"/>
    <w:rsid w:val="006A4801"/>
    <w:rsid w:val="006A61D4"/>
    <w:rsid w:val="006A6ABB"/>
    <w:rsid w:val="006A79D1"/>
    <w:rsid w:val="006A7F53"/>
    <w:rsid w:val="006B0AD8"/>
    <w:rsid w:val="006B1C19"/>
    <w:rsid w:val="006B3EB9"/>
    <w:rsid w:val="006B43CB"/>
    <w:rsid w:val="006B4B32"/>
    <w:rsid w:val="006B6DA4"/>
    <w:rsid w:val="006C331C"/>
    <w:rsid w:val="006C3605"/>
    <w:rsid w:val="006C3823"/>
    <w:rsid w:val="006C3C81"/>
    <w:rsid w:val="006C7947"/>
    <w:rsid w:val="006D021E"/>
    <w:rsid w:val="006D0375"/>
    <w:rsid w:val="006D1270"/>
    <w:rsid w:val="006D2921"/>
    <w:rsid w:val="006D30B6"/>
    <w:rsid w:val="006D45F4"/>
    <w:rsid w:val="006D5B18"/>
    <w:rsid w:val="006D5D6D"/>
    <w:rsid w:val="006D69BF"/>
    <w:rsid w:val="006E1013"/>
    <w:rsid w:val="006E2B57"/>
    <w:rsid w:val="006E3D0B"/>
    <w:rsid w:val="006E6120"/>
    <w:rsid w:val="006E622C"/>
    <w:rsid w:val="006E6645"/>
    <w:rsid w:val="006E690A"/>
    <w:rsid w:val="006E731D"/>
    <w:rsid w:val="006E7F04"/>
    <w:rsid w:val="006F4F08"/>
    <w:rsid w:val="006F6B12"/>
    <w:rsid w:val="007006BA"/>
    <w:rsid w:val="00701628"/>
    <w:rsid w:val="00701FE0"/>
    <w:rsid w:val="00702FDA"/>
    <w:rsid w:val="007032FD"/>
    <w:rsid w:val="0070619F"/>
    <w:rsid w:val="0070661A"/>
    <w:rsid w:val="00707A53"/>
    <w:rsid w:val="00707C1A"/>
    <w:rsid w:val="0071049B"/>
    <w:rsid w:val="0071067B"/>
    <w:rsid w:val="00711B08"/>
    <w:rsid w:val="00712A86"/>
    <w:rsid w:val="00714926"/>
    <w:rsid w:val="007150B7"/>
    <w:rsid w:val="0071663A"/>
    <w:rsid w:val="0071713F"/>
    <w:rsid w:val="007202C5"/>
    <w:rsid w:val="007222BA"/>
    <w:rsid w:val="0072275E"/>
    <w:rsid w:val="007242E9"/>
    <w:rsid w:val="00724474"/>
    <w:rsid w:val="00726B21"/>
    <w:rsid w:val="00727265"/>
    <w:rsid w:val="007309E8"/>
    <w:rsid w:val="00731359"/>
    <w:rsid w:val="00732302"/>
    <w:rsid w:val="0073301E"/>
    <w:rsid w:val="00733099"/>
    <w:rsid w:val="00733155"/>
    <w:rsid w:val="00733BA0"/>
    <w:rsid w:val="007425CE"/>
    <w:rsid w:val="00744F9F"/>
    <w:rsid w:val="007457D1"/>
    <w:rsid w:val="0074697D"/>
    <w:rsid w:val="00747626"/>
    <w:rsid w:val="007479F8"/>
    <w:rsid w:val="00751184"/>
    <w:rsid w:val="00751404"/>
    <w:rsid w:val="00751440"/>
    <w:rsid w:val="007516B7"/>
    <w:rsid w:val="00751BCD"/>
    <w:rsid w:val="00753567"/>
    <w:rsid w:val="007542DE"/>
    <w:rsid w:val="007555D3"/>
    <w:rsid w:val="007567C3"/>
    <w:rsid w:val="00760890"/>
    <w:rsid w:val="007627B0"/>
    <w:rsid w:val="00762B9F"/>
    <w:rsid w:val="00763B3D"/>
    <w:rsid w:val="00764928"/>
    <w:rsid w:val="00764AAD"/>
    <w:rsid w:val="00770BD4"/>
    <w:rsid w:val="00771110"/>
    <w:rsid w:val="007712B0"/>
    <w:rsid w:val="0077167F"/>
    <w:rsid w:val="00771BE5"/>
    <w:rsid w:val="00772D02"/>
    <w:rsid w:val="0077350E"/>
    <w:rsid w:val="00775504"/>
    <w:rsid w:val="00780242"/>
    <w:rsid w:val="007867A6"/>
    <w:rsid w:val="00786A1F"/>
    <w:rsid w:val="00786EC4"/>
    <w:rsid w:val="007937F5"/>
    <w:rsid w:val="00793879"/>
    <w:rsid w:val="007963ED"/>
    <w:rsid w:val="00796FE3"/>
    <w:rsid w:val="00797267"/>
    <w:rsid w:val="007A1C0E"/>
    <w:rsid w:val="007A2FB7"/>
    <w:rsid w:val="007A3019"/>
    <w:rsid w:val="007A42B9"/>
    <w:rsid w:val="007A4BDB"/>
    <w:rsid w:val="007A4EA6"/>
    <w:rsid w:val="007A56D2"/>
    <w:rsid w:val="007B2535"/>
    <w:rsid w:val="007B2573"/>
    <w:rsid w:val="007B2629"/>
    <w:rsid w:val="007B3229"/>
    <w:rsid w:val="007B3417"/>
    <w:rsid w:val="007B6572"/>
    <w:rsid w:val="007B6DC8"/>
    <w:rsid w:val="007B7B7D"/>
    <w:rsid w:val="007B7D3C"/>
    <w:rsid w:val="007C0D0B"/>
    <w:rsid w:val="007C167D"/>
    <w:rsid w:val="007C2194"/>
    <w:rsid w:val="007C2D9C"/>
    <w:rsid w:val="007C66AA"/>
    <w:rsid w:val="007C671C"/>
    <w:rsid w:val="007D2CC4"/>
    <w:rsid w:val="007D3E9E"/>
    <w:rsid w:val="007D484C"/>
    <w:rsid w:val="007D5D30"/>
    <w:rsid w:val="007D6807"/>
    <w:rsid w:val="007D701A"/>
    <w:rsid w:val="007E1148"/>
    <w:rsid w:val="007E167B"/>
    <w:rsid w:val="007E3425"/>
    <w:rsid w:val="007E4744"/>
    <w:rsid w:val="007E5F09"/>
    <w:rsid w:val="007E7631"/>
    <w:rsid w:val="007F0625"/>
    <w:rsid w:val="007F06B9"/>
    <w:rsid w:val="007F4B34"/>
    <w:rsid w:val="007F5D62"/>
    <w:rsid w:val="007F680F"/>
    <w:rsid w:val="00800F3F"/>
    <w:rsid w:val="008025FF"/>
    <w:rsid w:val="00804205"/>
    <w:rsid w:val="00804FCC"/>
    <w:rsid w:val="00806935"/>
    <w:rsid w:val="00807B69"/>
    <w:rsid w:val="00810A05"/>
    <w:rsid w:val="0081265A"/>
    <w:rsid w:val="00814988"/>
    <w:rsid w:val="00815C48"/>
    <w:rsid w:val="00816306"/>
    <w:rsid w:val="0082144B"/>
    <w:rsid w:val="00823C55"/>
    <w:rsid w:val="00824311"/>
    <w:rsid w:val="00824D37"/>
    <w:rsid w:val="00825032"/>
    <w:rsid w:val="00825B93"/>
    <w:rsid w:val="00826BA1"/>
    <w:rsid w:val="008300B6"/>
    <w:rsid w:val="00832A4F"/>
    <w:rsid w:val="008349A3"/>
    <w:rsid w:val="008356B4"/>
    <w:rsid w:val="008368DC"/>
    <w:rsid w:val="00836AF6"/>
    <w:rsid w:val="00837C41"/>
    <w:rsid w:val="00837C72"/>
    <w:rsid w:val="008400AB"/>
    <w:rsid w:val="00841127"/>
    <w:rsid w:val="008433B0"/>
    <w:rsid w:val="008437F3"/>
    <w:rsid w:val="00844247"/>
    <w:rsid w:val="00844953"/>
    <w:rsid w:val="00845392"/>
    <w:rsid w:val="00845CF5"/>
    <w:rsid w:val="00845FF2"/>
    <w:rsid w:val="008466EE"/>
    <w:rsid w:val="00846C41"/>
    <w:rsid w:val="008471AD"/>
    <w:rsid w:val="008531C9"/>
    <w:rsid w:val="00853A52"/>
    <w:rsid w:val="00855E2E"/>
    <w:rsid w:val="00856DAC"/>
    <w:rsid w:val="008616B8"/>
    <w:rsid w:val="00861B89"/>
    <w:rsid w:val="008625D8"/>
    <w:rsid w:val="0086262F"/>
    <w:rsid w:val="00862744"/>
    <w:rsid w:val="00863198"/>
    <w:rsid w:val="00863453"/>
    <w:rsid w:val="008643E8"/>
    <w:rsid w:val="00870411"/>
    <w:rsid w:val="00874F99"/>
    <w:rsid w:val="008751A6"/>
    <w:rsid w:val="008755F8"/>
    <w:rsid w:val="00876DD4"/>
    <w:rsid w:val="00876E72"/>
    <w:rsid w:val="008776A9"/>
    <w:rsid w:val="00881E07"/>
    <w:rsid w:val="00882076"/>
    <w:rsid w:val="008829D0"/>
    <w:rsid w:val="00882BE8"/>
    <w:rsid w:val="00884F99"/>
    <w:rsid w:val="008852F2"/>
    <w:rsid w:val="00885B39"/>
    <w:rsid w:val="008873D7"/>
    <w:rsid w:val="008874DE"/>
    <w:rsid w:val="00891A08"/>
    <w:rsid w:val="00892432"/>
    <w:rsid w:val="00892914"/>
    <w:rsid w:val="008945FF"/>
    <w:rsid w:val="00895B6F"/>
    <w:rsid w:val="008962FB"/>
    <w:rsid w:val="00896B6A"/>
    <w:rsid w:val="008A0212"/>
    <w:rsid w:val="008A1AAB"/>
    <w:rsid w:val="008A1F6B"/>
    <w:rsid w:val="008A26ED"/>
    <w:rsid w:val="008A4E46"/>
    <w:rsid w:val="008A5975"/>
    <w:rsid w:val="008A5CD9"/>
    <w:rsid w:val="008A74C2"/>
    <w:rsid w:val="008A7A06"/>
    <w:rsid w:val="008B05C2"/>
    <w:rsid w:val="008B079F"/>
    <w:rsid w:val="008B0BFA"/>
    <w:rsid w:val="008B1C59"/>
    <w:rsid w:val="008B4D3F"/>
    <w:rsid w:val="008B5559"/>
    <w:rsid w:val="008B7AED"/>
    <w:rsid w:val="008C4B94"/>
    <w:rsid w:val="008C51A0"/>
    <w:rsid w:val="008C5229"/>
    <w:rsid w:val="008C636C"/>
    <w:rsid w:val="008C6E88"/>
    <w:rsid w:val="008C71B0"/>
    <w:rsid w:val="008C7B03"/>
    <w:rsid w:val="008C7BB0"/>
    <w:rsid w:val="008D030B"/>
    <w:rsid w:val="008D05B1"/>
    <w:rsid w:val="008D1880"/>
    <w:rsid w:val="008D1CBE"/>
    <w:rsid w:val="008D2872"/>
    <w:rsid w:val="008D383B"/>
    <w:rsid w:val="008E1B4B"/>
    <w:rsid w:val="008E2322"/>
    <w:rsid w:val="008E2B64"/>
    <w:rsid w:val="008E36F6"/>
    <w:rsid w:val="008E3733"/>
    <w:rsid w:val="008E383B"/>
    <w:rsid w:val="008E458A"/>
    <w:rsid w:val="008E5206"/>
    <w:rsid w:val="008E548C"/>
    <w:rsid w:val="008E5611"/>
    <w:rsid w:val="008E6A7C"/>
    <w:rsid w:val="008F23EC"/>
    <w:rsid w:val="008F2E9D"/>
    <w:rsid w:val="008F5157"/>
    <w:rsid w:val="008F546E"/>
    <w:rsid w:val="009008E1"/>
    <w:rsid w:val="0090156C"/>
    <w:rsid w:val="0090208B"/>
    <w:rsid w:val="009028BC"/>
    <w:rsid w:val="00903B17"/>
    <w:rsid w:val="00903CCA"/>
    <w:rsid w:val="009044CE"/>
    <w:rsid w:val="00905A7D"/>
    <w:rsid w:val="00905D85"/>
    <w:rsid w:val="00912094"/>
    <w:rsid w:val="009121ED"/>
    <w:rsid w:val="00912235"/>
    <w:rsid w:val="009137A2"/>
    <w:rsid w:val="009140FD"/>
    <w:rsid w:val="0091510E"/>
    <w:rsid w:val="0091536D"/>
    <w:rsid w:val="009158E0"/>
    <w:rsid w:val="00915F91"/>
    <w:rsid w:val="00916624"/>
    <w:rsid w:val="00916CFC"/>
    <w:rsid w:val="009207EF"/>
    <w:rsid w:val="009219E3"/>
    <w:rsid w:val="00922EFA"/>
    <w:rsid w:val="00936EE8"/>
    <w:rsid w:val="0093744A"/>
    <w:rsid w:val="009377E8"/>
    <w:rsid w:val="00937F1A"/>
    <w:rsid w:val="00942E6E"/>
    <w:rsid w:val="00945A38"/>
    <w:rsid w:val="009464C9"/>
    <w:rsid w:val="00946EFB"/>
    <w:rsid w:val="00947541"/>
    <w:rsid w:val="00950524"/>
    <w:rsid w:val="009528F9"/>
    <w:rsid w:val="00952FC1"/>
    <w:rsid w:val="00953CE4"/>
    <w:rsid w:val="009561E4"/>
    <w:rsid w:val="00961626"/>
    <w:rsid w:val="00963300"/>
    <w:rsid w:val="00963308"/>
    <w:rsid w:val="00963412"/>
    <w:rsid w:val="00965850"/>
    <w:rsid w:val="00967028"/>
    <w:rsid w:val="00972CAA"/>
    <w:rsid w:val="009751CB"/>
    <w:rsid w:val="00980D6F"/>
    <w:rsid w:val="00981EFB"/>
    <w:rsid w:val="0098359D"/>
    <w:rsid w:val="0098361F"/>
    <w:rsid w:val="0098373F"/>
    <w:rsid w:val="00985679"/>
    <w:rsid w:val="00985E86"/>
    <w:rsid w:val="00990C03"/>
    <w:rsid w:val="00990E94"/>
    <w:rsid w:val="0099147A"/>
    <w:rsid w:val="00995B84"/>
    <w:rsid w:val="00997C67"/>
    <w:rsid w:val="009A22C7"/>
    <w:rsid w:val="009A286F"/>
    <w:rsid w:val="009A4435"/>
    <w:rsid w:val="009A4B88"/>
    <w:rsid w:val="009A6E44"/>
    <w:rsid w:val="009A6F54"/>
    <w:rsid w:val="009A75D9"/>
    <w:rsid w:val="009B06FB"/>
    <w:rsid w:val="009B26DB"/>
    <w:rsid w:val="009B2B86"/>
    <w:rsid w:val="009B31AD"/>
    <w:rsid w:val="009B36EB"/>
    <w:rsid w:val="009B54AA"/>
    <w:rsid w:val="009B7980"/>
    <w:rsid w:val="009B79A9"/>
    <w:rsid w:val="009C2846"/>
    <w:rsid w:val="009C2E5B"/>
    <w:rsid w:val="009C36C9"/>
    <w:rsid w:val="009C3793"/>
    <w:rsid w:val="009C42D6"/>
    <w:rsid w:val="009C5CB7"/>
    <w:rsid w:val="009C5F7E"/>
    <w:rsid w:val="009C687D"/>
    <w:rsid w:val="009C7703"/>
    <w:rsid w:val="009C790D"/>
    <w:rsid w:val="009C7BAA"/>
    <w:rsid w:val="009D0093"/>
    <w:rsid w:val="009D09D7"/>
    <w:rsid w:val="009D23BB"/>
    <w:rsid w:val="009D4AF3"/>
    <w:rsid w:val="009D69F5"/>
    <w:rsid w:val="009D7006"/>
    <w:rsid w:val="009D7555"/>
    <w:rsid w:val="009D7770"/>
    <w:rsid w:val="009E2F01"/>
    <w:rsid w:val="009E3108"/>
    <w:rsid w:val="009E550F"/>
    <w:rsid w:val="009F0A5B"/>
    <w:rsid w:val="009F2EC9"/>
    <w:rsid w:val="009F31F6"/>
    <w:rsid w:val="009F690F"/>
    <w:rsid w:val="009F784A"/>
    <w:rsid w:val="00A02230"/>
    <w:rsid w:val="00A02CDF"/>
    <w:rsid w:val="00A0410A"/>
    <w:rsid w:val="00A04A81"/>
    <w:rsid w:val="00A051C1"/>
    <w:rsid w:val="00A07635"/>
    <w:rsid w:val="00A13719"/>
    <w:rsid w:val="00A13771"/>
    <w:rsid w:val="00A1595B"/>
    <w:rsid w:val="00A17BC6"/>
    <w:rsid w:val="00A21603"/>
    <w:rsid w:val="00A21F70"/>
    <w:rsid w:val="00A2269E"/>
    <w:rsid w:val="00A248A4"/>
    <w:rsid w:val="00A266EF"/>
    <w:rsid w:val="00A33335"/>
    <w:rsid w:val="00A36A3C"/>
    <w:rsid w:val="00A43482"/>
    <w:rsid w:val="00A435ED"/>
    <w:rsid w:val="00A46059"/>
    <w:rsid w:val="00A46FC8"/>
    <w:rsid w:val="00A50B39"/>
    <w:rsid w:val="00A533D0"/>
    <w:rsid w:val="00A54090"/>
    <w:rsid w:val="00A550F7"/>
    <w:rsid w:val="00A57599"/>
    <w:rsid w:val="00A57F16"/>
    <w:rsid w:val="00A60E88"/>
    <w:rsid w:val="00A62CAB"/>
    <w:rsid w:val="00A63F76"/>
    <w:rsid w:val="00A652BC"/>
    <w:rsid w:val="00A667D5"/>
    <w:rsid w:val="00A67A3C"/>
    <w:rsid w:val="00A704B6"/>
    <w:rsid w:val="00A72110"/>
    <w:rsid w:val="00A73B05"/>
    <w:rsid w:val="00A76169"/>
    <w:rsid w:val="00A7783E"/>
    <w:rsid w:val="00A77D60"/>
    <w:rsid w:val="00A84586"/>
    <w:rsid w:val="00A8697C"/>
    <w:rsid w:val="00A87BAE"/>
    <w:rsid w:val="00A901C1"/>
    <w:rsid w:val="00A939F7"/>
    <w:rsid w:val="00A93C60"/>
    <w:rsid w:val="00A93D58"/>
    <w:rsid w:val="00A942A6"/>
    <w:rsid w:val="00A959A3"/>
    <w:rsid w:val="00A962B5"/>
    <w:rsid w:val="00A96AA7"/>
    <w:rsid w:val="00A979AD"/>
    <w:rsid w:val="00AA1082"/>
    <w:rsid w:val="00AA121F"/>
    <w:rsid w:val="00AA1738"/>
    <w:rsid w:val="00AA3C71"/>
    <w:rsid w:val="00AA413E"/>
    <w:rsid w:val="00AA448D"/>
    <w:rsid w:val="00AA5EE5"/>
    <w:rsid w:val="00AA6229"/>
    <w:rsid w:val="00AA7408"/>
    <w:rsid w:val="00AB0BFF"/>
    <w:rsid w:val="00AB2133"/>
    <w:rsid w:val="00AB4B93"/>
    <w:rsid w:val="00AB4F06"/>
    <w:rsid w:val="00AB6147"/>
    <w:rsid w:val="00AB745A"/>
    <w:rsid w:val="00AC1917"/>
    <w:rsid w:val="00AC1BAF"/>
    <w:rsid w:val="00AC266D"/>
    <w:rsid w:val="00AC2B9B"/>
    <w:rsid w:val="00AC2F60"/>
    <w:rsid w:val="00AC3043"/>
    <w:rsid w:val="00AC6691"/>
    <w:rsid w:val="00AC7A44"/>
    <w:rsid w:val="00AC7F81"/>
    <w:rsid w:val="00AD0A2B"/>
    <w:rsid w:val="00AD0C78"/>
    <w:rsid w:val="00AD0D68"/>
    <w:rsid w:val="00AD1415"/>
    <w:rsid w:val="00AD2C6D"/>
    <w:rsid w:val="00AD392C"/>
    <w:rsid w:val="00AD3BF5"/>
    <w:rsid w:val="00AD3D7D"/>
    <w:rsid w:val="00AD4C5C"/>
    <w:rsid w:val="00AE1862"/>
    <w:rsid w:val="00AE4BE6"/>
    <w:rsid w:val="00AE5B28"/>
    <w:rsid w:val="00AE6AF5"/>
    <w:rsid w:val="00AE6ED7"/>
    <w:rsid w:val="00AF1294"/>
    <w:rsid w:val="00AF2B83"/>
    <w:rsid w:val="00AF3B0E"/>
    <w:rsid w:val="00AF498C"/>
    <w:rsid w:val="00AF5E19"/>
    <w:rsid w:val="00AF76DB"/>
    <w:rsid w:val="00B01A6A"/>
    <w:rsid w:val="00B01BE7"/>
    <w:rsid w:val="00B02CAE"/>
    <w:rsid w:val="00B0665D"/>
    <w:rsid w:val="00B10241"/>
    <w:rsid w:val="00B10BEE"/>
    <w:rsid w:val="00B1164B"/>
    <w:rsid w:val="00B1247A"/>
    <w:rsid w:val="00B12888"/>
    <w:rsid w:val="00B13956"/>
    <w:rsid w:val="00B13AB4"/>
    <w:rsid w:val="00B1466B"/>
    <w:rsid w:val="00B15B68"/>
    <w:rsid w:val="00B16A9F"/>
    <w:rsid w:val="00B16B46"/>
    <w:rsid w:val="00B23960"/>
    <w:rsid w:val="00B25597"/>
    <w:rsid w:val="00B25DE2"/>
    <w:rsid w:val="00B263B9"/>
    <w:rsid w:val="00B263D3"/>
    <w:rsid w:val="00B3403B"/>
    <w:rsid w:val="00B343D7"/>
    <w:rsid w:val="00B34E97"/>
    <w:rsid w:val="00B3586C"/>
    <w:rsid w:val="00B358F6"/>
    <w:rsid w:val="00B409CC"/>
    <w:rsid w:val="00B4378B"/>
    <w:rsid w:val="00B447A5"/>
    <w:rsid w:val="00B44906"/>
    <w:rsid w:val="00B4601B"/>
    <w:rsid w:val="00B46567"/>
    <w:rsid w:val="00B5047A"/>
    <w:rsid w:val="00B51313"/>
    <w:rsid w:val="00B533C7"/>
    <w:rsid w:val="00B53E93"/>
    <w:rsid w:val="00B565EB"/>
    <w:rsid w:val="00B56B65"/>
    <w:rsid w:val="00B56F4B"/>
    <w:rsid w:val="00B57B86"/>
    <w:rsid w:val="00B57E7E"/>
    <w:rsid w:val="00B601F9"/>
    <w:rsid w:val="00B6052D"/>
    <w:rsid w:val="00B605B2"/>
    <w:rsid w:val="00B60C6C"/>
    <w:rsid w:val="00B616D1"/>
    <w:rsid w:val="00B61AD4"/>
    <w:rsid w:val="00B61BFF"/>
    <w:rsid w:val="00B61D14"/>
    <w:rsid w:val="00B6379E"/>
    <w:rsid w:val="00B63E7E"/>
    <w:rsid w:val="00B71B5B"/>
    <w:rsid w:val="00B724DF"/>
    <w:rsid w:val="00B730C5"/>
    <w:rsid w:val="00B750AF"/>
    <w:rsid w:val="00B75FE8"/>
    <w:rsid w:val="00B76080"/>
    <w:rsid w:val="00B7608F"/>
    <w:rsid w:val="00B80E18"/>
    <w:rsid w:val="00B83D83"/>
    <w:rsid w:val="00B84917"/>
    <w:rsid w:val="00B85051"/>
    <w:rsid w:val="00B87135"/>
    <w:rsid w:val="00B87717"/>
    <w:rsid w:val="00B87C3E"/>
    <w:rsid w:val="00B9115D"/>
    <w:rsid w:val="00B926C3"/>
    <w:rsid w:val="00B96248"/>
    <w:rsid w:val="00B97C36"/>
    <w:rsid w:val="00B97DAB"/>
    <w:rsid w:val="00BA0202"/>
    <w:rsid w:val="00BA396D"/>
    <w:rsid w:val="00BA5979"/>
    <w:rsid w:val="00BA5D0C"/>
    <w:rsid w:val="00BB2A42"/>
    <w:rsid w:val="00BB38A6"/>
    <w:rsid w:val="00BB46CD"/>
    <w:rsid w:val="00BB4754"/>
    <w:rsid w:val="00BC1429"/>
    <w:rsid w:val="00BC1CE3"/>
    <w:rsid w:val="00BC2793"/>
    <w:rsid w:val="00BC31F8"/>
    <w:rsid w:val="00BC3BE0"/>
    <w:rsid w:val="00BC47F2"/>
    <w:rsid w:val="00BC49D7"/>
    <w:rsid w:val="00BC4CDF"/>
    <w:rsid w:val="00BC5640"/>
    <w:rsid w:val="00BC5917"/>
    <w:rsid w:val="00BC6516"/>
    <w:rsid w:val="00BD062D"/>
    <w:rsid w:val="00BD09AB"/>
    <w:rsid w:val="00BD161C"/>
    <w:rsid w:val="00BD228C"/>
    <w:rsid w:val="00BD2B4E"/>
    <w:rsid w:val="00BD2EAF"/>
    <w:rsid w:val="00BD4D12"/>
    <w:rsid w:val="00BD55C7"/>
    <w:rsid w:val="00BD5845"/>
    <w:rsid w:val="00BD69D2"/>
    <w:rsid w:val="00BD6D28"/>
    <w:rsid w:val="00BD7BE6"/>
    <w:rsid w:val="00BE1300"/>
    <w:rsid w:val="00BE2BCB"/>
    <w:rsid w:val="00BE3A0E"/>
    <w:rsid w:val="00BE59EF"/>
    <w:rsid w:val="00BE7840"/>
    <w:rsid w:val="00BF0FD8"/>
    <w:rsid w:val="00BF1376"/>
    <w:rsid w:val="00BF148F"/>
    <w:rsid w:val="00BF67F3"/>
    <w:rsid w:val="00BF7303"/>
    <w:rsid w:val="00BF7E5E"/>
    <w:rsid w:val="00C003C1"/>
    <w:rsid w:val="00C00C12"/>
    <w:rsid w:val="00C01EA1"/>
    <w:rsid w:val="00C02F76"/>
    <w:rsid w:val="00C0584D"/>
    <w:rsid w:val="00C05ACF"/>
    <w:rsid w:val="00C06B07"/>
    <w:rsid w:val="00C06B97"/>
    <w:rsid w:val="00C14D60"/>
    <w:rsid w:val="00C14DFE"/>
    <w:rsid w:val="00C15192"/>
    <w:rsid w:val="00C16348"/>
    <w:rsid w:val="00C20285"/>
    <w:rsid w:val="00C21523"/>
    <w:rsid w:val="00C228F5"/>
    <w:rsid w:val="00C22EE8"/>
    <w:rsid w:val="00C2350C"/>
    <w:rsid w:val="00C23C6B"/>
    <w:rsid w:val="00C24EC3"/>
    <w:rsid w:val="00C262AD"/>
    <w:rsid w:val="00C267BF"/>
    <w:rsid w:val="00C279B4"/>
    <w:rsid w:val="00C30C04"/>
    <w:rsid w:val="00C31EC9"/>
    <w:rsid w:val="00C320A0"/>
    <w:rsid w:val="00C32752"/>
    <w:rsid w:val="00C35E8C"/>
    <w:rsid w:val="00C36AE3"/>
    <w:rsid w:val="00C37A0A"/>
    <w:rsid w:val="00C414CA"/>
    <w:rsid w:val="00C414D3"/>
    <w:rsid w:val="00C420CE"/>
    <w:rsid w:val="00C42202"/>
    <w:rsid w:val="00C42241"/>
    <w:rsid w:val="00C45EE4"/>
    <w:rsid w:val="00C50316"/>
    <w:rsid w:val="00C525A4"/>
    <w:rsid w:val="00C52817"/>
    <w:rsid w:val="00C54846"/>
    <w:rsid w:val="00C54FD4"/>
    <w:rsid w:val="00C553E1"/>
    <w:rsid w:val="00C555AB"/>
    <w:rsid w:val="00C55F19"/>
    <w:rsid w:val="00C56B9A"/>
    <w:rsid w:val="00C57367"/>
    <w:rsid w:val="00C57A55"/>
    <w:rsid w:val="00C60893"/>
    <w:rsid w:val="00C6099C"/>
    <w:rsid w:val="00C61CDF"/>
    <w:rsid w:val="00C660CA"/>
    <w:rsid w:val="00C71C9D"/>
    <w:rsid w:val="00C761A5"/>
    <w:rsid w:val="00C76AD0"/>
    <w:rsid w:val="00C77AA4"/>
    <w:rsid w:val="00C829DC"/>
    <w:rsid w:val="00C8583B"/>
    <w:rsid w:val="00C86AF9"/>
    <w:rsid w:val="00C87C4A"/>
    <w:rsid w:val="00C90A41"/>
    <w:rsid w:val="00C90E8D"/>
    <w:rsid w:val="00C942A3"/>
    <w:rsid w:val="00C94BE4"/>
    <w:rsid w:val="00C95F94"/>
    <w:rsid w:val="00CA02BF"/>
    <w:rsid w:val="00CA19F6"/>
    <w:rsid w:val="00CA1B36"/>
    <w:rsid w:val="00CA3EE8"/>
    <w:rsid w:val="00CA6B94"/>
    <w:rsid w:val="00CB0527"/>
    <w:rsid w:val="00CB2193"/>
    <w:rsid w:val="00CB2B0E"/>
    <w:rsid w:val="00CB3A13"/>
    <w:rsid w:val="00CB3E27"/>
    <w:rsid w:val="00CB4531"/>
    <w:rsid w:val="00CB5829"/>
    <w:rsid w:val="00CB6377"/>
    <w:rsid w:val="00CB688F"/>
    <w:rsid w:val="00CB6FD4"/>
    <w:rsid w:val="00CB7B03"/>
    <w:rsid w:val="00CC65AA"/>
    <w:rsid w:val="00CD0DBD"/>
    <w:rsid w:val="00CD1C7F"/>
    <w:rsid w:val="00CD24E9"/>
    <w:rsid w:val="00CD3206"/>
    <w:rsid w:val="00CD35CE"/>
    <w:rsid w:val="00CD409D"/>
    <w:rsid w:val="00CE11AF"/>
    <w:rsid w:val="00CE20AD"/>
    <w:rsid w:val="00CE24EC"/>
    <w:rsid w:val="00CE4B7F"/>
    <w:rsid w:val="00CE5788"/>
    <w:rsid w:val="00CF241B"/>
    <w:rsid w:val="00CF24F6"/>
    <w:rsid w:val="00CF3317"/>
    <w:rsid w:val="00CF4183"/>
    <w:rsid w:val="00CF564E"/>
    <w:rsid w:val="00CF64A5"/>
    <w:rsid w:val="00CF66C3"/>
    <w:rsid w:val="00CF77E4"/>
    <w:rsid w:val="00D00282"/>
    <w:rsid w:val="00D00A02"/>
    <w:rsid w:val="00D01787"/>
    <w:rsid w:val="00D01D42"/>
    <w:rsid w:val="00D02869"/>
    <w:rsid w:val="00D032AD"/>
    <w:rsid w:val="00D06492"/>
    <w:rsid w:val="00D11D3D"/>
    <w:rsid w:val="00D11D74"/>
    <w:rsid w:val="00D12760"/>
    <w:rsid w:val="00D12875"/>
    <w:rsid w:val="00D129A4"/>
    <w:rsid w:val="00D14508"/>
    <w:rsid w:val="00D145B6"/>
    <w:rsid w:val="00D14A2A"/>
    <w:rsid w:val="00D154CD"/>
    <w:rsid w:val="00D15ED9"/>
    <w:rsid w:val="00D23A07"/>
    <w:rsid w:val="00D25A2A"/>
    <w:rsid w:val="00D26540"/>
    <w:rsid w:val="00D26AC9"/>
    <w:rsid w:val="00D27CFE"/>
    <w:rsid w:val="00D31F27"/>
    <w:rsid w:val="00D31F50"/>
    <w:rsid w:val="00D3275E"/>
    <w:rsid w:val="00D32783"/>
    <w:rsid w:val="00D338AB"/>
    <w:rsid w:val="00D34404"/>
    <w:rsid w:val="00D34E0E"/>
    <w:rsid w:val="00D358C5"/>
    <w:rsid w:val="00D35B3C"/>
    <w:rsid w:val="00D36528"/>
    <w:rsid w:val="00D3730C"/>
    <w:rsid w:val="00D41225"/>
    <w:rsid w:val="00D447B6"/>
    <w:rsid w:val="00D471D4"/>
    <w:rsid w:val="00D50DF0"/>
    <w:rsid w:val="00D518EA"/>
    <w:rsid w:val="00D5298F"/>
    <w:rsid w:val="00D54C8C"/>
    <w:rsid w:val="00D54D2E"/>
    <w:rsid w:val="00D5602C"/>
    <w:rsid w:val="00D56458"/>
    <w:rsid w:val="00D575EE"/>
    <w:rsid w:val="00D57DFD"/>
    <w:rsid w:val="00D57E71"/>
    <w:rsid w:val="00D606C3"/>
    <w:rsid w:val="00D60EEA"/>
    <w:rsid w:val="00D615BF"/>
    <w:rsid w:val="00D61EFE"/>
    <w:rsid w:val="00D64E0F"/>
    <w:rsid w:val="00D65DE6"/>
    <w:rsid w:val="00D669C4"/>
    <w:rsid w:val="00D70051"/>
    <w:rsid w:val="00D70087"/>
    <w:rsid w:val="00D70709"/>
    <w:rsid w:val="00D71F67"/>
    <w:rsid w:val="00D72F2C"/>
    <w:rsid w:val="00D748D3"/>
    <w:rsid w:val="00D80923"/>
    <w:rsid w:val="00D81084"/>
    <w:rsid w:val="00D82120"/>
    <w:rsid w:val="00D82F4B"/>
    <w:rsid w:val="00D83E4A"/>
    <w:rsid w:val="00D840E1"/>
    <w:rsid w:val="00D84F9D"/>
    <w:rsid w:val="00D87AE7"/>
    <w:rsid w:val="00D901CC"/>
    <w:rsid w:val="00D919B8"/>
    <w:rsid w:val="00D91DE5"/>
    <w:rsid w:val="00D9235E"/>
    <w:rsid w:val="00D9748D"/>
    <w:rsid w:val="00D97B2C"/>
    <w:rsid w:val="00DA5DF7"/>
    <w:rsid w:val="00DA6EE4"/>
    <w:rsid w:val="00DB0329"/>
    <w:rsid w:val="00DB1F42"/>
    <w:rsid w:val="00DB2228"/>
    <w:rsid w:val="00DB2E1B"/>
    <w:rsid w:val="00DB47CA"/>
    <w:rsid w:val="00DC1646"/>
    <w:rsid w:val="00DC2867"/>
    <w:rsid w:val="00DC57C5"/>
    <w:rsid w:val="00DC5E91"/>
    <w:rsid w:val="00DC6133"/>
    <w:rsid w:val="00DD04CF"/>
    <w:rsid w:val="00DD2298"/>
    <w:rsid w:val="00DD6569"/>
    <w:rsid w:val="00DD6584"/>
    <w:rsid w:val="00DD74F8"/>
    <w:rsid w:val="00DD776A"/>
    <w:rsid w:val="00DD7DF5"/>
    <w:rsid w:val="00DE09C8"/>
    <w:rsid w:val="00DE41C2"/>
    <w:rsid w:val="00DE53B2"/>
    <w:rsid w:val="00DE5404"/>
    <w:rsid w:val="00DE5DFA"/>
    <w:rsid w:val="00DE7491"/>
    <w:rsid w:val="00DF1B21"/>
    <w:rsid w:val="00DF2820"/>
    <w:rsid w:val="00DF37CC"/>
    <w:rsid w:val="00DF4B13"/>
    <w:rsid w:val="00DF5094"/>
    <w:rsid w:val="00DF5850"/>
    <w:rsid w:val="00DF65F7"/>
    <w:rsid w:val="00E012BA"/>
    <w:rsid w:val="00E01621"/>
    <w:rsid w:val="00E049AE"/>
    <w:rsid w:val="00E0527F"/>
    <w:rsid w:val="00E06DB9"/>
    <w:rsid w:val="00E10F08"/>
    <w:rsid w:val="00E12944"/>
    <w:rsid w:val="00E136F5"/>
    <w:rsid w:val="00E147DB"/>
    <w:rsid w:val="00E1536E"/>
    <w:rsid w:val="00E16ABE"/>
    <w:rsid w:val="00E179F7"/>
    <w:rsid w:val="00E205B5"/>
    <w:rsid w:val="00E21447"/>
    <w:rsid w:val="00E2192F"/>
    <w:rsid w:val="00E22D4E"/>
    <w:rsid w:val="00E23FAD"/>
    <w:rsid w:val="00E24A33"/>
    <w:rsid w:val="00E25149"/>
    <w:rsid w:val="00E25BBB"/>
    <w:rsid w:val="00E25C49"/>
    <w:rsid w:val="00E25CEC"/>
    <w:rsid w:val="00E26F1C"/>
    <w:rsid w:val="00E278BE"/>
    <w:rsid w:val="00E30DC5"/>
    <w:rsid w:val="00E32759"/>
    <w:rsid w:val="00E336F0"/>
    <w:rsid w:val="00E35F6A"/>
    <w:rsid w:val="00E36B9F"/>
    <w:rsid w:val="00E373AB"/>
    <w:rsid w:val="00E40868"/>
    <w:rsid w:val="00E40955"/>
    <w:rsid w:val="00E412BA"/>
    <w:rsid w:val="00E4130E"/>
    <w:rsid w:val="00E43748"/>
    <w:rsid w:val="00E43FCF"/>
    <w:rsid w:val="00E46E79"/>
    <w:rsid w:val="00E51099"/>
    <w:rsid w:val="00E51279"/>
    <w:rsid w:val="00E521EA"/>
    <w:rsid w:val="00E52302"/>
    <w:rsid w:val="00E53F50"/>
    <w:rsid w:val="00E54247"/>
    <w:rsid w:val="00E5438B"/>
    <w:rsid w:val="00E55285"/>
    <w:rsid w:val="00E5632F"/>
    <w:rsid w:val="00E5692F"/>
    <w:rsid w:val="00E61467"/>
    <w:rsid w:val="00E617D8"/>
    <w:rsid w:val="00E624EE"/>
    <w:rsid w:val="00E648FB"/>
    <w:rsid w:val="00E65F3F"/>
    <w:rsid w:val="00E6686E"/>
    <w:rsid w:val="00E66B33"/>
    <w:rsid w:val="00E67376"/>
    <w:rsid w:val="00E67B54"/>
    <w:rsid w:val="00E704CE"/>
    <w:rsid w:val="00E718ED"/>
    <w:rsid w:val="00E72DDB"/>
    <w:rsid w:val="00E73EFB"/>
    <w:rsid w:val="00E7553C"/>
    <w:rsid w:val="00E80090"/>
    <w:rsid w:val="00E8044C"/>
    <w:rsid w:val="00E8080A"/>
    <w:rsid w:val="00E8093B"/>
    <w:rsid w:val="00E825EB"/>
    <w:rsid w:val="00E84359"/>
    <w:rsid w:val="00E84BAD"/>
    <w:rsid w:val="00E855FF"/>
    <w:rsid w:val="00E86235"/>
    <w:rsid w:val="00E873D3"/>
    <w:rsid w:val="00E90D57"/>
    <w:rsid w:val="00E919A7"/>
    <w:rsid w:val="00E91AFE"/>
    <w:rsid w:val="00E931A6"/>
    <w:rsid w:val="00E94DBA"/>
    <w:rsid w:val="00E95BC5"/>
    <w:rsid w:val="00E963E4"/>
    <w:rsid w:val="00E972AC"/>
    <w:rsid w:val="00E978C8"/>
    <w:rsid w:val="00EA1202"/>
    <w:rsid w:val="00EA27C5"/>
    <w:rsid w:val="00EA32EC"/>
    <w:rsid w:val="00EA3B5A"/>
    <w:rsid w:val="00EA3C83"/>
    <w:rsid w:val="00EA406F"/>
    <w:rsid w:val="00EA46B7"/>
    <w:rsid w:val="00EA7800"/>
    <w:rsid w:val="00EA793B"/>
    <w:rsid w:val="00EB024E"/>
    <w:rsid w:val="00EB0E10"/>
    <w:rsid w:val="00EB0FDC"/>
    <w:rsid w:val="00EB1823"/>
    <w:rsid w:val="00EB1AB8"/>
    <w:rsid w:val="00EB2899"/>
    <w:rsid w:val="00EB56C1"/>
    <w:rsid w:val="00EB5F3A"/>
    <w:rsid w:val="00EB6095"/>
    <w:rsid w:val="00EB7216"/>
    <w:rsid w:val="00EC04AA"/>
    <w:rsid w:val="00EC08D3"/>
    <w:rsid w:val="00EC0AAE"/>
    <w:rsid w:val="00EC1A88"/>
    <w:rsid w:val="00EC1D94"/>
    <w:rsid w:val="00EC2B20"/>
    <w:rsid w:val="00EC2C6B"/>
    <w:rsid w:val="00EC5E5B"/>
    <w:rsid w:val="00EC6090"/>
    <w:rsid w:val="00EC7440"/>
    <w:rsid w:val="00EC7A44"/>
    <w:rsid w:val="00ED4052"/>
    <w:rsid w:val="00ED4582"/>
    <w:rsid w:val="00ED4EC0"/>
    <w:rsid w:val="00ED7699"/>
    <w:rsid w:val="00EE3692"/>
    <w:rsid w:val="00EE4CAB"/>
    <w:rsid w:val="00EF1460"/>
    <w:rsid w:val="00EF389E"/>
    <w:rsid w:val="00EF49D8"/>
    <w:rsid w:val="00EF6442"/>
    <w:rsid w:val="00EF77A5"/>
    <w:rsid w:val="00F02178"/>
    <w:rsid w:val="00F11D7C"/>
    <w:rsid w:val="00F13F3D"/>
    <w:rsid w:val="00F14137"/>
    <w:rsid w:val="00F14836"/>
    <w:rsid w:val="00F15CD2"/>
    <w:rsid w:val="00F167C7"/>
    <w:rsid w:val="00F218AB"/>
    <w:rsid w:val="00F229E6"/>
    <w:rsid w:val="00F22D8C"/>
    <w:rsid w:val="00F25B20"/>
    <w:rsid w:val="00F26B49"/>
    <w:rsid w:val="00F26E41"/>
    <w:rsid w:val="00F315AA"/>
    <w:rsid w:val="00F32085"/>
    <w:rsid w:val="00F322E8"/>
    <w:rsid w:val="00F3233C"/>
    <w:rsid w:val="00F3265D"/>
    <w:rsid w:val="00F35D70"/>
    <w:rsid w:val="00F35DE3"/>
    <w:rsid w:val="00F360DD"/>
    <w:rsid w:val="00F40A07"/>
    <w:rsid w:val="00F44E5E"/>
    <w:rsid w:val="00F52DD4"/>
    <w:rsid w:val="00F54F51"/>
    <w:rsid w:val="00F56228"/>
    <w:rsid w:val="00F5738B"/>
    <w:rsid w:val="00F57862"/>
    <w:rsid w:val="00F57FB1"/>
    <w:rsid w:val="00F6429E"/>
    <w:rsid w:val="00F6431C"/>
    <w:rsid w:val="00F65338"/>
    <w:rsid w:val="00F653DC"/>
    <w:rsid w:val="00F65DF3"/>
    <w:rsid w:val="00F6604F"/>
    <w:rsid w:val="00F668BE"/>
    <w:rsid w:val="00F66A9B"/>
    <w:rsid w:val="00F670F6"/>
    <w:rsid w:val="00F67470"/>
    <w:rsid w:val="00F67AEF"/>
    <w:rsid w:val="00F7020D"/>
    <w:rsid w:val="00F7120B"/>
    <w:rsid w:val="00F7152B"/>
    <w:rsid w:val="00F734FA"/>
    <w:rsid w:val="00F75977"/>
    <w:rsid w:val="00F76689"/>
    <w:rsid w:val="00F77620"/>
    <w:rsid w:val="00F77A39"/>
    <w:rsid w:val="00F77AB5"/>
    <w:rsid w:val="00F77C3C"/>
    <w:rsid w:val="00F818A7"/>
    <w:rsid w:val="00F82FFB"/>
    <w:rsid w:val="00F8340A"/>
    <w:rsid w:val="00F83DD7"/>
    <w:rsid w:val="00F84290"/>
    <w:rsid w:val="00F920AE"/>
    <w:rsid w:val="00F93CE7"/>
    <w:rsid w:val="00F959EB"/>
    <w:rsid w:val="00F95C96"/>
    <w:rsid w:val="00F960A3"/>
    <w:rsid w:val="00F97871"/>
    <w:rsid w:val="00FA0057"/>
    <w:rsid w:val="00FA27FB"/>
    <w:rsid w:val="00FA3318"/>
    <w:rsid w:val="00FA3DF0"/>
    <w:rsid w:val="00FA4973"/>
    <w:rsid w:val="00FA6FCE"/>
    <w:rsid w:val="00FB07E1"/>
    <w:rsid w:val="00FB249C"/>
    <w:rsid w:val="00FB39BB"/>
    <w:rsid w:val="00FB3A85"/>
    <w:rsid w:val="00FB3DC3"/>
    <w:rsid w:val="00FB3F6F"/>
    <w:rsid w:val="00FB4469"/>
    <w:rsid w:val="00FC05BF"/>
    <w:rsid w:val="00FC2263"/>
    <w:rsid w:val="00FC2BB2"/>
    <w:rsid w:val="00FC3B9F"/>
    <w:rsid w:val="00FC516A"/>
    <w:rsid w:val="00FC54A5"/>
    <w:rsid w:val="00FC63A8"/>
    <w:rsid w:val="00FC7868"/>
    <w:rsid w:val="00FD0F48"/>
    <w:rsid w:val="00FD1B56"/>
    <w:rsid w:val="00FD1DD8"/>
    <w:rsid w:val="00FD34B4"/>
    <w:rsid w:val="00FD3A73"/>
    <w:rsid w:val="00FD48B4"/>
    <w:rsid w:val="00FD5060"/>
    <w:rsid w:val="00FD50EF"/>
    <w:rsid w:val="00FD7083"/>
    <w:rsid w:val="00FE0BA2"/>
    <w:rsid w:val="00FE1DFB"/>
    <w:rsid w:val="00FE1EB8"/>
    <w:rsid w:val="00FE2022"/>
    <w:rsid w:val="00FE20A5"/>
    <w:rsid w:val="00FE25B8"/>
    <w:rsid w:val="00FE4661"/>
    <w:rsid w:val="00FE4B6A"/>
    <w:rsid w:val="00FF02B4"/>
    <w:rsid w:val="00FF2AE2"/>
    <w:rsid w:val="00FF3359"/>
    <w:rsid w:val="00FF38B8"/>
    <w:rsid w:val="00FF6439"/>
    <w:rsid w:val="00FF7E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C3998A"/>
  <w15:chartTrackingRefBased/>
  <w15:docId w15:val="{7804FA7A-E0F0-41D6-99AF-B8C81D73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862"/>
    <w:rPr>
      <w:rFonts w:ascii="Arial" w:hAnsi="Arial"/>
      <w:lang w:val="en-US"/>
    </w:rPr>
  </w:style>
  <w:style w:type="paragraph" w:styleId="Heading1">
    <w:name w:val="heading 1"/>
    <w:basedOn w:val="Normal"/>
    <w:next w:val="Normal"/>
    <w:link w:val="Heading1Char"/>
    <w:uiPriority w:val="9"/>
    <w:qFormat/>
    <w:rsid w:val="00F57862"/>
    <w:pPr>
      <w:keepNext/>
      <w:keepLines/>
      <w:spacing w:before="240" w:after="240"/>
      <w:outlineLvl w:val="0"/>
    </w:pPr>
    <w:rPr>
      <w:rFonts w:eastAsiaTheme="majorEastAsia" w:cs="Arial"/>
      <w:b/>
      <w:sz w:val="32"/>
      <w:szCs w:val="32"/>
    </w:rPr>
  </w:style>
  <w:style w:type="paragraph" w:styleId="Heading2">
    <w:name w:val="heading 2"/>
    <w:basedOn w:val="Normal"/>
    <w:next w:val="Normal"/>
    <w:link w:val="Heading2Char"/>
    <w:uiPriority w:val="9"/>
    <w:unhideWhenUsed/>
    <w:qFormat/>
    <w:rsid w:val="00F57862"/>
    <w:pPr>
      <w:keepNext/>
      <w:keepLines/>
      <w:spacing w:before="40" w:after="0"/>
      <w:outlineLvl w:val="1"/>
    </w:pPr>
    <w:rPr>
      <w:rFonts w:eastAsiaTheme="majorEastAsia" w:cs="Arial"/>
      <w:b/>
      <w:sz w:val="26"/>
      <w:szCs w:val="26"/>
    </w:rPr>
  </w:style>
  <w:style w:type="paragraph" w:styleId="Heading3">
    <w:name w:val="heading 3"/>
    <w:basedOn w:val="Normal"/>
    <w:next w:val="Normal"/>
    <w:link w:val="Heading3Char"/>
    <w:uiPriority w:val="9"/>
    <w:unhideWhenUsed/>
    <w:qFormat/>
    <w:rsid w:val="00575A73"/>
    <w:pPr>
      <w:keepNext/>
      <w:keepLines/>
      <w:spacing w:before="40" w:after="0" w:line="264" w:lineRule="auto"/>
      <w:outlineLvl w:val="2"/>
    </w:pPr>
    <w:rPr>
      <w:rFonts w:eastAsiaTheme="majorEastAsia" w:cstheme="majorBidi"/>
      <w:b/>
      <w:i/>
      <w:sz w:val="24"/>
      <w:szCs w:val="24"/>
      <w:lang w:val="en-NZ" w:eastAsia="en-GB"/>
    </w:rPr>
  </w:style>
  <w:style w:type="paragraph" w:styleId="Heading4">
    <w:name w:val="heading 4"/>
    <w:basedOn w:val="Normal"/>
    <w:next w:val="Normal"/>
    <w:link w:val="Heading4Char"/>
    <w:uiPriority w:val="9"/>
    <w:semiHidden/>
    <w:unhideWhenUsed/>
    <w:qFormat/>
    <w:rsid w:val="002420D3"/>
    <w:pPr>
      <w:keepNext/>
      <w:keepLines/>
      <w:spacing w:before="40" w:after="0" w:line="264" w:lineRule="auto"/>
      <w:outlineLvl w:val="3"/>
    </w:pPr>
    <w:rPr>
      <w:rFonts w:asciiTheme="majorHAnsi" w:eastAsiaTheme="majorEastAsia" w:hAnsiTheme="majorHAnsi" w:cstheme="majorBidi"/>
      <w:i/>
      <w:iCs/>
      <w:color w:val="2F5496" w:themeColor="accent1" w:themeShade="BF"/>
      <w:szCs w:val="20"/>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862"/>
    <w:rPr>
      <w:rFonts w:ascii="Arial" w:eastAsiaTheme="majorEastAsia" w:hAnsi="Arial" w:cs="Arial"/>
      <w:b/>
      <w:sz w:val="32"/>
      <w:szCs w:val="32"/>
      <w:lang w:val="en-US"/>
    </w:rPr>
  </w:style>
  <w:style w:type="character" w:customStyle="1" w:styleId="Heading2Char">
    <w:name w:val="Heading 2 Char"/>
    <w:basedOn w:val="DefaultParagraphFont"/>
    <w:link w:val="Heading2"/>
    <w:uiPriority w:val="9"/>
    <w:rsid w:val="00F57862"/>
    <w:rPr>
      <w:rFonts w:ascii="Arial" w:eastAsiaTheme="majorEastAsia" w:hAnsi="Arial" w:cs="Arial"/>
      <w:b/>
      <w:sz w:val="26"/>
      <w:szCs w:val="26"/>
      <w:lang w:val="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F57862"/>
    <w:pPr>
      <w:numPr>
        <w:numId w:val="1"/>
      </w:numPr>
      <w:suppressAutoHyphens/>
      <w:autoSpaceDE w:val="0"/>
      <w:autoSpaceDN w:val="0"/>
      <w:adjustRightInd w:val="0"/>
      <w:spacing w:before="120" w:after="120" w:line="280" w:lineRule="atLeast"/>
      <w:contextualSpacing/>
      <w:textAlignment w:val="center"/>
    </w:pPr>
    <w:rPr>
      <w:rFonts w:eastAsia="Times New Roman" w:cs="Arial"/>
      <w:lang w:eastAsia="en-NZ"/>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locked/>
    <w:rsid w:val="00F57862"/>
    <w:rPr>
      <w:rFonts w:ascii="Arial" w:eastAsia="Times New Roman" w:hAnsi="Arial" w:cs="Arial"/>
      <w:lang w:val="en-US" w:eastAsia="en-NZ"/>
    </w:rPr>
  </w:style>
  <w:style w:type="paragraph" w:styleId="BodyText3">
    <w:name w:val="Body Text 3"/>
    <w:basedOn w:val="Normal"/>
    <w:link w:val="BodyText3Char"/>
    <w:semiHidden/>
    <w:unhideWhenUsed/>
    <w:rsid w:val="00F57862"/>
    <w:pPr>
      <w:spacing w:after="120" w:line="240" w:lineRule="auto"/>
    </w:pPr>
    <w:rPr>
      <w:rFonts w:eastAsia="Times New Roman" w:cs="Times New Roman"/>
      <w:sz w:val="16"/>
      <w:szCs w:val="16"/>
      <w:lang w:val="en-NZ" w:eastAsia="en-NZ"/>
    </w:rPr>
  </w:style>
  <w:style w:type="character" w:customStyle="1" w:styleId="BodyText3Char">
    <w:name w:val="Body Text 3 Char"/>
    <w:basedOn w:val="DefaultParagraphFont"/>
    <w:link w:val="BodyText3"/>
    <w:semiHidden/>
    <w:rsid w:val="00F57862"/>
    <w:rPr>
      <w:rFonts w:ascii="Arial" w:eastAsia="Times New Roman" w:hAnsi="Arial" w:cs="Times New Roman"/>
      <w:sz w:val="16"/>
      <w:szCs w:val="16"/>
      <w:lang w:eastAsia="en-NZ"/>
    </w:rPr>
  </w:style>
  <w:style w:type="paragraph" w:styleId="Header">
    <w:name w:val="header"/>
    <w:basedOn w:val="Normal"/>
    <w:link w:val="HeaderChar"/>
    <w:uiPriority w:val="99"/>
    <w:unhideWhenUsed/>
    <w:rsid w:val="00BD7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BE6"/>
    <w:rPr>
      <w:rFonts w:ascii="Arial" w:hAnsi="Arial"/>
      <w:lang w:val="en-US"/>
    </w:rPr>
  </w:style>
  <w:style w:type="paragraph" w:styleId="Footer">
    <w:name w:val="footer"/>
    <w:basedOn w:val="Normal"/>
    <w:link w:val="FooterChar"/>
    <w:uiPriority w:val="99"/>
    <w:unhideWhenUsed/>
    <w:rsid w:val="00BD7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BE6"/>
    <w:rPr>
      <w:rFonts w:ascii="Arial" w:hAnsi="Arial"/>
      <w:lang w:val="en-US"/>
    </w:rPr>
  </w:style>
  <w:style w:type="paragraph" w:styleId="BalloonText">
    <w:name w:val="Balloon Text"/>
    <w:basedOn w:val="Normal"/>
    <w:link w:val="BalloonTextChar"/>
    <w:uiPriority w:val="99"/>
    <w:semiHidden/>
    <w:unhideWhenUsed/>
    <w:rsid w:val="00BD7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BE6"/>
    <w:rPr>
      <w:rFonts w:ascii="Segoe UI" w:hAnsi="Segoe UI" w:cs="Segoe UI"/>
      <w:sz w:val="18"/>
      <w:szCs w:val="18"/>
      <w:lang w:val="en-US"/>
    </w:rPr>
  </w:style>
  <w:style w:type="character" w:styleId="Hyperlink">
    <w:name w:val="Hyperlink"/>
    <w:basedOn w:val="DefaultParagraphFont"/>
    <w:uiPriority w:val="99"/>
    <w:unhideWhenUsed/>
    <w:rsid w:val="00C22EE8"/>
    <w:rPr>
      <w:color w:val="0563C1" w:themeColor="hyperlink"/>
      <w:u w:val="single"/>
    </w:rPr>
  </w:style>
  <w:style w:type="character" w:customStyle="1" w:styleId="UnresolvedMention1">
    <w:name w:val="Unresolved Mention1"/>
    <w:basedOn w:val="DefaultParagraphFont"/>
    <w:uiPriority w:val="99"/>
    <w:semiHidden/>
    <w:unhideWhenUsed/>
    <w:rsid w:val="00C22EE8"/>
    <w:rPr>
      <w:color w:val="605E5C"/>
      <w:shd w:val="clear" w:color="auto" w:fill="E1DFDD"/>
    </w:rPr>
  </w:style>
  <w:style w:type="character" w:customStyle="1" w:styleId="Heading3Char">
    <w:name w:val="Heading 3 Char"/>
    <w:basedOn w:val="DefaultParagraphFont"/>
    <w:link w:val="Heading3"/>
    <w:uiPriority w:val="9"/>
    <w:rsid w:val="00575A73"/>
    <w:rPr>
      <w:rFonts w:ascii="Arial" w:eastAsiaTheme="majorEastAsia" w:hAnsi="Arial" w:cstheme="majorBidi"/>
      <w:b/>
      <w:i/>
      <w:sz w:val="24"/>
      <w:szCs w:val="24"/>
      <w:lang w:eastAsia="en-GB"/>
    </w:rPr>
  </w:style>
  <w:style w:type="character" w:customStyle="1" w:styleId="Heading4Char">
    <w:name w:val="Heading 4 Char"/>
    <w:basedOn w:val="DefaultParagraphFont"/>
    <w:link w:val="Heading4"/>
    <w:uiPriority w:val="9"/>
    <w:semiHidden/>
    <w:rsid w:val="002420D3"/>
    <w:rPr>
      <w:rFonts w:asciiTheme="majorHAnsi" w:eastAsiaTheme="majorEastAsia" w:hAnsiTheme="majorHAnsi" w:cstheme="majorBidi"/>
      <w:i/>
      <w:iCs/>
      <w:color w:val="2F5496" w:themeColor="accent1" w:themeShade="BF"/>
      <w:szCs w:val="20"/>
      <w:lang w:eastAsia="en-GB"/>
    </w:rPr>
  </w:style>
  <w:style w:type="character" w:customStyle="1" w:styleId="TableTextChar">
    <w:name w:val="TableText Char"/>
    <w:link w:val="TableText"/>
    <w:locked/>
    <w:rsid w:val="002420D3"/>
    <w:rPr>
      <w:rFonts w:ascii="Arial" w:hAnsi="Arial" w:cs="Arial"/>
      <w:sz w:val="18"/>
      <w:lang w:eastAsia="en-GB"/>
    </w:rPr>
  </w:style>
  <w:style w:type="paragraph" w:customStyle="1" w:styleId="TableText">
    <w:name w:val="TableText"/>
    <w:basedOn w:val="Normal"/>
    <w:link w:val="TableTextChar"/>
    <w:qFormat/>
    <w:rsid w:val="002420D3"/>
    <w:pPr>
      <w:spacing w:before="60" w:after="60" w:line="240" w:lineRule="auto"/>
    </w:pPr>
    <w:rPr>
      <w:rFonts w:cs="Arial"/>
      <w:sz w:val="18"/>
      <w:lang w:val="en-NZ" w:eastAsia="en-GB"/>
    </w:rPr>
  </w:style>
  <w:style w:type="table" w:styleId="TableGrid">
    <w:name w:val="Table Grid"/>
    <w:basedOn w:val="TableNormal"/>
    <w:rsid w:val="002420D3"/>
    <w:pPr>
      <w:spacing w:after="0" w:line="264" w:lineRule="auto"/>
    </w:pPr>
    <w:rPr>
      <w:rFonts w:ascii="Times New Roman" w:eastAsia="Times New Roman" w:hAnsi="Times New Roman" w:cs="Times New Roman"/>
      <w:sz w:val="20"/>
      <w:szCs w:val="20"/>
      <w:lang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69BF"/>
    <w:rPr>
      <w:sz w:val="16"/>
      <w:szCs w:val="16"/>
    </w:rPr>
  </w:style>
  <w:style w:type="paragraph" w:styleId="CommentText">
    <w:name w:val="annotation text"/>
    <w:basedOn w:val="Normal"/>
    <w:link w:val="CommentTextChar"/>
    <w:uiPriority w:val="99"/>
    <w:unhideWhenUsed/>
    <w:rsid w:val="006D69BF"/>
    <w:pPr>
      <w:spacing w:line="240" w:lineRule="auto"/>
    </w:pPr>
    <w:rPr>
      <w:sz w:val="20"/>
      <w:szCs w:val="20"/>
    </w:rPr>
  </w:style>
  <w:style w:type="character" w:customStyle="1" w:styleId="CommentTextChar">
    <w:name w:val="Comment Text Char"/>
    <w:basedOn w:val="DefaultParagraphFont"/>
    <w:link w:val="CommentText"/>
    <w:uiPriority w:val="99"/>
    <w:rsid w:val="006D69BF"/>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6D69BF"/>
    <w:rPr>
      <w:b/>
      <w:bCs/>
    </w:rPr>
  </w:style>
  <w:style w:type="character" w:customStyle="1" w:styleId="CommentSubjectChar">
    <w:name w:val="Comment Subject Char"/>
    <w:basedOn w:val="CommentTextChar"/>
    <w:link w:val="CommentSubject"/>
    <w:uiPriority w:val="99"/>
    <w:semiHidden/>
    <w:rsid w:val="006D69BF"/>
    <w:rPr>
      <w:rFonts w:ascii="Arial" w:hAnsi="Arial"/>
      <w:b/>
      <w:bCs/>
      <w:sz w:val="20"/>
      <w:szCs w:val="20"/>
      <w:lang w:val="en-US"/>
    </w:rPr>
  </w:style>
  <w:style w:type="character" w:styleId="FollowedHyperlink">
    <w:name w:val="FollowedHyperlink"/>
    <w:basedOn w:val="DefaultParagraphFont"/>
    <w:uiPriority w:val="99"/>
    <w:semiHidden/>
    <w:unhideWhenUsed/>
    <w:rsid w:val="000A1F45"/>
    <w:rPr>
      <w:color w:val="954F72" w:themeColor="followedHyperlink"/>
      <w:u w:val="single"/>
    </w:rPr>
  </w:style>
  <w:style w:type="paragraph" w:styleId="Revision">
    <w:name w:val="Revision"/>
    <w:hidden/>
    <w:uiPriority w:val="99"/>
    <w:semiHidden/>
    <w:rsid w:val="00C2350C"/>
    <w:pPr>
      <w:spacing w:after="0" w:line="240" w:lineRule="auto"/>
    </w:pPr>
    <w:rPr>
      <w:rFonts w:ascii="Arial" w:hAnsi="Arial"/>
      <w:lang w:val="en-US"/>
    </w:rPr>
  </w:style>
  <w:style w:type="character" w:styleId="UnresolvedMention">
    <w:name w:val="Unresolved Mention"/>
    <w:basedOn w:val="DefaultParagraphFont"/>
    <w:uiPriority w:val="99"/>
    <w:semiHidden/>
    <w:unhideWhenUsed/>
    <w:rsid w:val="00D919B8"/>
    <w:rPr>
      <w:color w:val="605E5C"/>
      <w:shd w:val="clear" w:color="auto" w:fill="E1DFDD"/>
    </w:rPr>
  </w:style>
  <w:style w:type="paragraph" w:styleId="FootnoteText">
    <w:name w:val="footnote text"/>
    <w:basedOn w:val="Normal"/>
    <w:link w:val="FootnoteTextChar"/>
    <w:uiPriority w:val="99"/>
    <w:unhideWhenUsed/>
    <w:rsid w:val="005C6336"/>
    <w:pPr>
      <w:spacing w:after="0" w:line="240" w:lineRule="auto"/>
    </w:pPr>
    <w:rPr>
      <w:sz w:val="20"/>
      <w:szCs w:val="20"/>
    </w:rPr>
  </w:style>
  <w:style w:type="character" w:customStyle="1" w:styleId="FootnoteTextChar">
    <w:name w:val="Footnote Text Char"/>
    <w:basedOn w:val="DefaultParagraphFont"/>
    <w:link w:val="FootnoteText"/>
    <w:uiPriority w:val="99"/>
    <w:rsid w:val="005C6336"/>
    <w:rPr>
      <w:rFonts w:ascii="Arial" w:hAnsi="Arial"/>
      <w:sz w:val="20"/>
      <w:szCs w:val="20"/>
      <w:lang w:val="en-US"/>
    </w:rPr>
  </w:style>
  <w:style w:type="character" w:styleId="FootnoteReference">
    <w:name w:val="footnote reference"/>
    <w:basedOn w:val="DefaultParagraphFont"/>
    <w:uiPriority w:val="99"/>
    <w:semiHidden/>
    <w:unhideWhenUsed/>
    <w:rsid w:val="005C6336"/>
    <w:rPr>
      <w:vertAlign w:val="superscript"/>
    </w:rPr>
  </w:style>
  <w:style w:type="paragraph" w:customStyle="1" w:styleId="Footnote">
    <w:name w:val="Footnote"/>
    <w:basedOn w:val="FootnoteText"/>
    <w:link w:val="FootnoteChar"/>
    <w:qFormat/>
    <w:rsid w:val="00AA3C71"/>
    <w:pPr>
      <w:spacing w:before="60"/>
    </w:pPr>
    <w:rPr>
      <w:rFonts w:cs="Arial"/>
    </w:rPr>
  </w:style>
  <w:style w:type="character" w:customStyle="1" w:styleId="FootnoteChar">
    <w:name w:val="Footnote Char"/>
    <w:basedOn w:val="FootnoteTextChar"/>
    <w:link w:val="Footnote"/>
    <w:rsid w:val="00AA3C71"/>
    <w:rPr>
      <w:rFonts w:ascii="Arial" w:hAnsi="Arial" w:cs="Arial"/>
      <w:sz w:val="20"/>
      <w:szCs w:val="20"/>
      <w:lang w:val="en-US"/>
    </w:rPr>
  </w:style>
  <w:style w:type="paragraph" w:customStyle="1" w:styleId="Pa9">
    <w:name w:val="Pa9"/>
    <w:basedOn w:val="Normal"/>
    <w:next w:val="Normal"/>
    <w:uiPriority w:val="99"/>
    <w:rsid w:val="007F680F"/>
    <w:pPr>
      <w:autoSpaceDE w:val="0"/>
      <w:autoSpaceDN w:val="0"/>
      <w:adjustRightInd w:val="0"/>
      <w:spacing w:after="0" w:line="201" w:lineRule="atLeast"/>
    </w:pPr>
    <w:rPr>
      <w:rFonts w:ascii="Source Sans Pro Light" w:hAnsi="Source Sans Pro Light"/>
      <w:sz w:val="24"/>
      <w:szCs w:val="24"/>
      <w:lang w:val="en-NZ"/>
    </w:rPr>
  </w:style>
  <w:style w:type="character" w:customStyle="1" w:styleId="A14">
    <w:name w:val="A14"/>
    <w:uiPriority w:val="99"/>
    <w:rsid w:val="0016564F"/>
    <w:rPr>
      <w:rFonts w:cs="Source Sans Pro Light"/>
      <w:color w:val="000000"/>
      <w:sz w:val="11"/>
      <w:szCs w:val="11"/>
    </w:rPr>
  </w:style>
  <w:style w:type="paragraph" w:styleId="TOCHeading">
    <w:name w:val="TOC Heading"/>
    <w:basedOn w:val="Heading1"/>
    <w:next w:val="Normal"/>
    <w:uiPriority w:val="39"/>
    <w:unhideWhenUsed/>
    <w:qFormat/>
    <w:rsid w:val="001E11F5"/>
    <w:pPr>
      <w:spacing w:after="0"/>
      <w:outlineLvl w:val="9"/>
    </w:pPr>
    <w:rPr>
      <w:rFonts w:asciiTheme="majorHAnsi" w:hAnsiTheme="majorHAnsi" w:cstheme="majorBidi"/>
      <w:b w:val="0"/>
      <w:color w:val="2F5496" w:themeColor="accent1" w:themeShade="BF"/>
    </w:rPr>
  </w:style>
  <w:style w:type="paragraph" w:styleId="TOC1">
    <w:name w:val="toc 1"/>
    <w:basedOn w:val="Normal"/>
    <w:next w:val="Normal"/>
    <w:autoRedefine/>
    <w:uiPriority w:val="39"/>
    <w:unhideWhenUsed/>
    <w:rsid w:val="001E11F5"/>
    <w:pPr>
      <w:spacing w:after="100"/>
    </w:pPr>
  </w:style>
  <w:style w:type="paragraph" w:styleId="TOC2">
    <w:name w:val="toc 2"/>
    <w:basedOn w:val="Normal"/>
    <w:next w:val="Normal"/>
    <w:autoRedefine/>
    <w:uiPriority w:val="39"/>
    <w:unhideWhenUsed/>
    <w:rsid w:val="001E11F5"/>
    <w:pPr>
      <w:spacing w:after="100"/>
      <w:ind w:left="220"/>
    </w:pPr>
  </w:style>
  <w:style w:type="paragraph" w:customStyle="1" w:styleId="Default">
    <w:name w:val="Default"/>
    <w:rsid w:val="009F784A"/>
    <w:pPr>
      <w:autoSpaceDE w:val="0"/>
      <w:autoSpaceDN w:val="0"/>
      <w:adjustRightInd w:val="0"/>
      <w:spacing w:after="0" w:line="240" w:lineRule="auto"/>
    </w:pPr>
    <w:rPr>
      <w:rFonts w:ascii="Calibri" w:hAnsi="Calibri" w:cs="Calibri"/>
      <w:color w:val="000000"/>
      <w:sz w:val="24"/>
      <w:szCs w:val="24"/>
    </w:rPr>
  </w:style>
  <w:style w:type="paragraph" w:styleId="TOC3">
    <w:name w:val="toc 3"/>
    <w:basedOn w:val="Normal"/>
    <w:next w:val="Normal"/>
    <w:autoRedefine/>
    <w:uiPriority w:val="39"/>
    <w:unhideWhenUsed/>
    <w:rsid w:val="00F920AE"/>
    <w:pPr>
      <w:tabs>
        <w:tab w:val="left" w:pos="880"/>
        <w:tab w:val="right" w:leader="dot" w:pos="9346"/>
      </w:tabs>
      <w:spacing w:after="100"/>
      <w:ind w:left="851" w:hanging="4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54308">
      <w:bodyDiv w:val="1"/>
      <w:marLeft w:val="0"/>
      <w:marRight w:val="0"/>
      <w:marTop w:val="0"/>
      <w:marBottom w:val="0"/>
      <w:divBdr>
        <w:top w:val="none" w:sz="0" w:space="0" w:color="auto"/>
        <w:left w:val="none" w:sz="0" w:space="0" w:color="auto"/>
        <w:bottom w:val="none" w:sz="0" w:space="0" w:color="auto"/>
        <w:right w:val="none" w:sz="0" w:space="0" w:color="auto"/>
      </w:divBdr>
      <w:divsChild>
        <w:div w:id="309749751">
          <w:marLeft w:val="1440"/>
          <w:marRight w:val="0"/>
          <w:marTop w:val="100"/>
          <w:marBottom w:val="0"/>
          <w:divBdr>
            <w:top w:val="none" w:sz="0" w:space="0" w:color="auto"/>
            <w:left w:val="none" w:sz="0" w:space="0" w:color="auto"/>
            <w:bottom w:val="none" w:sz="0" w:space="0" w:color="auto"/>
            <w:right w:val="none" w:sz="0" w:space="0" w:color="auto"/>
          </w:divBdr>
        </w:div>
        <w:div w:id="364215425">
          <w:marLeft w:val="1440"/>
          <w:marRight w:val="0"/>
          <w:marTop w:val="100"/>
          <w:marBottom w:val="0"/>
          <w:divBdr>
            <w:top w:val="none" w:sz="0" w:space="0" w:color="auto"/>
            <w:left w:val="none" w:sz="0" w:space="0" w:color="auto"/>
            <w:bottom w:val="none" w:sz="0" w:space="0" w:color="auto"/>
            <w:right w:val="none" w:sz="0" w:space="0" w:color="auto"/>
          </w:divBdr>
        </w:div>
      </w:divsChild>
    </w:div>
    <w:div w:id="196507329">
      <w:bodyDiv w:val="1"/>
      <w:marLeft w:val="0"/>
      <w:marRight w:val="0"/>
      <w:marTop w:val="0"/>
      <w:marBottom w:val="0"/>
      <w:divBdr>
        <w:top w:val="none" w:sz="0" w:space="0" w:color="auto"/>
        <w:left w:val="none" w:sz="0" w:space="0" w:color="auto"/>
        <w:bottom w:val="none" w:sz="0" w:space="0" w:color="auto"/>
        <w:right w:val="none" w:sz="0" w:space="0" w:color="auto"/>
      </w:divBdr>
      <w:divsChild>
        <w:div w:id="1066294269">
          <w:marLeft w:val="547"/>
          <w:marRight w:val="0"/>
          <w:marTop w:val="0"/>
          <w:marBottom w:val="0"/>
          <w:divBdr>
            <w:top w:val="none" w:sz="0" w:space="0" w:color="auto"/>
            <w:left w:val="none" w:sz="0" w:space="0" w:color="auto"/>
            <w:bottom w:val="none" w:sz="0" w:space="0" w:color="auto"/>
            <w:right w:val="none" w:sz="0" w:space="0" w:color="auto"/>
          </w:divBdr>
        </w:div>
      </w:divsChild>
    </w:div>
    <w:div w:id="1066800443">
      <w:bodyDiv w:val="1"/>
      <w:marLeft w:val="0"/>
      <w:marRight w:val="0"/>
      <w:marTop w:val="0"/>
      <w:marBottom w:val="0"/>
      <w:divBdr>
        <w:top w:val="none" w:sz="0" w:space="0" w:color="auto"/>
        <w:left w:val="none" w:sz="0" w:space="0" w:color="auto"/>
        <w:bottom w:val="none" w:sz="0" w:space="0" w:color="auto"/>
        <w:right w:val="none" w:sz="0" w:space="0" w:color="auto"/>
      </w:divBdr>
      <w:divsChild>
        <w:div w:id="1083912794">
          <w:marLeft w:val="360"/>
          <w:marRight w:val="0"/>
          <w:marTop w:val="200"/>
          <w:marBottom w:val="0"/>
          <w:divBdr>
            <w:top w:val="none" w:sz="0" w:space="0" w:color="auto"/>
            <w:left w:val="none" w:sz="0" w:space="0" w:color="auto"/>
            <w:bottom w:val="none" w:sz="0" w:space="0" w:color="auto"/>
            <w:right w:val="none" w:sz="0" w:space="0" w:color="auto"/>
          </w:divBdr>
        </w:div>
      </w:divsChild>
    </w:div>
    <w:div w:id="1859349594">
      <w:bodyDiv w:val="1"/>
      <w:marLeft w:val="0"/>
      <w:marRight w:val="0"/>
      <w:marTop w:val="0"/>
      <w:marBottom w:val="0"/>
      <w:divBdr>
        <w:top w:val="none" w:sz="0" w:space="0" w:color="auto"/>
        <w:left w:val="none" w:sz="0" w:space="0" w:color="auto"/>
        <w:bottom w:val="none" w:sz="0" w:space="0" w:color="auto"/>
        <w:right w:val="none" w:sz="0" w:space="0" w:color="auto"/>
      </w:divBdr>
      <w:divsChild>
        <w:div w:id="810025476">
          <w:marLeft w:val="0"/>
          <w:marRight w:val="0"/>
          <w:marTop w:val="0"/>
          <w:marBottom w:val="0"/>
          <w:divBdr>
            <w:top w:val="none" w:sz="0" w:space="0" w:color="auto"/>
            <w:left w:val="none" w:sz="0" w:space="0" w:color="auto"/>
            <w:bottom w:val="none" w:sz="0" w:space="0" w:color="auto"/>
            <w:right w:val="none" w:sz="0" w:space="0" w:color="auto"/>
          </w:divBdr>
          <w:divsChild>
            <w:div w:id="1947157757">
              <w:marLeft w:val="0"/>
              <w:marRight w:val="0"/>
              <w:marTop w:val="0"/>
              <w:marBottom w:val="0"/>
              <w:divBdr>
                <w:top w:val="none" w:sz="0" w:space="0" w:color="auto"/>
                <w:left w:val="none" w:sz="0" w:space="0" w:color="auto"/>
                <w:bottom w:val="none" w:sz="0" w:space="0" w:color="auto"/>
                <w:right w:val="none" w:sz="0" w:space="0" w:color="auto"/>
              </w:divBdr>
              <w:divsChild>
                <w:div w:id="948505877">
                  <w:marLeft w:val="-225"/>
                  <w:marRight w:val="-225"/>
                  <w:marTop w:val="0"/>
                  <w:marBottom w:val="0"/>
                  <w:divBdr>
                    <w:top w:val="none" w:sz="0" w:space="0" w:color="auto"/>
                    <w:left w:val="none" w:sz="0" w:space="0" w:color="auto"/>
                    <w:bottom w:val="none" w:sz="0" w:space="0" w:color="auto"/>
                    <w:right w:val="none" w:sz="0" w:space="0" w:color="auto"/>
                  </w:divBdr>
                  <w:divsChild>
                    <w:div w:id="1384402410">
                      <w:marLeft w:val="0"/>
                      <w:marRight w:val="0"/>
                      <w:marTop w:val="0"/>
                      <w:marBottom w:val="0"/>
                      <w:divBdr>
                        <w:top w:val="none" w:sz="0" w:space="0" w:color="auto"/>
                        <w:left w:val="none" w:sz="0" w:space="0" w:color="auto"/>
                        <w:bottom w:val="none" w:sz="0" w:space="0" w:color="auto"/>
                        <w:right w:val="none" w:sz="0" w:space="0" w:color="auto"/>
                      </w:divBdr>
                      <w:divsChild>
                        <w:div w:id="17553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carpenter@mhwc.govt.nz" TargetMode="External"/><Relationship Id="rId18" Type="http://schemas.openxmlformats.org/officeDocument/2006/relationships/diagramQuickStyle" Target="diagrams/quickStyle1.xml"/><Relationship Id="rId26" Type="http://schemas.openxmlformats.org/officeDocument/2006/relationships/hyperlink" Target="https://nsfl.health.govt.nz/service-specifications/current-service-specifications/mental-health-and-addiction-service" TargetMode="External"/><Relationship Id="rId3" Type="http://schemas.openxmlformats.org/officeDocument/2006/relationships/customXml" Target="../customXml/item3.xml"/><Relationship Id="rId21" Type="http://schemas.openxmlformats.org/officeDocument/2006/relationships/diagramData" Target="diagrams/data2.xml"/><Relationship Id="rId7" Type="http://schemas.openxmlformats.org/officeDocument/2006/relationships/settings" Target="settings.xml"/><Relationship Id="rId12" Type="http://schemas.openxmlformats.org/officeDocument/2006/relationships/hyperlink" Target="https://www.hdc.org.nz/media/5437/mental-health-and-addiction-services-monitoring-and-advocacy-framework.pdf"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hgovtnz-my.sharepoint.com/personal/jane_carpenter_health_govt_nz/Documents/Desktop/FINAL_He_Ara_Awhina_Monitoring_Framework_Co-Define_Paper%209-11-20.docx" TargetMode="External"/><Relationship Id="rId24" Type="http://schemas.openxmlformats.org/officeDocument/2006/relationships/diagramColors" Target="diagrams/colors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rveymonkey.com/r/R3ZJXB3" TargetMode="External"/><Relationship Id="rId23" Type="http://schemas.openxmlformats.org/officeDocument/2006/relationships/diagramQuickStyle" Target="diagrams/quickStyle2.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aora@mhwc.govt.nz" TargetMode="External"/><Relationship Id="rId22" Type="http://schemas.openxmlformats.org/officeDocument/2006/relationships/diagramLayout" Target="diagrams/layout2.xml"/><Relationship Id="rId27" Type="http://schemas.openxmlformats.org/officeDocument/2006/relationships/header" Target="header1.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mhwc.govt.nz/assets/Outcomes-framework/Conceptual-framework-August-2020.pdf" TargetMode="External"/><Relationship Id="rId7" Type="http://schemas.openxmlformats.org/officeDocument/2006/relationships/hyperlink" Target="https://www.hdc.org.nz/news-resources/search-resources/mental-health/mental-health-commissioners-monitoring-and-advocacy-report-2018/" TargetMode="External"/><Relationship Id="rId2" Type="http://schemas.openxmlformats.org/officeDocument/2006/relationships/hyperlink" Target="https://www.mhwc.govt.nz/about-us/terms-of-reference/" TargetMode="External"/><Relationship Id="rId1" Type="http://schemas.openxmlformats.org/officeDocument/2006/relationships/hyperlink" Target="https://mentalhealth.inquiry.govt.nz/inquiry-report/he-ara-oranga/" TargetMode="External"/><Relationship Id="rId6" Type="http://schemas.openxmlformats.org/officeDocument/2006/relationships/hyperlink" Target="https://www.hdc.org.nz/news-resources/search-resources/mental-health/mental-health-commissioners-monitoring-indicator-update-2019/" TargetMode="External"/><Relationship Id="rId5" Type="http://schemas.openxmlformats.org/officeDocument/2006/relationships/hyperlink" Target="https://www.hdc.org.nz/news-resources/search-resources/mental-health/monitoring-and-advocacy-report-of-the-mental-health-commissioner-2020/" TargetMode="External"/><Relationship Id="rId4" Type="http://schemas.openxmlformats.org/officeDocument/2006/relationships/hyperlink" Target="https://www.hdc.org.nz/media/5437/mental-health-and-addiction-services-monitoring-and-advocacy-framework.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9B204C-085B-48B4-B98F-723480E12621}" type="doc">
      <dgm:prSet loTypeId="urn:microsoft.com/office/officeart/2005/8/layout/chevronAccent+Icon" loCatId="process" qsTypeId="urn:microsoft.com/office/officeart/2005/8/quickstyle/simple1" qsCatId="simple" csTypeId="urn:microsoft.com/office/officeart/2005/8/colors/accent1_2" csCatId="accent1" phldr="1"/>
      <dgm:spPr/>
      <dgm:t>
        <a:bodyPr/>
        <a:lstStyle/>
        <a:p>
          <a:endParaRPr lang="en-NZ"/>
        </a:p>
      </dgm:t>
    </dgm:pt>
    <dgm:pt modelId="{3A00BAC2-D1EF-4D56-B884-84F125C69053}">
      <dgm:prSet phldrT="[Text]" custT="1"/>
      <dgm:spPr/>
      <dgm:t>
        <a:bodyPr/>
        <a:lstStyle/>
        <a:p>
          <a:r>
            <a:rPr lang="en-NZ" sz="1000" dirty="0">
              <a:latin typeface="Arial Narrow" panose="020B0606020202030204" pitchFamily="34" charset="0"/>
            </a:rPr>
            <a:t>Start-up </a:t>
          </a:r>
        </a:p>
        <a:p>
          <a:r>
            <a:rPr lang="en-NZ" sz="1000" dirty="0">
              <a:latin typeface="Arial Narrow" panose="020B0606020202030204" pitchFamily="34" charset="0"/>
            </a:rPr>
            <a:t>(Feb - March 2020)</a:t>
          </a:r>
        </a:p>
      </dgm:t>
    </dgm:pt>
    <dgm:pt modelId="{DE4BE63F-6912-4DB9-8601-8798D39BC01D}" type="parTrans" cxnId="{2446EFE6-4331-499C-B26C-B38BB1733F71}">
      <dgm:prSet/>
      <dgm:spPr/>
      <dgm:t>
        <a:bodyPr/>
        <a:lstStyle/>
        <a:p>
          <a:endParaRPr lang="en-NZ" sz="1000">
            <a:latin typeface="Arial Narrow" panose="020B0606020202030204" pitchFamily="34" charset="0"/>
          </a:endParaRPr>
        </a:p>
      </dgm:t>
    </dgm:pt>
    <dgm:pt modelId="{F6D3DCFC-F0AA-4CA7-BE75-692741D94D6F}" type="sibTrans" cxnId="{2446EFE6-4331-499C-B26C-B38BB1733F71}">
      <dgm:prSet/>
      <dgm:spPr/>
      <dgm:t>
        <a:bodyPr/>
        <a:lstStyle/>
        <a:p>
          <a:endParaRPr lang="en-NZ" sz="1000">
            <a:latin typeface="Arial Narrow" panose="020B0606020202030204" pitchFamily="34" charset="0"/>
          </a:endParaRPr>
        </a:p>
      </dgm:t>
    </dgm:pt>
    <dgm:pt modelId="{2288006B-79A1-4612-8D67-0902DF8B1CAE}">
      <dgm:prSet phldrT="[Text]" custT="1"/>
      <dgm:spPr>
        <a:solidFill>
          <a:schemeClr val="bg1">
            <a:alpha val="90000"/>
          </a:schemeClr>
        </a:solidFill>
      </dgm:spPr>
      <dgm:t>
        <a:bodyPr/>
        <a:lstStyle/>
        <a:p>
          <a:r>
            <a:rPr lang="en-NZ" sz="1000" dirty="0">
              <a:latin typeface="Arial Narrow" panose="020B0606020202030204" pitchFamily="34" charset="0"/>
            </a:rPr>
            <a:t>Co-define phase </a:t>
          </a:r>
        </a:p>
        <a:p>
          <a:r>
            <a:rPr lang="en-NZ" sz="1000" dirty="0">
              <a:latin typeface="Arial Narrow" panose="020B0606020202030204" pitchFamily="34" charset="0"/>
            </a:rPr>
            <a:t>(April - May 2020)</a:t>
          </a:r>
        </a:p>
      </dgm:t>
    </dgm:pt>
    <dgm:pt modelId="{DB90D825-D656-40F7-89DE-276F5F9F7179}" type="parTrans" cxnId="{C0AB6A1F-33F0-45B8-B001-34C30F0C2850}">
      <dgm:prSet/>
      <dgm:spPr/>
      <dgm:t>
        <a:bodyPr/>
        <a:lstStyle/>
        <a:p>
          <a:endParaRPr lang="en-NZ" sz="1000">
            <a:latin typeface="Arial Narrow" panose="020B0606020202030204" pitchFamily="34" charset="0"/>
          </a:endParaRPr>
        </a:p>
      </dgm:t>
    </dgm:pt>
    <dgm:pt modelId="{3AF3D404-5C1D-4418-9FD2-BD2CC96F1F62}" type="sibTrans" cxnId="{C0AB6A1F-33F0-45B8-B001-34C30F0C2850}">
      <dgm:prSet/>
      <dgm:spPr/>
      <dgm:t>
        <a:bodyPr/>
        <a:lstStyle/>
        <a:p>
          <a:endParaRPr lang="en-NZ" sz="1000">
            <a:latin typeface="Arial Narrow" panose="020B0606020202030204" pitchFamily="34" charset="0"/>
          </a:endParaRPr>
        </a:p>
      </dgm:t>
    </dgm:pt>
    <dgm:pt modelId="{9025E7C4-EB27-463A-98AB-F8EE3BA84709}">
      <dgm:prSet phldrT="[Text]" custT="1"/>
      <dgm:spPr/>
      <dgm:t>
        <a:bodyPr/>
        <a:lstStyle/>
        <a:p>
          <a:r>
            <a:rPr lang="en-NZ" sz="1000" dirty="0">
              <a:latin typeface="Arial Narrow" panose="020B0606020202030204" pitchFamily="34" charset="0"/>
            </a:rPr>
            <a:t>Conceptual framework</a:t>
          </a:r>
        </a:p>
        <a:p>
          <a:r>
            <a:rPr lang="en-NZ" sz="1000" dirty="0">
              <a:latin typeface="Arial Narrow" panose="020B0606020202030204" pitchFamily="34" charset="0"/>
            </a:rPr>
            <a:t>(June - Sep 2020)</a:t>
          </a:r>
        </a:p>
      </dgm:t>
    </dgm:pt>
    <dgm:pt modelId="{B71A5344-8BE2-458E-96E8-AAA35C5EC428}" type="parTrans" cxnId="{51529F34-A76F-432C-A5C2-E51EA2641AD2}">
      <dgm:prSet/>
      <dgm:spPr/>
      <dgm:t>
        <a:bodyPr/>
        <a:lstStyle/>
        <a:p>
          <a:endParaRPr lang="en-NZ" sz="1000">
            <a:latin typeface="Arial Narrow" panose="020B0606020202030204" pitchFamily="34" charset="0"/>
          </a:endParaRPr>
        </a:p>
      </dgm:t>
    </dgm:pt>
    <dgm:pt modelId="{C5256566-B4D9-413D-A674-01F8C7DCE8BD}" type="sibTrans" cxnId="{51529F34-A76F-432C-A5C2-E51EA2641AD2}">
      <dgm:prSet/>
      <dgm:spPr/>
      <dgm:t>
        <a:bodyPr/>
        <a:lstStyle/>
        <a:p>
          <a:endParaRPr lang="en-NZ" sz="1000">
            <a:latin typeface="Arial Narrow" panose="020B0606020202030204" pitchFamily="34" charset="0"/>
          </a:endParaRPr>
        </a:p>
      </dgm:t>
    </dgm:pt>
    <dgm:pt modelId="{64FFB729-D1BC-4B33-B6D4-1E52439030D2}">
      <dgm:prSet custT="1"/>
      <dgm:spPr/>
      <dgm:t>
        <a:bodyPr/>
        <a:lstStyle/>
        <a:p>
          <a:r>
            <a:rPr lang="en-NZ" sz="1000" dirty="0">
              <a:latin typeface="Arial Narrow" panose="020B0606020202030204" pitchFamily="34" charset="0"/>
            </a:rPr>
            <a:t>Data phase</a:t>
          </a:r>
        </a:p>
        <a:p>
          <a:r>
            <a:rPr lang="en-NZ" sz="1000" dirty="0">
              <a:latin typeface="Arial Narrow" panose="020B0606020202030204" pitchFamily="34" charset="0"/>
            </a:rPr>
            <a:t>(Sep - Dec 2020)</a:t>
          </a:r>
        </a:p>
      </dgm:t>
    </dgm:pt>
    <dgm:pt modelId="{4F6AB396-0296-4A0A-9A42-D0453284DADF}" type="parTrans" cxnId="{6F222DA8-F040-4CB8-B8B8-1A34C1702FE7}">
      <dgm:prSet/>
      <dgm:spPr/>
      <dgm:t>
        <a:bodyPr/>
        <a:lstStyle/>
        <a:p>
          <a:endParaRPr lang="en-NZ" sz="1000">
            <a:latin typeface="Arial Narrow" panose="020B0606020202030204" pitchFamily="34" charset="0"/>
          </a:endParaRPr>
        </a:p>
      </dgm:t>
    </dgm:pt>
    <dgm:pt modelId="{B9305DA6-9079-4FCB-96BF-E8CBA19F25CB}" type="sibTrans" cxnId="{6F222DA8-F040-4CB8-B8B8-1A34C1702FE7}">
      <dgm:prSet/>
      <dgm:spPr/>
      <dgm:t>
        <a:bodyPr/>
        <a:lstStyle/>
        <a:p>
          <a:endParaRPr lang="en-NZ" sz="1000">
            <a:latin typeface="Arial Narrow" panose="020B0606020202030204" pitchFamily="34" charset="0"/>
          </a:endParaRPr>
        </a:p>
      </dgm:t>
    </dgm:pt>
    <dgm:pt modelId="{1A485D97-6BC5-41DB-9F37-CB63EC54A6E1}">
      <dgm:prSet custT="1"/>
      <dgm:spPr/>
      <dgm:t>
        <a:bodyPr/>
        <a:lstStyle/>
        <a:p>
          <a:r>
            <a:rPr lang="en-NZ" sz="1000" dirty="0">
              <a:latin typeface="Arial Narrow" panose="020B0606020202030204" pitchFamily="34" charset="0"/>
            </a:rPr>
            <a:t>Handover 2021 version  to permanent Commission and support implementation </a:t>
          </a:r>
        </a:p>
        <a:p>
          <a:r>
            <a:rPr lang="en-NZ" sz="1000" dirty="0">
              <a:latin typeface="Arial Narrow" panose="020B0606020202030204" pitchFamily="34" charset="0"/>
            </a:rPr>
            <a:t>(Feb 2021 onvwards)</a:t>
          </a:r>
        </a:p>
      </dgm:t>
    </dgm:pt>
    <dgm:pt modelId="{C8EEE586-99FF-4AB6-AB53-7BB95002D18E}" type="parTrans" cxnId="{9E979A21-2F7A-4DDE-8E16-E50899E25F3B}">
      <dgm:prSet/>
      <dgm:spPr/>
      <dgm:t>
        <a:bodyPr/>
        <a:lstStyle/>
        <a:p>
          <a:endParaRPr lang="en-NZ" sz="1000">
            <a:latin typeface="Arial Narrow" panose="020B0606020202030204" pitchFamily="34" charset="0"/>
          </a:endParaRPr>
        </a:p>
      </dgm:t>
    </dgm:pt>
    <dgm:pt modelId="{3D6A89DE-DA29-4AC0-B6CB-D3D232155751}" type="sibTrans" cxnId="{9E979A21-2F7A-4DDE-8E16-E50899E25F3B}">
      <dgm:prSet/>
      <dgm:spPr/>
      <dgm:t>
        <a:bodyPr/>
        <a:lstStyle/>
        <a:p>
          <a:endParaRPr lang="en-NZ" sz="1000">
            <a:latin typeface="Arial Narrow" panose="020B0606020202030204" pitchFamily="34" charset="0"/>
          </a:endParaRPr>
        </a:p>
      </dgm:t>
    </dgm:pt>
    <dgm:pt modelId="{A9BB7389-D5F3-44D6-9D0F-CCA88484AA39}" type="pres">
      <dgm:prSet presAssocID="{329B204C-085B-48B4-B98F-723480E12621}" presName="Name0" presStyleCnt="0">
        <dgm:presLayoutVars>
          <dgm:dir/>
          <dgm:resizeHandles val="exact"/>
        </dgm:presLayoutVars>
      </dgm:prSet>
      <dgm:spPr/>
    </dgm:pt>
    <dgm:pt modelId="{CA2865F4-72F1-46E0-B107-D2ED4F1A7BA0}" type="pres">
      <dgm:prSet presAssocID="{3A00BAC2-D1EF-4D56-B884-84F125C69053}" presName="composite" presStyleCnt="0"/>
      <dgm:spPr/>
    </dgm:pt>
    <dgm:pt modelId="{ED9B2563-2917-43DA-9171-65D718AAC546}" type="pres">
      <dgm:prSet presAssocID="{3A00BAC2-D1EF-4D56-B884-84F125C69053}" presName="bgChev" presStyleLbl="node1" presStyleIdx="0" presStyleCnt="5"/>
      <dgm:spPr/>
    </dgm:pt>
    <dgm:pt modelId="{E3141E0E-EE0E-4C28-993B-5D30EDC401A0}" type="pres">
      <dgm:prSet presAssocID="{3A00BAC2-D1EF-4D56-B884-84F125C69053}" presName="txNode" presStyleLbl="fgAcc1" presStyleIdx="0" presStyleCnt="5" custScaleX="113198" custScaleY="294724">
        <dgm:presLayoutVars>
          <dgm:bulletEnabled val="1"/>
        </dgm:presLayoutVars>
      </dgm:prSet>
      <dgm:spPr/>
    </dgm:pt>
    <dgm:pt modelId="{0309F406-492E-4B78-9330-59973A074B84}" type="pres">
      <dgm:prSet presAssocID="{F6D3DCFC-F0AA-4CA7-BE75-692741D94D6F}" presName="compositeSpace" presStyleCnt="0"/>
      <dgm:spPr/>
    </dgm:pt>
    <dgm:pt modelId="{9E5D0FD4-2925-4687-B798-ADE9B7BD1B1B}" type="pres">
      <dgm:prSet presAssocID="{2288006B-79A1-4612-8D67-0902DF8B1CAE}" presName="composite" presStyleCnt="0"/>
      <dgm:spPr/>
    </dgm:pt>
    <dgm:pt modelId="{646170AF-2C7F-4AB7-907D-6E5703E86173}" type="pres">
      <dgm:prSet presAssocID="{2288006B-79A1-4612-8D67-0902DF8B1CAE}" presName="bgChev" presStyleLbl="node1" presStyleIdx="1" presStyleCnt="5"/>
      <dgm:spPr/>
    </dgm:pt>
    <dgm:pt modelId="{F838343E-09DE-44F1-8DDD-500760E7DC5C}" type="pres">
      <dgm:prSet presAssocID="{2288006B-79A1-4612-8D67-0902DF8B1CAE}" presName="txNode" presStyleLbl="fgAcc1" presStyleIdx="1" presStyleCnt="5" custScaleX="107372" custScaleY="288355">
        <dgm:presLayoutVars>
          <dgm:bulletEnabled val="1"/>
        </dgm:presLayoutVars>
      </dgm:prSet>
      <dgm:spPr/>
    </dgm:pt>
    <dgm:pt modelId="{670029C2-18C9-42F0-9B64-91A998368CC6}" type="pres">
      <dgm:prSet presAssocID="{3AF3D404-5C1D-4418-9FD2-BD2CC96F1F62}" presName="compositeSpace" presStyleCnt="0"/>
      <dgm:spPr/>
    </dgm:pt>
    <dgm:pt modelId="{C4B3D195-8D2D-4368-B907-BD4ECD6D9B87}" type="pres">
      <dgm:prSet presAssocID="{9025E7C4-EB27-463A-98AB-F8EE3BA84709}" presName="composite" presStyleCnt="0"/>
      <dgm:spPr/>
    </dgm:pt>
    <dgm:pt modelId="{FA9CF9C4-87BE-40AA-A870-181A9277AB21}" type="pres">
      <dgm:prSet presAssocID="{9025E7C4-EB27-463A-98AB-F8EE3BA84709}" presName="bgChev" presStyleLbl="node1" presStyleIdx="2" presStyleCnt="5"/>
      <dgm:spPr/>
    </dgm:pt>
    <dgm:pt modelId="{14EADB53-48DA-4077-BCD7-8D93CAB728CE}" type="pres">
      <dgm:prSet presAssocID="{9025E7C4-EB27-463A-98AB-F8EE3BA84709}" presName="txNode" presStyleLbl="fgAcc1" presStyleIdx="2" presStyleCnt="5" custScaleX="103107" custScaleY="288324">
        <dgm:presLayoutVars>
          <dgm:bulletEnabled val="1"/>
        </dgm:presLayoutVars>
      </dgm:prSet>
      <dgm:spPr/>
    </dgm:pt>
    <dgm:pt modelId="{DD8A6286-41DE-4AC2-982B-0ABD902EF717}" type="pres">
      <dgm:prSet presAssocID="{C5256566-B4D9-413D-A674-01F8C7DCE8BD}" presName="compositeSpace" presStyleCnt="0"/>
      <dgm:spPr/>
    </dgm:pt>
    <dgm:pt modelId="{22AB2258-8FD2-4B7D-9462-3B9A6EFFBB25}" type="pres">
      <dgm:prSet presAssocID="{64FFB729-D1BC-4B33-B6D4-1E52439030D2}" presName="composite" presStyleCnt="0"/>
      <dgm:spPr/>
    </dgm:pt>
    <dgm:pt modelId="{4B361646-7741-4B46-922C-4BCAE665B4F1}" type="pres">
      <dgm:prSet presAssocID="{64FFB729-D1BC-4B33-B6D4-1E52439030D2}" presName="bgChev" presStyleLbl="node1" presStyleIdx="3" presStyleCnt="5"/>
      <dgm:spPr/>
    </dgm:pt>
    <dgm:pt modelId="{2EF3EAE5-6D71-4608-9F53-6BD98C7ACBCE}" type="pres">
      <dgm:prSet presAssocID="{64FFB729-D1BC-4B33-B6D4-1E52439030D2}" presName="txNode" presStyleLbl="fgAcc1" presStyleIdx="3" presStyleCnt="5" custScaleX="105241" custScaleY="288355">
        <dgm:presLayoutVars>
          <dgm:bulletEnabled val="1"/>
        </dgm:presLayoutVars>
      </dgm:prSet>
      <dgm:spPr/>
    </dgm:pt>
    <dgm:pt modelId="{916244EE-D41B-4140-899C-3CD3CB93563D}" type="pres">
      <dgm:prSet presAssocID="{B9305DA6-9079-4FCB-96BF-E8CBA19F25CB}" presName="compositeSpace" presStyleCnt="0"/>
      <dgm:spPr/>
    </dgm:pt>
    <dgm:pt modelId="{1AB8B739-85F9-4941-A42C-0A5B996C099F}" type="pres">
      <dgm:prSet presAssocID="{1A485D97-6BC5-41DB-9F37-CB63EC54A6E1}" presName="composite" presStyleCnt="0"/>
      <dgm:spPr/>
    </dgm:pt>
    <dgm:pt modelId="{4220A7B9-34CC-409A-A25F-9BCC320734FF}" type="pres">
      <dgm:prSet presAssocID="{1A485D97-6BC5-41DB-9F37-CB63EC54A6E1}" presName="bgChev" presStyleLbl="node1" presStyleIdx="4" presStyleCnt="5"/>
      <dgm:spPr/>
    </dgm:pt>
    <dgm:pt modelId="{0A51E094-1FAB-4ADC-B299-AB6E9B29FBE9}" type="pres">
      <dgm:prSet presAssocID="{1A485D97-6BC5-41DB-9F37-CB63EC54A6E1}" presName="txNode" presStyleLbl="fgAcc1" presStyleIdx="4" presStyleCnt="5" custScaleX="128009" custScaleY="288355">
        <dgm:presLayoutVars>
          <dgm:bulletEnabled val="1"/>
        </dgm:presLayoutVars>
      </dgm:prSet>
      <dgm:spPr/>
    </dgm:pt>
  </dgm:ptLst>
  <dgm:cxnLst>
    <dgm:cxn modelId="{C0AB6A1F-33F0-45B8-B001-34C30F0C2850}" srcId="{329B204C-085B-48B4-B98F-723480E12621}" destId="{2288006B-79A1-4612-8D67-0902DF8B1CAE}" srcOrd="1" destOrd="0" parTransId="{DB90D825-D656-40F7-89DE-276F5F9F7179}" sibTransId="{3AF3D404-5C1D-4418-9FD2-BD2CC96F1F62}"/>
    <dgm:cxn modelId="{9E979A21-2F7A-4DDE-8E16-E50899E25F3B}" srcId="{329B204C-085B-48B4-B98F-723480E12621}" destId="{1A485D97-6BC5-41DB-9F37-CB63EC54A6E1}" srcOrd="4" destOrd="0" parTransId="{C8EEE586-99FF-4AB6-AB53-7BB95002D18E}" sibTransId="{3D6A89DE-DA29-4AC0-B6CB-D3D232155751}"/>
    <dgm:cxn modelId="{CAF42524-A4F6-4259-A607-09A05A792AAC}" type="presOf" srcId="{329B204C-085B-48B4-B98F-723480E12621}" destId="{A9BB7389-D5F3-44D6-9D0F-CCA88484AA39}" srcOrd="0" destOrd="0" presId="urn:microsoft.com/office/officeart/2005/8/layout/chevronAccent+Icon"/>
    <dgm:cxn modelId="{51529F34-A76F-432C-A5C2-E51EA2641AD2}" srcId="{329B204C-085B-48B4-B98F-723480E12621}" destId="{9025E7C4-EB27-463A-98AB-F8EE3BA84709}" srcOrd="2" destOrd="0" parTransId="{B71A5344-8BE2-458E-96E8-AAA35C5EC428}" sibTransId="{C5256566-B4D9-413D-A674-01F8C7DCE8BD}"/>
    <dgm:cxn modelId="{664C5A7E-BECD-4711-957B-869EC2D540F4}" type="presOf" srcId="{1A485D97-6BC5-41DB-9F37-CB63EC54A6E1}" destId="{0A51E094-1FAB-4ADC-B299-AB6E9B29FBE9}" srcOrd="0" destOrd="0" presId="urn:microsoft.com/office/officeart/2005/8/layout/chevronAccent+Icon"/>
    <dgm:cxn modelId="{DBA8EA7F-16D9-4EDD-8835-7A39A194C59E}" type="presOf" srcId="{3A00BAC2-D1EF-4D56-B884-84F125C69053}" destId="{E3141E0E-EE0E-4C28-993B-5D30EDC401A0}" srcOrd="0" destOrd="0" presId="urn:microsoft.com/office/officeart/2005/8/layout/chevronAccent+Icon"/>
    <dgm:cxn modelId="{170BAF99-9FBF-4C07-893D-850B7E64423E}" type="presOf" srcId="{2288006B-79A1-4612-8D67-0902DF8B1CAE}" destId="{F838343E-09DE-44F1-8DDD-500760E7DC5C}" srcOrd="0" destOrd="0" presId="urn:microsoft.com/office/officeart/2005/8/layout/chevronAccent+Icon"/>
    <dgm:cxn modelId="{6F222DA8-F040-4CB8-B8B8-1A34C1702FE7}" srcId="{329B204C-085B-48B4-B98F-723480E12621}" destId="{64FFB729-D1BC-4B33-B6D4-1E52439030D2}" srcOrd="3" destOrd="0" parTransId="{4F6AB396-0296-4A0A-9A42-D0453284DADF}" sibTransId="{B9305DA6-9079-4FCB-96BF-E8CBA19F25CB}"/>
    <dgm:cxn modelId="{4C0522AD-C23F-44D8-A2B1-C8CE64A939AE}" type="presOf" srcId="{64FFB729-D1BC-4B33-B6D4-1E52439030D2}" destId="{2EF3EAE5-6D71-4608-9F53-6BD98C7ACBCE}" srcOrd="0" destOrd="0" presId="urn:microsoft.com/office/officeart/2005/8/layout/chevronAccent+Icon"/>
    <dgm:cxn modelId="{23E597B6-4E47-44B8-B82D-A99FEEE4F87F}" type="presOf" srcId="{9025E7C4-EB27-463A-98AB-F8EE3BA84709}" destId="{14EADB53-48DA-4077-BCD7-8D93CAB728CE}" srcOrd="0" destOrd="0" presId="urn:microsoft.com/office/officeart/2005/8/layout/chevronAccent+Icon"/>
    <dgm:cxn modelId="{2446EFE6-4331-499C-B26C-B38BB1733F71}" srcId="{329B204C-085B-48B4-B98F-723480E12621}" destId="{3A00BAC2-D1EF-4D56-B884-84F125C69053}" srcOrd="0" destOrd="0" parTransId="{DE4BE63F-6912-4DB9-8601-8798D39BC01D}" sibTransId="{F6D3DCFC-F0AA-4CA7-BE75-692741D94D6F}"/>
    <dgm:cxn modelId="{E33BFB69-24FF-4CE2-811E-9CA86CDE6D29}" type="presParOf" srcId="{A9BB7389-D5F3-44D6-9D0F-CCA88484AA39}" destId="{CA2865F4-72F1-46E0-B107-D2ED4F1A7BA0}" srcOrd="0" destOrd="0" presId="urn:microsoft.com/office/officeart/2005/8/layout/chevronAccent+Icon"/>
    <dgm:cxn modelId="{284B39DF-2118-4306-AD2C-639A6A6D50FF}" type="presParOf" srcId="{CA2865F4-72F1-46E0-B107-D2ED4F1A7BA0}" destId="{ED9B2563-2917-43DA-9171-65D718AAC546}" srcOrd="0" destOrd="0" presId="urn:microsoft.com/office/officeart/2005/8/layout/chevronAccent+Icon"/>
    <dgm:cxn modelId="{37330745-221F-44DF-9900-0AA7290EA77F}" type="presParOf" srcId="{CA2865F4-72F1-46E0-B107-D2ED4F1A7BA0}" destId="{E3141E0E-EE0E-4C28-993B-5D30EDC401A0}" srcOrd="1" destOrd="0" presId="urn:microsoft.com/office/officeart/2005/8/layout/chevronAccent+Icon"/>
    <dgm:cxn modelId="{0C68EE17-1469-46AD-A05F-6666FB8F4040}" type="presParOf" srcId="{A9BB7389-D5F3-44D6-9D0F-CCA88484AA39}" destId="{0309F406-492E-4B78-9330-59973A074B84}" srcOrd="1" destOrd="0" presId="urn:microsoft.com/office/officeart/2005/8/layout/chevronAccent+Icon"/>
    <dgm:cxn modelId="{CD862945-2A8A-4900-8970-064E391D2357}" type="presParOf" srcId="{A9BB7389-D5F3-44D6-9D0F-CCA88484AA39}" destId="{9E5D0FD4-2925-4687-B798-ADE9B7BD1B1B}" srcOrd="2" destOrd="0" presId="urn:microsoft.com/office/officeart/2005/8/layout/chevronAccent+Icon"/>
    <dgm:cxn modelId="{17AF4B9F-8103-4878-9B96-CD8B27BDAE0B}" type="presParOf" srcId="{9E5D0FD4-2925-4687-B798-ADE9B7BD1B1B}" destId="{646170AF-2C7F-4AB7-907D-6E5703E86173}" srcOrd="0" destOrd="0" presId="urn:microsoft.com/office/officeart/2005/8/layout/chevronAccent+Icon"/>
    <dgm:cxn modelId="{366B2607-BDC2-4ADE-8CAF-0CD17003C815}" type="presParOf" srcId="{9E5D0FD4-2925-4687-B798-ADE9B7BD1B1B}" destId="{F838343E-09DE-44F1-8DDD-500760E7DC5C}" srcOrd="1" destOrd="0" presId="urn:microsoft.com/office/officeart/2005/8/layout/chevronAccent+Icon"/>
    <dgm:cxn modelId="{6E716A61-C361-4759-86A2-F39A6C6955EB}" type="presParOf" srcId="{A9BB7389-D5F3-44D6-9D0F-CCA88484AA39}" destId="{670029C2-18C9-42F0-9B64-91A998368CC6}" srcOrd="3" destOrd="0" presId="urn:microsoft.com/office/officeart/2005/8/layout/chevronAccent+Icon"/>
    <dgm:cxn modelId="{454A81C4-6604-45D1-92BA-3B91718118C0}" type="presParOf" srcId="{A9BB7389-D5F3-44D6-9D0F-CCA88484AA39}" destId="{C4B3D195-8D2D-4368-B907-BD4ECD6D9B87}" srcOrd="4" destOrd="0" presId="urn:microsoft.com/office/officeart/2005/8/layout/chevronAccent+Icon"/>
    <dgm:cxn modelId="{ADF0B560-2913-4586-B99E-4AB590CF4F34}" type="presParOf" srcId="{C4B3D195-8D2D-4368-B907-BD4ECD6D9B87}" destId="{FA9CF9C4-87BE-40AA-A870-181A9277AB21}" srcOrd="0" destOrd="0" presId="urn:microsoft.com/office/officeart/2005/8/layout/chevronAccent+Icon"/>
    <dgm:cxn modelId="{BA8CB816-1764-4FEE-9D84-EC4DE58B2584}" type="presParOf" srcId="{C4B3D195-8D2D-4368-B907-BD4ECD6D9B87}" destId="{14EADB53-48DA-4077-BCD7-8D93CAB728CE}" srcOrd="1" destOrd="0" presId="urn:microsoft.com/office/officeart/2005/8/layout/chevronAccent+Icon"/>
    <dgm:cxn modelId="{FE2F74F4-D815-4DD5-B17A-14F86C7DF899}" type="presParOf" srcId="{A9BB7389-D5F3-44D6-9D0F-CCA88484AA39}" destId="{DD8A6286-41DE-4AC2-982B-0ABD902EF717}" srcOrd="5" destOrd="0" presId="urn:microsoft.com/office/officeart/2005/8/layout/chevronAccent+Icon"/>
    <dgm:cxn modelId="{F3020A0E-E76F-409A-8CF7-54D220FF0A9F}" type="presParOf" srcId="{A9BB7389-D5F3-44D6-9D0F-CCA88484AA39}" destId="{22AB2258-8FD2-4B7D-9462-3B9A6EFFBB25}" srcOrd="6" destOrd="0" presId="urn:microsoft.com/office/officeart/2005/8/layout/chevronAccent+Icon"/>
    <dgm:cxn modelId="{9D43CCF1-5160-48F9-AD35-99654024731D}" type="presParOf" srcId="{22AB2258-8FD2-4B7D-9462-3B9A6EFFBB25}" destId="{4B361646-7741-4B46-922C-4BCAE665B4F1}" srcOrd="0" destOrd="0" presId="urn:microsoft.com/office/officeart/2005/8/layout/chevronAccent+Icon"/>
    <dgm:cxn modelId="{44733E2B-C2EA-4F83-AC28-0A49FE775F7F}" type="presParOf" srcId="{22AB2258-8FD2-4B7D-9462-3B9A6EFFBB25}" destId="{2EF3EAE5-6D71-4608-9F53-6BD98C7ACBCE}" srcOrd="1" destOrd="0" presId="urn:microsoft.com/office/officeart/2005/8/layout/chevronAccent+Icon"/>
    <dgm:cxn modelId="{C389F8F4-E060-400F-BF29-D784E6588C4C}" type="presParOf" srcId="{A9BB7389-D5F3-44D6-9D0F-CCA88484AA39}" destId="{916244EE-D41B-4140-899C-3CD3CB93563D}" srcOrd="7" destOrd="0" presId="urn:microsoft.com/office/officeart/2005/8/layout/chevronAccent+Icon"/>
    <dgm:cxn modelId="{BE54D991-F3C2-496B-B5A6-BBE42DFA8A26}" type="presParOf" srcId="{A9BB7389-D5F3-44D6-9D0F-CCA88484AA39}" destId="{1AB8B739-85F9-4941-A42C-0A5B996C099F}" srcOrd="8" destOrd="0" presId="urn:microsoft.com/office/officeart/2005/8/layout/chevronAccent+Icon"/>
    <dgm:cxn modelId="{B51A4493-49C8-4025-9DBF-5B55E4047A2D}" type="presParOf" srcId="{1AB8B739-85F9-4941-A42C-0A5B996C099F}" destId="{4220A7B9-34CC-409A-A25F-9BCC320734FF}" srcOrd="0" destOrd="0" presId="urn:microsoft.com/office/officeart/2005/8/layout/chevronAccent+Icon"/>
    <dgm:cxn modelId="{A0CCC65E-17CB-49E3-BBC3-4A6280A9C2DE}" type="presParOf" srcId="{1AB8B739-85F9-4941-A42C-0A5B996C099F}" destId="{0A51E094-1FAB-4ADC-B299-AB6E9B29FBE9}" srcOrd="1" destOrd="0" presId="urn:microsoft.com/office/officeart/2005/8/layout/chevronAccent+Icon"/>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9B204C-085B-48B4-B98F-723480E12621}" type="doc">
      <dgm:prSet loTypeId="urn:microsoft.com/office/officeart/2005/8/layout/chevronAccent+Icon" loCatId="process" qsTypeId="urn:microsoft.com/office/officeart/2005/8/quickstyle/simple1" qsCatId="simple" csTypeId="urn:microsoft.com/office/officeart/2005/8/colors/accent1_2" csCatId="accent1" phldr="1"/>
      <dgm:spPr/>
      <dgm:t>
        <a:bodyPr/>
        <a:lstStyle/>
        <a:p>
          <a:endParaRPr lang="en-NZ"/>
        </a:p>
      </dgm:t>
    </dgm:pt>
    <dgm:pt modelId="{3A00BAC2-D1EF-4D56-B884-84F125C69053}">
      <dgm:prSet phldrT="[Text]" custT="1"/>
      <dgm:spPr/>
      <dgm:t>
        <a:bodyPr/>
        <a:lstStyle/>
        <a:p>
          <a:r>
            <a:rPr lang="en-NZ" sz="1000" dirty="0">
              <a:latin typeface="Arial Narrow" panose="020B0606020202030204" pitchFamily="34" charset="0"/>
            </a:rPr>
            <a:t>Scope </a:t>
          </a:r>
        </a:p>
        <a:p>
          <a:r>
            <a:rPr lang="en-NZ" sz="1000" dirty="0">
              <a:latin typeface="Arial Narrow" panose="020B0606020202030204" pitchFamily="34" charset="0"/>
            </a:rPr>
            <a:t>(Sep 2020)</a:t>
          </a:r>
        </a:p>
      </dgm:t>
    </dgm:pt>
    <dgm:pt modelId="{DE4BE63F-6912-4DB9-8601-8798D39BC01D}" type="parTrans" cxnId="{2446EFE6-4331-499C-B26C-B38BB1733F71}">
      <dgm:prSet/>
      <dgm:spPr/>
      <dgm:t>
        <a:bodyPr/>
        <a:lstStyle/>
        <a:p>
          <a:endParaRPr lang="en-NZ" sz="1000">
            <a:latin typeface="Arial Narrow" panose="020B0606020202030204" pitchFamily="34" charset="0"/>
          </a:endParaRPr>
        </a:p>
      </dgm:t>
    </dgm:pt>
    <dgm:pt modelId="{F6D3DCFC-F0AA-4CA7-BE75-692741D94D6F}" type="sibTrans" cxnId="{2446EFE6-4331-499C-B26C-B38BB1733F71}">
      <dgm:prSet/>
      <dgm:spPr/>
      <dgm:t>
        <a:bodyPr/>
        <a:lstStyle/>
        <a:p>
          <a:endParaRPr lang="en-NZ" sz="1000">
            <a:latin typeface="Arial Narrow" panose="020B0606020202030204" pitchFamily="34" charset="0"/>
          </a:endParaRPr>
        </a:p>
      </dgm:t>
    </dgm:pt>
    <dgm:pt modelId="{2288006B-79A1-4612-8D67-0902DF8B1CAE}">
      <dgm:prSet phldrT="[Text]" custT="1"/>
      <dgm:spPr>
        <a:solidFill>
          <a:schemeClr val="bg1">
            <a:alpha val="90000"/>
          </a:schemeClr>
        </a:solidFill>
      </dgm:spPr>
      <dgm:t>
        <a:bodyPr/>
        <a:lstStyle/>
        <a:p>
          <a:r>
            <a:rPr lang="en-NZ" sz="1000" dirty="0">
              <a:latin typeface="Arial Narrow" panose="020B0606020202030204" pitchFamily="34" charset="0"/>
            </a:rPr>
            <a:t>Co-define phase </a:t>
          </a:r>
        </a:p>
        <a:p>
          <a:r>
            <a:rPr lang="en-NZ" sz="1000" dirty="0">
              <a:latin typeface="Arial Narrow" panose="020B0606020202030204" pitchFamily="34" charset="0"/>
            </a:rPr>
            <a:t>(Oct - Dec 2020)</a:t>
          </a:r>
        </a:p>
      </dgm:t>
    </dgm:pt>
    <dgm:pt modelId="{DB90D825-D656-40F7-89DE-276F5F9F7179}" type="parTrans" cxnId="{C0AB6A1F-33F0-45B8-B001-34C30F0C2850}">
      <dgm:prSet/>
      <dgm:spPr/>
      <dgm:t>
        <a:bodyPr/>
        <a:lstStyle/>
        <a:p>
          <a:endParaRPr lang="en-NZ" sz="1000">
            <a:latin typeface="Arial Narrow" panose="020B0606020202030204" pitchFamily="34" charset="0"/>
          </a:endParaRPr>
        </a:p>
      </dgm:t>
    </dgm:pt>
    <dgm:pt modelId="{3AF3D404-5C1D-4418-9FD2-BD2CC96F1F62}" type="sibTrans" cxnId="{C0AB6A1F-33F0-45B8-B001-34C30F0C2850}">
      <dgm:prSet/>
      <dgm:spPr/>
      <dgm:t>
        <a:bodyPr/>
        <a:lstStyle/>
        <a:p>
          <a:endParaRPr lang="en-NZ" sz="1000">
            <a:latin typeface="Arial Narrow" panose="020B0606020202030204" pitchFamily="34" charset="0"/>
          </a:endParaRPr>
        </a:p>
      </dgm:t>
    </dgm:pt>
    <dgm:pt modelId="{9025E7C4-EB27-463A-98AB-F8EE3BA84709}">
      <dgm:prSet phldrT="[Text]" custT="1"/>
      <dgm:spPr/>
      <dgm:t>
        <a:bodyPr/>
        <a:lstStyle/>
        <a:p>
          <a:r>
            <a:rPr lang="en-NZ" sz="1000" dirty="0">
              <a:latin typeface="Arial Narrow" panose="020B0606020202030204" pitchFamily="34" charset="0"/>
            </a:rPr>
            <a:t>Conceptual framework</a:t>
          </a:r>
        </a:p>
        <a:p>
          <a:r>
            <a:rPr lang="en-NZ" sz="1000" dirty="0">
              <a:latin typeface="Arial Narrow" panose="020B0606020202030204" pitchFamily="34" charset="0"/>
            </a:rPr>
            <a:t>(Jan - March 2021)</a:t>
          </a:r>
        </a:p>
      </dgm:t>
    </dgm:pt>
    <dgm:pt modelId="{B71A5344-8BE2-458E-96E8-AAA35C5EC428}" type="parTrans" cxnId="{51529F34-A76F-432C-A5C2-E51EA2641AD2}">
      <dgm:prSet/>
      <dgm:spPr/>
      <dgm:t>
        <a:bodyPr/>
        <a:lstStyle/>
        <a:p>
          <a:endParaRPr lang="en-NZ" sz="1000">
            <a:latin typeface="Arial Narrow" panose="020B0606020202030204" pitchFamily="34" charset="0"/>
          </a:endParaRPr>
        </a:p>
      </dgm:t>
    </dgm:pt>
    <dgm:pt modelId="{C5256566-B4D9-413D-A674-01F8C7DCE8BD}" type="sibTrans" cxnId="{51529F34-A76F-432C-A5C2-E51EA2641AD2}">
      <dgm:prSet/>
      <dgm:spPr/>
      <dgm:t>
        <a:bodyPr/>
        <a:lstStyle/>
        <a:p>
          <a:endParaRPr lang="en-NZ" sz="1000">
            <a:latin typeface="Arial Narrow" panose="020B0606020202030204" pitchFamily="34" charset="0"/>
          </a:endParaRPr>
        </a:p>
      </dgm:t>
    </dgm:pt>
    <dgm:pt modelId="{64FFB729-D1BC-4B33-B6D4-1E52439030D2}">
      <dgm:prSet custT="1"/>
      <dgm:spPr/>
      <dgm:t>
        <a:bodyPr/>
        <a:lstStyle/>
        <a:p>
          <a:r>
            <a:rPr lang="en-NZ" sz="1000" dirty="0">
              <a:latin typeface="Arial Narrow" panose="020B0606020202030204" pitchFamily="34" charset="0"/>
            </a:rPr>
            <a:t>Data and methodology phase</a:t>
          </a:r>
        </a:p>
        <a:p>
          <a:r>
            <a:rPr lang="en-NZ" sz="1000" dirty="0">
              <a:latin typeface="Arial Narrow" panose="020B0606020202030204" pitchFamily="34" charset="0"/>
            </a:rPr>
            <a:t>(April - May 2021)</a:t>
          </a:r>
        </a:p>
      </dgm:t>
    </dgm:pt>
    <dgm:pt modelId="{4F6AB396-0296-4A0A-9A42-D0453284DADF}" type="parTrans" cxnId="{6F222DA8-F040-4CB8-B8B8-1A34C1702FE7}">
      <dgm:prSet/>
      <dgm:spPr/>
      <dgm:t>
        <a:bodyPr/>
        <a:lstStyle/>
        <a:p>
          <a:endParaRPr lang="en-NZ" sz="1000">
            <a:latin typeface="Arial Narrow" panose="020B0606020202030204" pitchFamily="34" charset="0"/>
          </a:endParaRPr>
        </a:p>
      </dgm:t>
    </dgm:pt>
    <dgm:pt modelId="{B9305DA6-9079-4FCB-96BF-E8CBA19F25CB}" type="sibTrans" cxnId="{6F222DA8-F040-4CB8-B8B8-1A34C1702FE7}">
      <dgm:prSet/>
      <dgm:spPr/>
      <dgm:t>
        <a:bodyPr/>
        <a:lstStyle/>
        <a:p>
          <a:endParaRPr lang="en-NZ" sz="1000">
            <a:latin typeface="Arial Narrow" panose="020B0606020202030204" pitchFamily="34" charset="0"/>
          </a:endParaRPr>
        </a:p>
      </dgm:t>
    </dgm:pt>
    <dgm:pt modelId="{0EA4D355-58E5-4837-AF28-E06C3FEFACEC}">
      <dgm:prSet phldrT="[Text]" custT="1"/>
      <dgm:spPr/>
      <dgm:t>
        <a:bodyPr/>
        <a:lstStyle/>
        <a:p>
          <a:r>
            <a:rPr lang="en-NZ" sz="1000" dirty="0">
              <a:latin typeface="Arial Narrow" panose="020B0606020202030204" pitchFamily="34" charset="0"/>
            </a:rPr>
            <a:t>Publish first monitoring report </a:t>
          </a:r>
        </a:p>
        <a:p>
          <a:r>
            <a:rPr lang="en-NZ" sz="1000" dirty="0">
              <a:latin typeface="Arial Narrow" panose="020B0606020202030204" pitchFamily="34" charset="0"/>
            </a:rPr>
            <a:t>(Sep 2021)</a:t>
          </a:r>
        </a:p>
      </dgm:t>
    </dgm:pt>
    <dgm:pt modelId="{8E88CF61-B135-4F8E-A745-834B3EF2B585}" type="parTrans" cxnId="{DDB6D0D1-EDB2-4637-B64B-51A0A0411DEF}">
      <dgm:prSet/>
      <dgm:spPr/>
      <dgm:t>
        <a:bodyPr/>
        <a:lstStyle/>
        <a:p>
          <a:endParaRPr lang="en-NZ" sz="1000">
            <a:latin typeface="Arial Narrow" panose="020B0606020202030204" pitchFamily="34" charset="0"/>
          </a:endParaRPr>
        </a:p>
      </dgm:t>
    </dgm:pt>
    <dgm:pt modelId="{968AF3E9-9429-46D2-BF3C-1AB20642EA70}" type="sibTrans" cxnId="{DDB6D0D1-EDB2-4637-B64B-51A0A0411DEF}">
      <dgm:prSet/>
      <dgm:spPr/>
      <dgm:t>
        <a:bodyPr/>
        <a:lstStyle/>
        <a:p>
          <a:endParaRPr lang="en-NZ" sz="1000">
            <a:latin typeface="Arial Narrow" panose="020B0606020202030204" pitchFamily="34" charset="0"/>
          </a:endParaRPr>
        </a:p>
      </dgm:t>
    </dgm:pt>
    <dgm:pt modelId="{A9BB7389-D5F3-44D6-9D0F-CCA88484AA39}" type="pres">
      <dgm:prSet presAssocID="{329B204C-085B-48B4-B98F-723480E12621}" presName="Name0" presStyleCnt="0">
        <dgm:presLayoutVars>
          <dgm:dir/>
          <dgm:resizeHandles val="exact"/>
        </dgm:presLayoutVars>
      </dgm:prSet>
      <dgm:spPr/>
    </dgm:pt>
    <dgm:pt modelId="{CA2865F4-72F1-46E0-B107-D2ED4F1A7BA0}" type="pres">
      <dgm:prSet presAssocID="{3A00BAC2-D1EF-4D56-B884-84F125C69053}" presName="composite" presStyleCnt="0"/>
      <dgm:spPr/>
    </dgm:pt>
    <dgm:pt modelId="{ED9B2563-2917-43DA-9171-65D718AAC546}" type="pres">
      <dgm:prSet presAssocID="{3A00BAC2-D1EF-4D56-B884-84F125C69053}" presName="bgChev" presStyleLbl="node1" presStyleIdx="0" presStyleCnt="5"/>
      <dgm:spPr/>
    </dgm:pt>
    <dgm:pt modelId="{E3141E0E-EE0E-4C28-993B-5D30EDC401A0}" type="pres">
      <dgm:prSet presAssocID="{3A00BAC2-D1EF-4D56-B884-84F125C69053}" presName="txNode" presStyleLbl="fgAcc1" presStyleIdx="0" presStyleCnt="5" custScaleX="113198" custScaleY="234554">
        <dgm:presLayoutVars>
          <dgm:bulletEnabled val="1"/>
        </dgm:presLayoutVars>
      </dgm:prSet>
      <dgm:spPr/>
    </dgm:pt>
    <dgm:pt modelId="{0309F406-492E-4B78-9330-59973A074B84}" type="pres">
      <dgm:prSet presAssocID="{F6D3DCFC-F0AA-4CA7-BE75-692741D94D6F}" presName="compositeSpace" presStyleCnt="0"/>
      <dgm:spPr/>
    </dgm:pt>
    <dgm:pt modelId="{9E5D0FD4-2925-4687-B798-ADE9B7BD1B1B}" type="pres">
      <dgm:prSet presAssocID="{2288006B-79A1-4612-8D67-0902DF8B1CAE}" presName="composite" presStyleCnt="0"/>
      <dgm:spPr/>
    </dgm:pt>
    <dgm:pt modelId="{646170AF-2C7F-4AB7-907D-6E5703E86173}" type="pres">
      <dgm:prSet presAssocID="{2288006B-79A1-4612-8D67-0902DF8B1CAE}" presName="bgChev" presStyleLbl="node1" presStyleIdx="1" presStyleCnt="5"/>
      <dgm:spPr/>
    </dgm:pt>
    <dgm:pt modelId="{F838343E-09DE-44F1-8DDD-500760E7DC5C}" type="pres">
      <dgm:prSet presAssocID="{2288006B-79A1-4612-8D67-0902DF8B1CAE}" presName="txNode" presStyleLbl="fgAcc1" presStyleIdx="1" presStyleCnt="5" custScaleX="107372" custScaleY="234554">
        <dgm:presLayoutVars>
          <dgm:bulletEnabled val="1"/>
        </dgm:presLayoutVars>
      </dgm:prSet>
      <dgm:spPr/>
    </dgm:pt>
    <dgm:pt modelId="{670029C2-18C9-42F0-9B64-91A998368CC6}" type="pres">
      <dgm:prSet presAssocID="{3AF3D404-5C1D-4418-9FD2-BD2CC96F1F62}" presName="compositeSpace" presStyleCnt="0"/>
      <dgm:spPr/>
    </dgm:pt>
    <dgm:pt modelId="{C4B3D195-8D2D-4368-B907-BD4ECD6D9B87}" type="pres">
      <dgm:prSet presAssocID="{9025E7C4-EB27-463A-98AB-F8EE3BA84709}" presName="composite" presStyleCnt="0"/>
      <dgm:spPr/>
    </dgm:pt>
    <dgm:pt modelId="{FA9CF9C4-87BE-40AA-A870-181A9277AB21}" type="pres">
      <dgm:prSet presAssocID="{9025E7C4-EB27-463A-98AB-F8EE3BA84709}" presName="bgChev" presStyleLbl="node1" presStyleIdx="2" presStyleCnt="5"/>
      <dgm:spPr/>
    </dgm:pt>
    <dgm:pt modelId="{14EADB53-48DA-4077-BCD7-8D93CAB728CE}" type="pres">
      <dgm:prSet presAssocID="{9025E7C4-EB27-463A-98AB-F8EE3BA84709}" presName="txNode" presStyleLbl="fgAcc1" presStyleIdx="2" presStyleCnt="5" custScaleX="126949" custScaleY="234554">
        <dgm:presLayoutVars>
          <dgm:bulletEnabled val="1"/>
        </dgm:presLayoutVars>
      </dgm:prSet>
      <dgm:spPr/>
    </dgm:pt>
    <dgm:pt modelId="{DD8A6286-41DE-4AC2-982B-0ABD902EF717}" type="pres">
      <dgm:prSet presAssocID="{C5256566-B4D9-413D-A674-01F8C7DCE8BD}" presName="compositeSpace" presStyleCnt="0"/>
      <dgm:spPr/>
    </dgm:pt>
    <dgm:pt modelId="{22AB2258-8FD2-4B7D-9462-3B9A6EFFBB25}" type="pres">
      <dgm:prSet presAssocID="{64FFB729-D1BC-4B33-B6D4-1E52439030D2}" presName="composite" presStyleCnt="0"/>
      <dgm:spPr/>
    </dgm:pt>
    <dgm:pt modelId="{4B361646-7741-4B46-922C-4BCAE665B4F1}" type="pres">
      <dgm:prSet presAssocID="{64FFB729-D1BC-4B33-B6D4-1E52439030D2}" presName="bgChev" presStyleLbl="node1" presStyleIdx="3" presStyleCnt="5"/>
      <dgm:spPr/>
    </dgm:pt>
    <dgm:pt modelId="{2EF3EAE5-6D71-4608-9F53-6BD98C7ACBCE}" type="pres">
      <dgm:prSet presAssocID="{64FFB729-D1BC-4B33-B6D4-1E52439030D2}" presName="txNode" presStyleLbl="fgAcc1" presStyleIdx="3" presStyleCnt="5" custScaleX="105241" custScaleY="234554">
        <dgm:presLayoutVars>
          <dgm:bulletEnabled val="1"/>
        </dgm:presLayoutVars>
      </dgm:prSet>
      <dgm:spPr/>
    </dgm:pt>
    <dgm:pt modelId="{916244EE-D41B-4140-899C-3CD3CB93563D}" type="pres">
      <dgm:prSet presAssocID="{B9305DA6-9079-4FCB-96BF-E8CBA19F25CB}" presName="compositeSpace" presStyleCnt="0"/>
      <dgm:spPr/>
    </dgm:pt>
    <dgm:pt modelId="{A207F513-270E-4751-8A98-767058ED8E21}" type="pres">
      <dgm:prSet presAssocID="{0EA4D355-58E5-4837-AF28-E06C3FEFACEC}" presName="composite" presStyleCnt="0"/>
      <dgm:spPr/>
    </dgm:pt>
    <dgm:pt modelId="{2964A5BF-8754-4640-819D-7B0AB17BF981}" type="pres">
      <dgm:prSet presAssocID="{0EA4D355-58E5-4837-AF28-E06C3FEFACEC}" presName="bgChev" presStyleLbl="node1" presStyleIdx="4" presStyleCnt="5"/>
      <dgm:spPr/>
    </dgm:pt>
    <dgm:pt modelId="{B6D18B46-6491-4EF6-B0F2-9BE9C66DF1EF}" type="pres">
      <dgm:prSet presAssocID="{0EA4D355-58E5-4837-AF28-E06C3FEFACEC}" presName="txNode" presStyleLbl="fgAcc1" presStyleIdx="4" presStyleCnt="5" custScaleX="119297" custScaleY="234554">
        <dgm:presLayoutVars>
          <dgm:bulletEnabled val="1"/>
        </dgm:presLayoutVars>
      </dgm:prSet>
      <dgm:spPr/>
    </dgm:pt>
  </dgm:ptLst>
  <dgm:cxnLst>
    <dgm:cxn modelId="{C0AB6A1F-33F0-45B8-B001-34C30F0C2850}" srcId="{329B204C-085B-48B4-B98F-723480E12621}" destId="{2288006B-79A1-4612-8D67-0902DF8B1CAE}" srcOrd="1" destOrd="0" parTransId="{DB90D825-D656-40F7-89DE-276F5F9F7179}" sibTransId="{3AF3D404-5C1D-4418-9FD2-BD2CC96F1F62}"/>
    <dgm:cxn modelId="{74F10A20-64A8-4B1D-8E74-19C467632E7B}" type="presOf" srcId="{0EA4D355-58E5-4837-AF28-E06C3FEFACEC}" destId="{B6D18B46-6491-4EF6-B0F2-9BE9C66DF1EF}" srcOrd="0" destOrd="0" presId="urn:microsoft.com/office/officeart/2005/8/layout/chevronAccent+Icon"/>
    <dgm:cxn modelId="{CAF42524-A4F6-4259-A607-09A05A792AAC}" type="presOf" srcId="{329B204C-085B-48B4-B98F-723480E12621}" destId="{A9BB7389-D5F3-44D6-9D0F-CCA88484AA39}" srcOrd="0" destOrd="0" presId="urn:microsoft.com/office/officeart/2005/8/layout/chevronAccent+Icon"/>
    <dgm:cxn modelId="{51529F34-A76F-432C-A5C2-E51EA2641AD2}" srcId="{329B204C-085B-48B4-B98F-723480E12621}" destId="{9025E7C4-EB27-463A-98AB-F8EE3BA84709}" srcOrd="2" destOrd="0" parTransId="{B71A5344-8BE2-458E-96E8-AAA35C5EC428}" sibTransId="{C5256566-B4D9-413D-A674-01F8C7DCE8BD}"/>
    <dgm:cxn modelId="{DBA8EA7F-16D9-4EDD-8835-7A39A194C59E}" type="presOf" srcId="{3A00BAC2-D1EF-4D56-B884-84F125C69053}" destId="{E3141E0E-EE0E-4C28-993B-5D30EDC401A0}" srcOrd="0" destOrd="0" presId="urn:microsoft.com/office/officeart/2005/8/layout/chevronAccent+Icon"/>
    <dgm:cxn modelId="{170BAF99-9FBF-4C07-893D-850B7E64423E}" type="presOf" srcId="{2288006B-79A1-4612-8D67-0902DF8B1CAE}" destId="{F838343E-09DE-44F1-8DDD-500760E7DC5C}" srcOrd="0" destOrd="0" presId="urn:microsoft.com/office/officeart/2005/8/layout/chevronAccent+Icon"/>
    <dgm:cxn modelId="{6F222DA8-F040-4CB8-B8B8-1A34C1702FE7}" srcId="{329B204C-085B-48B4-B98F-723480E12621}" destId="{64FFB729-D1BC-4B33-B6D4-1E52439030D2}" srcOrd="3" destOrd="0" parTransId="{4F6AB396-0296-4A0A-9A42-D0453284DADF}" sibTransId="{B9305DA6-9079-4FCB-96BF-E8CBA19F25CB}"/>
    <dgm:cxn modelId="{4C0522AD-C23F-44D8-A2B1-C8CE64A939AE}" type="presOf" srcId="{64FFB729-D1BC-4B33-B6D4-1E52439030D2}" destId="{2EF3EAE5-6D71-4608-9F53-6BD98C7ACBCE}" srcOrd="0" destOrd="0" presId="urn:microsoft.com/office/officeart/2005/8/layout/chevronAccent+Icon"/>
    <dgm:cxn modelId="{23E597B6-4E47-44B8-B82D-A99FEEE4F87F}" type="presOf" srcId="{9025E7C4-EB27-463A-98AB-F8EE3BA84709}" destId="{14EADB53-48DA-4077-BCD7-8D93CAB728CE}" srcOrd="0" destOrd="0" presId="urn:microsoft.com/office/officeart/2005/8/layout/chevronAccent+Icon"/>
    <dgm:cxn modelId="{DDB6D0D1-EDB2-4637-B64B-51A0A0411DEF}" srcId="{329B204C-085B-48B4-B98F-723480E12621}" destId="{0EA4D355-58E5-4837-AF28-E06C3FEFACEC}" srcOrd="4" destOrd="0" parTransId="{8E88CF61-B135-4F8E-A745-834B3EF2B585}" sibTransId="{968AF3E9-9429-46D2-BF3C-1AB20642EA70}"/>
    <dgm:cxn modelId="{2446EFE6-4331-499C-B26C-B38BB1733F71}" srcId="{329B204C-085B-48B4-B98F-723480E12621}" destId="{3A00BAC2-D1EF-4D56-B884-84F125C69053}" srcOrd="0" destOrd="0" parTransId="{DE4BE63F-6912-4DB9-8601-8798D39BC01D}" sibTransId="{F6D3DCFC-F0AA-4CA7-BE75-692741D94D6F}"/>
    <dgm:cxn modelId="{E33BFB69-24FF-4CE2-811E-9CA86CDE6D29}" type="presParOf" srcId="{A9BB7389-D5F3-44D6-9D0F-CCA88484AA39}" destId="{CA2865F4-72F1-46E0-B107-D2ED4F1A7BA0}" srcOrd="0" destOrd="0" presId="urn:microsoft.com/office/officeart/2005/8/layout/chevronAccent+Icon"/>
    <dgm:cxn modelId="{284B39DF-2118-4306-AD2C-639A6A6D50FF}" type="presParOf" srcId="{CA2865F4-72F1-46E0-B107-D2ED4F1A7BA0}" destId="{ED9B2563-2917-43DA-9171-65D718AAC546}" srcOrd="0" destOrd="0" presId="urn:microsoft.com/office/officeart/2005/8/layout/chevronAccent+Icon"/>
    <dgm:cxn modelId="{37330745-221F-44DF-9900-0AA7290EA77F}" type="presParOf" srcId="{CA2865F4-72F1-46E0-B107-D2ED4F1A7BA0}" destId="{E3141E0E-EE0E-4C28-993B-5D30EDC401A0}" srcOrd="1" destOrd="0" presId="urn:microsoft.com/office/officeart/2005/8/layout/chevronAccent+Icon"/>
    <dgm:cxn modelId="{0C68EE17-1469-46AD-A05F-6666FB8F4040}" type="presParOf" srcId="{A9BB7389-D5F3-44D6-9D0F-CCA88484AA39}" destId="{0309F406-492E-4B78-9330-59973A074B84}" srcOrd="1" destOrd="0" presId="urn:microsoft.com/office/officeart/2005/8/layout/chevronAccent+Icon"/>
    <dgm:cxn modelId="{CD862945-2A8A-4900-8970-064E391D2357}" type="presParOf" srcId="{A9BB7389-D5F3-44D6-9D0F-CCA88484AA39}" destId="{9E5D0FD4-2925-4687-B798-ADE9B7BD1B1B}" srcOrd="2" destOrd="0" presId="urn:microsoft.com/office/officeart/2005/8/layout/chevronAccent+Icon"/>
    <dgm:cxn modelId="{17AF4B9F-8103-4878-9B96-CD8B27BDAE0B}" type="presParOf" srcId="{9E5D0FD4-2925-4687-B798-ADE9B7BD1B1B}" destId="{646170AF-2C7F-4AB7-907D-6E5703E86173}" srcOrd="0" destOrd="0" presId="urn:microsoft.com/office/officeart/2005/8/layout/chevronAccent+Icon"/>
    <dgm:cxn modelId="{366B2607-BDC2-4ADE-8CAF-0CD17003C815}" type="presParOf" srcId="{9E5D0FD4-2925-4687-B798-ADE9B7BD1B1B}" destId="{F838343E-09DE-44F1-8DDD-500760E7DC5C}" srcOrd="1" destOrd="0" presId="urn:microsoft.com/office/officeart/2005/8/layout/chevronAccent+Icon"/>
    <dgm:cxn modelId="{6E716A61-C361-4759-86A2-F39A6C6955EB}" type="presParOf" srcId="{A9BB7389-D5F3-44D6-9D0F-CCA88484AA39}" destId="{670029C2-18C9-42F0-9B64-91A998368CC6}" srcOrd="3" destOrd="0" presId="urn:microsoft.com/office/officeart/2005/8/layout/chevronAccent+Icon"/>
    <dgm:cxn modelId="{454A81C4-6604-45D1-92BA-3B91718118C0}" type="presParOf" srcId="{A9BB7389-D5F3-44D6-9D0F-CCA88484AA39}" destId="{C4B3D195-8D2D-4368-B907-BD4ECD6D9B87}" srcOrd="4" destOrd="0" presId="urn:microsoft.com/office/officeart/2005/8/layout/chevronAccent+Icon"/>
    <dgm:cxn modelId="{ADF0B560-2913-4586-B99E-4AB590CF4F34}" type="presParOf" srcId="{C4B3D195-8D2D-4368-B907-BD4ECD6D9B87}" destId="{FA9CF9C4-87BE-40AA-A870-181A9277AB21}" srcOrd="0" destOrd="0" presId="urn:microsoft.com/office/officeart/2005/8/layout/chevronAccent+Icon"/>
    <dgm:cxn modelId="{BA8CB816-1764-4FEE-9D84-EC4DE58B2584}" type="presParOf" srcId="{C4B3D195-8D2D-4368-B907-BD4ECD6D9B87}" destId="{14EADB53-48DA-4077-BCD7-8D93CAB728CE}" srcOrd="1" destOrd="0" presId="urn:microsoft.com/office/officeart/2005/8/layout/chevronAccent+Icon"/>
    <dgm:cxn modelId="{FE2F74F4-D815-4DD5-B17A-14F86C7DF899}" type="presParOf" srcId="{A9BB7389-D5F3-44D6-9D0F-CCA88484AA39}" destId="{DD8A6286-41DE-4AC2-982B-0ABD902EF717}" srcOrd="5" destOrd="0" presId="urn:microsoft.com/office/officeart/2005/8/layout/chevronAccent+Icon"/>
    <dgm:cxn modelId="{F3020A0E-E76F-409A-8CF7-54D220FF0A9F}" type="presParOf" srcId="{A9BB7389-D5F3-44D6-9D0F-CCA88484AA39}" destId="{22AB2258-8FD2-4B7D-9462-3B9A6EFFBB25}" srcOrd="6" destOrd="0" presId="urn:microsoft.com/office/officeart/2005/8/layout/chevronAccent+Icon"/>
    <dgm:cxn modelId="{9D43CCF1-5160-48F9-AD35-99654024731D}" type="presParOf" srcId="{22AB2258-8FD2-4B7D-9462-3B9A6EFFBB25}" destId="{4B361646-7741-4B46-922C-4BCAE665B4F1}" srcOrd="0" destOrd="0" presId="urn:microsoft.com/office/officeart/2005/8/layout/chevronAccent+Icon"/>
    <dgm:cxn modelId="{44733E2B-C2EA-4F83-AC28-0A49FE775F7F}" type="presParOf" srcId="{22AB2258-8FD2-4B7D-9462-3B9A6EFFBB25}" destId="{2EF3EAE5-6D71-4608-9F53-6BD98C7ACBCE}" srcOrd="1" destOrd="0" presId="urn:microsoft.com/office/officeart/2005/8/layout/chevronAccent+Icon"/>
    <dgm:cxn modelId="{C389F8F4-E060-400F-BF29-D784E6588C4C}" type="presParOf" srcId="{A9BB7389-D5F3-44D6-9D0F-CCA88484AA39}" destId="{916244EE-D41B-4140-899C-3CD3CB93563D}" srcOrd="7" destOrd="0" presId="urn:microsoft.com/office/officeart/2005/8/layout/chevronAccent+Icon"/>
    <dgm:cxn modelId="{A48E05F2-08F4-4B6B-A2A1-AEDF8ECE12DC}" type="presParOf" srcId="{A9BB7389-D5F3-44D6-9D0F-CCA88484AA39}" destId="{A207F513-270E-4751-8A98-767058ED8E21}" srcOrd="8" destOrd="0" presId="urn:microsoft.com/office/officeart/2005/8/layout/chevronAccent+Icon"/>
    <dgm:cxn modelId="{9C9EA9C8-2992-4C94-AB17-FC3A50E7EED6}" type="presParOf" srcId="{A207F513-270E-4751-8A98-767058ED8E21}" destId="{2964A5BF-8754-4640-819D-7B0AB17BF981}" srcOrd="0" destOrd="0" presId="urn:microsoft.com/office/officeart/2005/8/layout/chevronAccent+Icon"/>
    <dgm:cxn modelId="{4E57830E-ECBA-41E6-AB52-D544517C2D52}" type="presParOf" srcId="{A207F513-270E-4751-8A98-767058ED8E21}" destId="{B6D18B46-6491-4EF6-B0F2-9BE9C66DF1EF}" srcOrd="1" destOrd="0" presId="urn:microsoft.com/office/officeart/2005/8/layout/chevronAccent+Icon"/>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B2563-2917-43DA-9171-65D718AAC546}">
      <dsp:nvSpPr>
        <dsp:cNvPr id="0" name=""/>
        <dsp:cNvSpPr/>
      </dsp:nvSpPr>
      <dsp:spPr>
        <a:xfrm>
          <a:off x="2774" y="249660"/>
          <a:ext cx="996553" cy="384669"/>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141E0E-EE0E-4C28-993B-5D30EDC401A0}">
      <dsp:nvSpPr>
        <dsp:cNvPr id="0" name=""/>
        <dsp:cNvSpPr/>
      </dsp:nvSpPr>
      <dsp:spPr>
        <a:xfrm>
          <a:off x="212988" y="-28694"/>
          <a:ext cx="952599" cy="11337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Start-up </a:t>
          </a:r>
        </a:p>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(Feb - March 2020)</a:t>
          </a:r>
        </a:p>
      </dsp:txBody>
      <dsp:txXfrm>
        <a:off x="240889" y="-793"/>
        <a:ext cx="896797" cy="1077911"/>
      </dsp:txXfrm>
    </dsp:sp>
    <dsp:sp modelId="{646170AF-2C7F-4AB7-907D-6E5703E86173}">
      <dsp:nvSpPr>
        <dsp:cNvPr id="0" name=""/>
        <dsp:cNvSpPr/>
      </dsp:nvSpPr>
      <dsp:spPr>
        <a:xfrm>
          <a:off x="1196592" y="249660"/>
          <a:ext cx="996553" cy="384669"/>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38343E-09DE-44F1-8DDD-500760E7DC5C}">
      <dsp:nvSpPr>
        <dsp:cNvPr id="0" name=""/>
        <dsp:cNvSpPr/>
      </dsp:nvSpPr>
      <dsp:spPr>
        <a:xfrm>
          <a:off x="1431320" y="-16444"/>
          <a:ext cx="903571" cy="1109213"/>
        </a:xfrm>
        <a:prstGeom prst="roundRect">
          <a:avLst>
            <a:gd name="adj" fmla="val 10000"/>
          </a:avLst>
        </a:prstGeom>
        <a:solidFill>
          <a:schemeClr val="bg1">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Co-define phase </a:t>
          </a:r>
        </a:p>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(April - May 2020)</a:t>
          </a:r>
        </a:p>
      </dsp:txBody>
      <dsp:txXfrm>
        <a:off x="1457785" y="10021"/>
        <a:ext cx="850641" cy="1056283"/>
      </dsp:txXfrm>
    </dsp:sp>
    <dsp:sp modelId="{FA9CF9C4-87BE-40AA-A870-181A9277AB21}">
      <dsp:nvSpPr>
        <dsp:cNvPr id="0" name=""/>
        <dsp:cNvSpPr/>
      </dsp:nvSpPr>
      <dsp:spPr>
        <a:xfrm>
          <a:off x="2365896" y="249660"/>
          <a:ext cx="996553" cy="384669"/>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EADB53-48DA-4077-BCD7-8D93CAB728CE}">
      <dsp:nvSpPr>
        <dsp:cNvPr id="0" name=""/>
        <dsp:cNvSpPr/>
      </dsp:nvSpPr>
      <dsp:spPr>
        <a:xfrm>
          <a:off x="2618570" y="-16384"/>
          <a:ext cx="867680" cy="110909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Conceptual framework</a:t>
          </a:r>
        </a:p>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(June - Sep 2020)</a:t>
          </a:r>
        </a:p>
      </dsp:txBody>
      <dsp:txXfrm>
        <a:off x="2643983" y="9029"/>
        <a:ext cx="816854" cy="1058268"/>
      </dsp:txXfrm>
    </dsp:sp>
    <dsp:sp modelId="{4B361646-7741-4B46-922C-4BCAE665B4F1}">
      <dsp:nvSpPr>
        <dsp:cNvPr id="0" name=""/>
        <dsp:cNvSpPr/>
      </dsp:nvSpPr>
      <dsp:spPr>
        <a:xfrm>
          <a:off x="3517254" y="249660"/>
          <a:ext cx="996553" cy="384669"/>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F3EAE5-6D71-4608-9F53-6BD98C7ACBCE}">
      <dsp:nvSpPr>
        <dsp:cNvPr id="0" name=""/>
        <dsp:cNvSpPr/>
      </dsp:nvSpPr>
      <dsp:spPr>
        <a:xfrm>
          <a:off x="3760949" y="-16444"/>
          <a:ext cx="885638" cy="11092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Data phase</a:t>
          </a:r>
        </a:p>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(Sep - Dec 2020)</a:t>
          </a:r>
        </a:p>
      </dsp:txBody>
      <dsp:txXfrm>
        <a:off x="3786888" y="9495"/>
        <a:ext cx="833760" cy="1057335"/>
      </dsp:txXfrm>
    </dsp:sp>
    <dsp:sp modelId="{4220A7B9-34CC-409A-A25F-9BCC320734FF}">
      <dsp:nvSpPr>
        <dsp:cNvPr id="0" name=""/>
        <dsp:cNvSpPr/>
      </dsp:nvSpPr>
      <dsp:spPr>
        <a:xfrm>
          <a:off x="4677592" y="249660"/>
          <a:ext cx="996553" cy="384669"/>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51E094-1FAB-4ADC-B299-AB6E9B29FBE9}">
      <dsp:nvSpPr>
        <dsp:cNvPr id="0" name=""/>
        <dsp:cNvSpPr/>
      </dsp:nvSpPr>
      <dsp:spPr>
        <a:xfrm>
          <a:off x="4825486" y="-16444"/>
          <a:ext cx="1077238" cy="11092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Handover 2021 version  to permanent Commission and support implementation </a:t>
          </a:r>
        </a:p>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(Feb 2021 onvwards)</a:t>
          </a:r>
        </a:p>
      </dsp:txBody>
      <dsp:txXfrm>
        <a:off x="4857037" y="15107"/>
        <a:ext cx="1014136" cy="10461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B2563-2917-43DA-9171-65D718AAC546}">
      <dsp:nvSpPr>
        <dsp:cNvPr id="0" name=""/>
        <dsp:cNvSpPr/>
      </dsp:nvSpPr>
      <dsp:spPr>
        <a:xfrm>
          <a:off x="1944" y="156191"/>
          <a:ext cx="957117" cy="369447"/>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141E0E-EE0E-4C28-993B-5D30EDC401A0}">
      <dsp:nvSpPr>
        <dsp:cNvPr id="0" name=""/>
        <dsp:cNvSpPr/>
      </dsp:nvSpPr>
      <dsp:spPr>
        <a:xfrm>
          <a:off x="203840" y="0"/>
          <a:ext cx="914902" cy="8665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Scope </a:t>
          </a:r>
        </a:p>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(Sep 2020)</a:t>
          </a:r>
        </a:p>
      </dsp:txBody>
      <dsp:txXfrm>
        <a:off x="229220" y="25380"/>
        <a:ext cx="864142" cy="815793"/>
      </dsp:txXfrm>
    </dsp:sp>
    <dsp:sp modelId="{646170AF-2C7F-4AB7-907D-6E5703E86173}">
      <dsp:nvSpPr>
        <dsp:cNvPr id="0" name=""/>
        <dsp:cNvSpPr/>
      </dsp:nvSpPr>
      <dsp:spPr>
        <a:xfrm>
          <a:off x="1148520" y="156191"/>
          <a:ext cx="957117" cy="369447"/>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38343E-09DE-44F1-8DDD-500760E7DC5C}">
      <dsp:nvSpPr>
        <dsp:cNvPr id="0" name=""/>
        <dsp:cNvSpPr/>
      </dsp:nvSpPr>
      <dsp:spPr>
        <a:xfrm>
          <a:off x="1373960" y="0"/>
          <a:ext cx="867815" cy="866553"/>
        </a:xfrm>
        <a:prstGeom prst="roundRect">
          <a:avLst>
            <a:gd name="adj" fmla="val 10000"/>
          </a:avLst>
        </a:prstGeom>
        <a:solidFill>
          <a:schemeClr val="bg1">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Co-define phase </a:t>
          </a:r>
        </a:p>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(Oct - Dec 2020)</a:t>
          </a:r>
        </a:p>
      </dsp:txBody>
      <dsp:txXfrm>
        <a:off x="1399340" y="25380"/>
        <a:ext cx="817055" cy="815793"/>
      </dsp:txXfrm>
    </dsp:sp>
    <dsp:sp modelId="{FA9CF9C4-87BE-40AA-A870-181A9277AB21}">
      <dsp:nvSpPr>
        <dsp:cNvPr id="0" name=""/>
        <dsp:cNvSpPr/>
      </dsp:nvSpPr>
      <dsp:spPr>
        <a:xfrm>
          <a:off x="2271552" y="156191"/>
          <a:ext cx="957117" cy="369447"/>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EADB53-48DA-4077-BCD7-8D93CAB728CE}">
      <dsp:nvSpPr>
        <dsp:cNvPr id="0" name=""/>
        <dsp:cNvSpPr/>
      </dsp:nvSpPr>
      <dsp:spPr>
        <a:xfrm>
          <a:off x="2417878" y="0"/>
          <a:ext cx="1026043" cy="8665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Conceptual framework</a:t>
          </a:r>
        </a:p>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(Jan - March 2021)</a:t>
          </a:r>
        </a:p>
      </dsp:txBody>
      <dsp:txXfrm>
        <a:off x="2443258" y="25380"/>
        <a:ext cx="975283" cy="815793"/>
      </dsp:txXfrm>
    </dsp:sp>
    <dsp:sp modelId="{4B361646-7741-4B46-922C-4BCAE665B4F1}">
      <dsp:nvSpPr>
        <dsp:cNvPr id="0" name=""/>
        <dsp:cNvSpPr/>
      </dsp:nvSpPr>
      <dsp:spPr>
        <a:xfrm>
          <a:off x="3473698" y="156191"/>
          <a:ext cx="957117" cy="369447"/>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F3EAE5-6D71-4608-9F53-6BD98C7ACBCE}">
      <dsp:nvSpPr>
        <dsp:cNvPr id="0" name=""/>
        <dsp:cNvSpPr/>
      </dsp:nvSpPr>
      <dsp:spPr>
        <a:xfrm>
          <a:off x="3707750" y="0"/>
          <a:ext cx="850591" cy="8665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Data and methodology phase</a:t>
          </a:r>
        </a:p>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(April - May 2021)</a:t>
          </a:r>
        </a:p>
      </dsp:txBody>
      <dsp:txXfrm>
        <a:off x="3732663" y="24913"/>
        <a:ext cx="800765" cy="816727"/>
      </dsp:txXfrm>
    </dsp:sp>
    <dsp:sp modelId="{2964A5BF-8754-4640-819D-7B0AB17BF981}">
      <dsp:nvSpPr>
        <dsp:cNvPr id="0" name=""/>
        <dsp:cNvSpPr/>
      </dsp:nvSpPr>
      <dsp:spPr>
        <a:xfrm>
          <a:off x="4588119" y="156191"/>
          <a:ext cx="957117" cy="369447"/>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D18B46-6491-4EF6-B0F2-9BE9C66DF1EF}">
      <dsp:nvSpPr>
        <dsp:cNvPr id="0" name=""/>
        <dsp:cNvSpPr/>
      </dsp:nvSpPr>
      <dsp:spPr>
        <a:xfrm>
          <a:off x="4765368" y="0"/>
          <a:ext cx="964197" cy="8665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Publish first monitoring report </a:t>
          </a:r>
        </a:p>
        <a:p>
          <a:pPr marL="0" lvl="0" indent="0" algn="ctr" defTabSz="444500">
            <a:lnSpc>
              <a:spcPct val="90000"/>
            </a:lnSpc>
            <a:spcBef>
              <a:spcPct val="0"/>
            </a:spcBef>
            <a:spcAft>
              <a:spcPct val="35000"/>
            </a:spcAft>
            <a:buNone/>
          </a:pPr>
          <a:r>
            <a:rPr lang="en-NZ" sz="1000" kern="1200" dirty="0">
              <a:latin typeface="Arial Narrow" panose="020B0606020202030204" pitchFamily="34" charset="0"/>
            </a:rPr>
            <a:t>(Sep 2021)</a:t>
          </a:r>
        </a:p>
      </dsp:txBody>
      <dsp:txXfrm>
        <a:off x="4790748" y="25380"/>
        <a:ext cx="913437" cy="81579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e67e2b07f55ee3ef073ed301721244b7">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82aa3c98ac97ef9ac63f9353a6df2bd9"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9C24-F7FD-43D5-B86C-22E34D40973D}">
  <ds:schemaRefs>
    <ds:schemaRef ds:uri="http://schemas.microsoft.com/sharepoint/v3/contenttype/forms"/>
  </ds:schemaRefs>
</ds:datastoreItem>
</file>

<file path=customXml/itemProps2.xml><?xml version="1.0" encoding="utf-8"?>
<ds:datastoreItem xmlns:ds="http://schemas.openxmlformats.org/officeDocument/2006/customXml" ds:itemID="{CE5209ED-ACD5-4895-9743-307057CDDC36}">
  <ds:schemaRefs>
    <ds:schemaRef ds:uri="http://purl.org/dc/elements/1.1/"/>
    <ds:schemaRef ds:uri="4aea5d07-0eb0-44bf-96eb-22637babf967"/>
    <ds:schemaRef ds:uri="http://purl.org/dc/terms/"/>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8B11041-4460-4510-A6B9-063CCCED8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1715CB-BC53-4926-99F5-695702C8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4963</Words>
  <Characters>28295</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Horspool</dc:creator>
  <cp:keywords/>
  <dc:description/>
  <cp:lastModifiedBy>Katie Sherriff</cp:lastModifiedBy>
  <cp:revision>2</cp:revision>
  <dcterms:created xsi:type="dcterms:W3CDTF">2020-11-10T03:30:00Z</dcterms:created>
  <dcterms:modified xsi:type="dcterms:W3CDTF">2020-11-10T03:30:00Z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