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8AB8" w14:textId="1262EACA" w:rsidR="00ED057E" w:rsidRDefault="00E86239" w:rsidP="00ED057E">
      <w:pPr>
        <w:rPr>
          <w:rFonts w:ascii="Basic Sans" w:hAnsi="Basic Sans" w:cs="Arial"/>
          <w:sz w:val="40"/>
          <w:szCs w:val="40"/>
          <w:shd w:val="clear" w:color="auto" w:fill="FAF9F8"/>
        </w:rPr>
      </w:pPr>
      <w:r w:rsidRPr="00CC145A">
        <w:rPr>
          <w:noProof/>
        </w:rPr>
        <w:drawing>
          <wp:anchor distT="0" distB="0" distL="114300" distR="114300" simplePos="0" relativeHeight="251658240" behindDoc="1" locked="0" layoutInCell="1" allowOverlap="1" wp14:anchorId="3ACCBCB3" wp14:editId="0167DD46">
            <wp:simplePos x="0" y="0"/>
            <wp:positionH relativeFrom="column">
              <wp:posOffset>-3048000</wp:posOffset>
            </wp:positionH>
            <wp:positionV relativeFrom="paragraph">
              <wp:posOffset>461010</wp:posOffset>
            </wp:positionV>
            <wp:extent cx="7760290" cy="10044218"/>
            <wp:effectExtent l="0" t="0" r="0" b="0"/>
            <wp:wrapNone/>
            <wp:docPr id="9" name="Picture 9">
              <a:extLst xmlns:a="http://schemas.openxmlformats.org/drawingml/2006/main">
                <a:ext uri="{FF2B5EF4-FFF2-40B4-BE49-F238E27FC236}">
                  <a16:creationId xmlns:a16="http://schemas.microsoft.com/office/drawing/2014/main" id="{9F5E733B-7E5A-CB26-7EE7-F3E5967A0C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9F5E733B-7E5A-CB26-7EE7-F3E5967A0CFE}"/>
                        </a:ext>
                      </a:extLst>
                    </pic:cNvPr>
                    <pic:cNvPicPr>
                      <a:picLocks noChangeAspect="1"/>
                    </pic:cNvPicPr>
                  </pic:nvPicPr>
                  <pic:blipFill rotWithShape="1">
                    <a:blip r:embed="rId12">
                      <a:alphaModFix amt="5000"/>
                      <a:extLst>
                        <a:ext uri="{28A0092B-C50C-407E-A947-70E740481C1C}">
                          <a14:useLocalDpi xmlns:a14="http://schemas.microsoft.com/office/drawing/2010/main" val="0"/>
                        </a:ext>
                      </a:extLst>
                    </a:blip>
                    <a:srcRect l="18883"/>
                    <a:stretch/>
                  </pic:blipFill>
                  <pic:spPr>
                    <a:xfrm>
                      <a:off x="0" y="0"/>
                      <a:ext cx="7761958" cy="10046377"/>
                    </a:xfrm>
                    <a:prstGeom prst="rect">
                      <a:avLst/>
                    </a:prstGeom>
                  </pic:spPr>
                </pic:pic>
              </a:graphicData>
            </a:graphic>
            <wp14:sizeRelH relativeFrom="margin">
              <wp14:pctWidth>0</wp14:pctWidth>
            </wp14:sizeRelH>
            <wp14:sizeRelV relativeFrom="margin">
              <wp14:pctHeight>0</wp14:pctHeight>
            </wp14:sizeRelV>
          </wp:anchor>
        </w:drawing>
      </w:r>
    </w:p>
    <w:p w14:paraId="67BC3972" w14:textId="275B6663" w:rsidR="00ED057E" w:rsidRDefault="00ED057E" w:rsidP="004C43E6">
      <w:pPr>
        <w:jc w:val="right"/>
        <w:rPr>
          <w:rFonts w:ascii="Basic Sans" w:hAnsi="Basic Sans" w:cs="Arial"/>
          <w:sz w:val="40"/>
          <w:szCs w:val="40"/>
          <w:shd w:val="clear" w:color="auto" w:fill="FAF9F8"/>
        </w:rPr>
      </w:pPr>
    </w:p>
    <w:p w14:paraId="55AC203B" w14:textId="24DA3823" w:rsidR="00825FB3" w:rsidRPr="00825FB3" w:rsidRDefault="00825FB3">
      <w:pPr>
        <w:rPr>
          <w:rFonts w:ascii="Basic Sans" w:hAnsi="Basic Sans" w:cs="Arial"/>
          <w:color w:val="FBC2B1" w:themeColor="accent1"/>
          <w:sz w:val="80"/>
          <w:szCs w:val="80"/>
          <w:shd w:val="clear" w:color="auto" w:fill="FAF9F8"/>
        </w:rPr>
      </w:pPr>
    </w:p>
    <w:p w14:paraId="62BBB3D3" w14:textId="5B551745" w:rsidR="00825FB3" w:rsidRPr="00ED057E" w:rsidRDefault="00825FB3" w:rsidP="00825FB3">
      <w:pPr>
        <w:jc w:val="right"/>
        <w:rPr>
          <w:rFonts w:ascii="Basic Sans" w:hAnsi="Basic Sans" w:cs="Arial"/>
          <w:color w:val="FBC2B1" w:themeColor="accent1"/>
          <w:sz w:val="80"/>
          <w:szCs w:val="80"/>
          <w:shd w:val="clear" w:color="auto" w:fill="FAF9F8"/>
        </w:rPr>
      </w:pPr>
    </w:p>
    <w:p w14:paraId="539B87F7" w14:textId="475C7043" w:rsidR="00ED057E" w:rsidRPr="00851E7A" w:rsidRDefault="00BB006A" w:rsidP="004C43E6">
      <w:pPr>
        <w:jc w:val="right"/>
        <w:rPr>
          <w:rFonts w:ascii="Basic Sans" w:hAnsi="Basic Sans"/>
          <w:b/>
          <w:bCs/>
          <w:color w:val="005E85" w:themeColor="accent4"/>
          <w:sz w:val="80"/>
          <w:szCs w:val="80"/>
          <w:lang w:val="mi-NZ"/>
        </w:rPr>
      </w:pPr>
      <w:r w:rsidRPr="00851E7A">
        <w:rPr>
          <w:rFonts w:ascii="Basic Sans" w:hAnsi="Basic Sans"/>
          <w:b/>
          <w:bCs/>
          <w:color w:val="005E85" w:themeColor="accent4"/>
          <w:sz w:val="80"/>
          <w:szCs w:val="80"/>
        </w:rPr>
        <w:t xml:space="preserve">He Ara </w:t>
      </w:r>
      <w:r w:rsidRPr="00851E7A">
        <w:rPr>
          <w:rFonts w:ascii="Basic Sans" w:hAnsi="Basic Sans"/>
          <w:b/>
          <w:bCs/>
          <w:color w:val="005E85" w:themeColor="accent4"/>
          <w:sz w:val="80"/>
          <w:szCs w:val="80"/>
          <w:lang w:val="mi-NZ"/>
        </w:rPr>
        <w:t>Āwhina</w:t>
      </w:r>
    </w:p>
    <w:p w14:paraId="404BA377" w14:textId="3DB3BF23" w:rsidR="00650000" w:rsidRPr="00851E7A" w:rsidRDefault="00650000" w:rsidP="004C43E6">
      <w:pPr>
        <w:jc w:val="right"/>
        <w:rPr>
          <w:rFonts w:ascii="Basic Sans" w:hAnsi="Basic Sans"/>
          <w:b/>
          <w:bCs/>
          <w:color w:val="005E85" w:themeColor="accent4"/>
          <w:sz w:val="80"/>
          <w:szCs w:val="80"/>
          <w:lang w:val="mi-NZ"/>
        </w:rPr>
      </w:pPr>
      <w:r w:rsidRPr="00851E7A">
        <w:rPr>
          <w:rFonts w:ascii="Basic Sans" w:hAnsi="Basic Sans"/>
          <w:b/>
          <w:bCs/>
          <w:color w:val="005E85" w:themeColor="accent4"/>
          <w:sz w:val="80"/>
          <w:szCs w:val="80"/>
          <w:lang w:val="mi-NZ"/>
        </w:rPr>
        <w:t>Methods and measures</w:t>
      </w:r>
    </w:p>
    <w:p w14:paraId="5F9924FF" w14:textId="4DCD409C" w:rsidR="00ED057E" w:rsidRPr="00851E7A" w:rsidRDefault="006A45FD" w:rsidP="004C43E6">
      <w:pPr>
        <w:jc w:val="right"/>
        <w:rPr>
          <w:rFonts w:ascii="Basic Sans" w:hAnsi="Basic Sans"/>
          <w:color w:val="005E85" w:themeColor="accent4"/>
          <w:sz w:val="72"/>
          <w:szCs w:val="72"/>
        </w:rPr>
      </w:pPr>
      <w:r w:rsidRPr="00851E7A">
        <w:rPr>
          <w:rFonts w:ascii="Basic Sans" w:hAnsi="Basic Sans"/>
          <w:color w:val="005E85" w:themeColor="accent4"/>
          <w:sz w:val="72"/>
          <w:szCs w:val="72"/>
        </w:rPr>
        <w:t>Phase 1 summary</w:t>
      </w:r>
    </w:p>
    <w:p w14:paraId="0DB556DA" w14:textId="23B55BCC" w:rsidR="00D46F63" w:rsidRPr="00851E7A" w:rsidRDefault="00582BE8" w:rsidP="004C43E6">
      <w:pPr>
        <w:jc w:val="right"/>
        <w:rPr>
          <w:rFonts w:ascii="Basic Sans" w:hAnsi="Basic Sans"/>
          <w:color w:val="005E85" w:themeColor="accent4"/>
          <w:sz w:val="72"/>
          <w:szCs w:val="72"/>
        </w:rPr>
      </w:pPr>
      <w:r>
        <w:rPr>
          <w:rFonts w:ascii="Basic Sans" w:hAnsi="Basic Sans"/>
          <w:color w:val="005E85" w:themeColor="accent4"/>
          <w:sz w:val="72"/>
          <w:szCs w:val="72"/>
        </w:rPr>
        <w:t>May 2023</w:t>
      </w:r>
    </w:p>
    <w:p w14:paraId="5DB0B1F3" w14:textId="327E7251" w:rsidR="00ED057E" w:rsidRPr="00ED057E" w:rsidRDefault="00ED057E" w:rsidP="00ED057E">
      <w:pPr>
        <w:jc w:val="right"/>
        <w:rPr>
          <w:rFonts w:ascii="Basic Sans" w:hAnsi="Basic Sans"/>
          <w:color w:val="FBC2B1" w:themeColor="accent1"/>
          <w:sz w:val="80"/>
          <w:szCs w:val="80"/>
        </w:rPr>
      </w:pPr>
    </w:p>
    <w:p w14:paraId="55AD63D5" w14:textId="18BC3C40" w:rsidR="00142302" w:rsidRDefault="00ED057E" w:rsidP="0019537E">
      <w:pPr>
        <w:tabs>
          <w:tab w:val="left" w:pos="2392"/>
        </w:tabs>
      </w:pPr>
      <w:r w:rsidRPr="00CC145A">
        <w:rPr>
          <w:rFonts w:ascii="Basic Sans" w:hAnsi="Basic Sans"/>
          <w:noProof/>
        </w:rPr>
        <w:drawing>
          <wp:anchor distT="0" distB="0" distL="114300" distR="114300" simplePos="0" relativeHeight="251658241" behindDoc="0" locked="0" layoutInCell="1" allowOverlap="1" wp14:anchorId="15138DBC" wp14:editId="2099E110">
            <wp:simplePos x="0" y="0"/>
            <wp:positionH relativeFrom="column">
              <wp:posOffset>4716839</wp:posOffset>
            </wp:positionH>
            <wp:positionV relativeFrom="paragraph">
              <wp:posOffset>3082518</wp:posOffset>
            </wp:positionV>
            <wp:extent cx="1800000" cy="810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810000"/>
                    </a:xfrm>
                    <a:prstGeom prst="rect">
                      <a:avLst/>
                    </a:prstGeom>
                    <a:noFill/>
                    <a:ln>
                      <a:noFill/>
                    </a:ln>
                  </pic:spPr>
                </pic:pic>
              </a:graphicData>
            </a:graphic>
          </wp:anchor>
        </w:drawing>
      </w:r>
      <w:r w:rsidR="0019537E">
        <w:tab/>
      </w:r>
    </w:p>
    <w:p w14:paraId="0860178E" w14:textId="16D9986A" w:rsidR="00142302" w:rsidRDefault="00142302">
      <w:r>
        <w:br w:type="page"/>
      </w:r>
    </w:p>
    <w:p w14:paraId="6F564C0F" w14:textId="16D9986A" w:rsidR="00500FF2" w:rsidRDefault="00500FF2" w:rsidP="00500FF2">
      <w:pPr>
        <w:pStyle w:val="Heading3"/>
        <w:spacing w:before="4000"/>
        <w:rPr>
          <w:rFonts w:eastAsia="Calibri"/>
        </w:rPr>
      </w:pPr>
    </w:p>
    <w:p w14:paraId="1DFFFB2F" w14:textId="0F486819" w:rsidR="00500FF2" w:rsidRDefault="00AA4F3C" w:rsidP="00D96AFE">
      <w:pPr>
        <w:pStyle w:val="Heading3"/>
        <w:spacing w:before="3000"/>
        <w:rPr>
          <w:rFonts w:eastAsia="Calibri"/>
        </w:rPr>
      </w:pPr>
      <w:r>
        <w:rPr>
          <w:rFonts w:eastAsia="Calibri"/>
        </w:rPr>
        <w:t xml:space="preserve">He Ara Awhina Methods and </w:t>
      </w:r>
      <w:r w:rsidR="00500FF2">
        <w:rPr>
          <w:rFonts w:eastAsia="Calibri"/>
        </w:rPr>
        <w:t xml:space="preserve">Measures: Phase 1 summary </w:t>
      </w:r>
      <w:r w:rsidR="00582BE8">
        <w:rPr>
          <w:rFonts w:eastAsia="Calibri"/>
        </w:rPr>
        <w:t>May</w:t>
      </w:r>
      <w:r w:rsidR="00500FF2">
        <w:rPr>
          <w:rFonts w:eastAsia="Calibri"/>
        </w:rPr>
        <w:t xml:space="preserve"> 202</w:t>
      </w:r>
      <w:r w:rsidR="00582BE8">
        <w:rPr>
          <w:rFonts w:eastAsia="Calibri"/>
        </w:rPr>
        <w:t>3</w:t>
      </w:r>
    </w:p>
    <w:p w14:paraId="56261A9E" w14:textId="16D9986A" w:rsidR="00D32B0C" w:rsidRPr="00D32B0C" w:rsidRDefault="00D32B0C" w:rsidP="00250EAC">
      <w:pPr>
        <w:rPr>
          <w:rFonts w:eastAsia="Calibri" w:cs="Arial"/>
        </w:rPr>
      </w:pPr>
      <w:r w:rsidRPr="6AA578B3">
        <w:rPr>
          <w:rFonts w:eastAsia="Calibri" w:cs="Arial"/>
        </w:rPr>
        <w:t>A report issued by Te Hiringa Mahara - Mental Health and Wellbeing Commission.</w:t>
      </w:r>
    </w:p>
    <w:p w14:paraId="0ED81557" w14:textId="16D9986A" w:rsidR="00D32B0C" w:rsidRPr="00D32B0C" w:rsidRDefault="00D32B0C" w:rsidP="00D32B0C">
      <w:pPr>
        <w:rPr>
          <w:rFonts w:eastAsia="Calibri" w:cs="Arial"/>
        </w:rPr>
      </w:pPr>
      <w:r w:rsidRPr="6AA578B3">
        <w:rPr>
          <w:rFonts w:eastAsia="Calibri" w:cs="Arial"/>
        </w:rPr>
        <w:t>Authored by Te Hiringa Mahara.</w:t>
      </w:r>
    </w:p>
    <w:p w14:paraId="12B75A56" w14:textId="6798B79A" w:rsidR="00D32B0C" w:rsidRPr="00D32B0C" w:rsidRDefault="00D32B0C" w:rsidP="00D32B0C">
      <w:pPr>
        <w:rPr>
          <w:rFonts w:eastAsia="Calibri" w:cs="Arial"/>
        </w:rPr>
      </w:pPr>
      <w:r w:rsidRPr="6AA578B3">
        <w:rPr>
          <w:rFonts w:eastAsia="Calibri" w:cs="Arial"/>
        </w:rPr>
        <w:t xml:space="preserve">This work is protected by copyright owned by </w:t>
      </w:r>
      <w:r w:rsidR="00CE5A00">
        <w:rPr>
          <w:rFonts w:eastAsia="Calibri" w:cs="Arial"/>
        </w:rPr>
        <w:t xml:space="preserve">Te Hiringa Mahara </w:t>
      </w:r>
      <w:r w:rsidR="0070430A" w:rsidRPr="00653EBC">
        <w:t>–</w:t>
      </w:r>
      <w:r w:rsidRPr="6AA578B3">
        <w:rPr>
          <w:rFonts w:eastAsia="Calibri" w:cs="Arial"/>
        </w:rPr>
        <w:t xml:space="preserve"> Mental Health and Wellbeing Commission. This copyright material is licensed for re-use under the Creative Commons Attribution 4.0 International License. This means you are free to copy, distribute, and adapt the material, if you attribute it to </w:t>
      </w:r>
      <w:r w:rsidR="000D592D">
        <w:rPr>
          <w:rFonts w:eastAsia="Calibri" w:cs="Arial"/>
        </w:rPr>
        <w:t xml:space="preserve">Te Hiringa Mahara </w:t>
      </w:r>
      <w:r w:rsidR="0070430A" w:rsidRPr="00653EBC">
        <w:t>–</w:t>
      </w:r>
      <w:r w:rsidRPr="6AA578B3">
        <w:rPr>
          <w:rFonts w:eastAsia="Calibri" w:cs="Arial"/>
        </w:rPr>
        <w:t xml:space="preserve">Mental Health and Wellbeing Commission and abide by the other licence terms. To view a copy of this licence, visit </w:t>
      </w:r>
      <w:hyperlink r:id="rId14">
        <w:r w:rsidR="17783685" w:rsidRPr="6AA578B3">
          <w:rPr>
            <w:rFonts w:eastAsia="Calibri" w:cs="Arial"/>
            <w:color w:val="0563C1"/>
          </w:rPr>
          <w:t>https://creativecommons.org/licenses/by/4.0/legalcode</w:t>
        </w:r>
      </w:hyperlink>
      <w:r w:rsidR="17783685" w:rsidRPr="6AA578B3">
        <w:rPr>
          <w:rFonts w:ascii="Basic Sans" w:eastAsia="Calibri" w:hAnsi="Basic Sans" w:cs="Arial"/>
        </w:rPr>
        <w:t>.</w:t>
      </w:r>
      <w:r w:rsidR="17783685" w:rsidRPr="6AA578B3">
        <w:rPr>
          <w:rFonts w:eastAsia="Calibri" w:cs="Arial"/>
        </w:rPr>
        <w:t xml:space="preserve"> </w:t>
      </w:r>
    </w:p>
    <w:p w14:paraId="1F1163C5" w14:textId="64812782" w:rsidR="00D32B0C" w:rsidRPr="00D32B0C" w:rsidRDefault="00D32B0C" w:rsidP="00D32B0C">
      <w:pPr>
        <w:rPr>
          <w:rFonts w:eastAsia="Calibri" w:cs="Arial"/>
          <w:i/>
          <w:color w:val="808080"/>
        </w:rPr>
      </w:pPr>
      <w:r w:rsidRPr="00A83ACA">
        <w:rPr>
          <w:rFonts w:eastAsia="Calibri" w:cs="Arial"/>
        </w:rPr>
        <w:t xml:space="preserve">ISBN: </w:t>
      </w:r>
      <w:r w:rsidR="00A83ACA" w:rsidRPr="00A83ACA">
        <w:rPr>
          <w:rFonts w:eastAsia="Calibri" w:cs="Arial"/>
        </w:rPr>
        <w:t>978-1-7385863-6-3</w:t>
      </w:r>
    </w:p>
    <w:p w14:paraId="792D3DD3" w14:textId="16D9986A" w:rsidR="00D32B0C" w:rsidRPr="00D32B0C" w:rsidRDefault="00D32B0C" w:rsidP="00D32B0C">
      <w:pPr>
        <w:rPr>
          <w:rFonts w:eastAsia="Calibri" w:cs="Arial"/>
        </w:rPr>
      </w:pPr>
      <w:r w:rsidRPr="6AA578B3">
        <w:rPr>
          <w:rFonts w:eastAsia="Calibri" w:cs="Arial"/>
        </w:rPr>
        <w:t>Te Hiringa Mahara - the Mental Health and Wellbeing Commission - was set up in February 2021 and works under the Mental Health and Wellbeing Commission Act 2020. Our purpose is to contribute to better and equitable mental health and wellbeing outcomes for people in Aotearoa New Zealand.</w:t>
      </w:r>
    </w:p>
    <w:p w14:paraId="57A9CFDF" w14:textId="16D9986A" w:rsidR="00D32B0C" w:rsidRPr="00D32B0C" w:rsidRDefault="00D32B0C" w:rsidP="00D32B0C">
      <w:pPr>
        <w:rPr>
          <w:rFonts w:eastAsia="Calibri" w:cs="Arial"/>
          <w:b/>
        </w:rPr>
      </w:pPr>
      <w:r w:rsidRPr="6AA578B3">
        <w:rPr>
          <w:rFonts w:eastAsia="Calibri" w:cs="Arial"/>
        </w:rPr>
        <w:t xml:space="preserve">For more information, please visit our website: </w:t>
      </w:r>
      <w:hyperlink r:id="rId15">
        <w:r w:rsidR="17783685" w:rsidRPr="6AA578B3">
          <w:rPr>
            <w:rFonts w:eastAsia="Calibri" w:cs="Arial"/>
            <w:color w:val="0563C1"/>
          </w:rPr>
          <w:t>www.mental healthwc.govt.nz</w:t>
        </w:r>
      </w:hyperlink>
      <w:r w:rsidRPr="6AA578B3">
        <w:rPr>
          <w:rFonts w:eastAsia="Calibri" w:cs="Arial"/>
          <w:b/>
        </w:rPr>
        <w:t xml:space="preserve"> </w:t>
      </w:r>
    </w:p>
    <w:p w14:paraId="2898808B" w14:textId="16D9986A" w:rsidR="00D32B0C" w:rsidRPr="00D32B0C" w:rsidRDefault="00D32B0C" w:rsidP="00D32B0C">
      <w:pPr>
        <w:rPr>
          <w:rFonts w:eastAsia="Calibri" w:cs="Arial"/>
        </w:rPr>
      </w:pPr>
      <w:r w:rsidRPr="6AA578B3">
        <w:rPr>
          <w:rFonts w:eastAsia="Calibri" w:cs="Arial"/>
        </w:rPr>
        <w:t>The mission statement in our Strategy is “Whakawāteatia e tātou he ara oranga / clearing pathways to wellbeing for all.” Te Hiringa Mahara acknowledges the inequities present in how different communities in Aotearoa experience wellbeing and that we must create the space to welcome change and transformation of the systems that support mental health and wellbeing. Transforming the ways people experience wellbeing can only be realised when the voices of those poorly served communities, including Māori and people with lived experience of distress and addiction, substance harm, or gambling harm, are prioritised.</w:t>
      </w:r>
    </w:p>
    <w:p w14:paraId="6C6D864A" w14:textId="16D9986A" w:rsidR="00CF1BB7" w:rsidRDefault="00D32B0C" w:rsidP="00D32B0C">
      <w:pPr>
        <w:spacing w:line="259" w:lineRule="auto"/>
        <w:rPr>
          <w:rFonts w:ascii="Basic Sans" w:eastAsiaTheme="majorEastAsia" w:hAnsi="Basic Sans" w:cstheme="majorBidi"/>
          <w:color w:val="005E85"/>
          <w:sz w:val="56"/>
          <w:szCs w:val="56"/>
        </w:rPr>
      </w:pPr>
      <w:r w:rsidRPr="6AA578B3">
        <w:rPr>
          <w:rFonts w:eastAsia="Calibri" w:cs="Arial"/>
        </w:rPr>
        <w:t xml:space="preserve">Te Hiringa Mahara - Mental Health and Wellbeing Commission (2023). </w:t>
      </w:r>
      <w:r w:rsidR="00540FA0" w:rsidRPr="6AA578B3">
        <w:rPr>
          <w:rFonts w:eastAsia="Calibri" w:cs="Arial"/>
          <w:b/>
        </w:rPr>
        <w:t>He Ara Āwhina Methods and measures: Phase 1 summary December 2022</w:t>
      </w:r>
      <w:r w:rsidR="00CA34BC" w:rsidRPr="6AA578B3">
        <w:rPr>
          <w:rFonts w:eastAsia="Calibri" w:cs="Arial"/>
          <w:b/>
        </w:rPr>
        <w:t>.</w:t>
      </w:r>
      <w:r w:rsidRPr="6AA578B3">
        <w:rPr>
          <w:rFonts w:eastAsia="Calibri" w:cs="Arial"/>
        </w:rPr>
        <w:t xml:space="preserve"> Wellington: New Zealand.</w:t>
      </w:r>
      <w:r w:rsidR="00CF1BB7">
        <w:rPr>
          <w:sz w:val="56"/>
          <w:szCs w:val="56"/>
        </w:rPr>
        <w:br w:type="page"/>
      </w:r>
    </w:p>
    <w:p w14:paraId="5F6029BF" w14:textId="086EFD1B" w:rsidR="00D600C6" w:rsidRPr="00B861F7" w:rsidRDefault="00D600C6" w:rsidP="00B861F7">
      <w:pPr>
        <w:pStyle w:val="Heading1"/>
        <w:rPr>
          <w:sz w:val="56"/>
          <w:szCs w:val="56"/>
        </w:rPr>
      </w:pPr>
      <w:bookmarkStart w:id="0" w:name="_Toc135392315"/>
      <w:r w:rsidRPr="00B861F7">
        <w:rPr>
          <w:sz w:val="56"/>
          <w:szCs w:val="56"/>
        </w:rPr>
        <w:lastRenderedPageBreak/>
        <w:t>Acknowledgements</w:t>
      </w:r>
      <w:bookmarkEnd w:id="0"/>
    </w:p>
    <w:p w14:paraId="5A333A07" w14:textId="3665EF08" w:rsidR="002F34BE" w:rsidRPr="00557A30" w:rsidRDefault="00F860AE" w:rsidP="00F860AE">
      <w:r w:rsidRPr="00557A30">
        <w:t xml:space="preserve">Te Hiringa Mahara developed this report with input from people </w:t>
      </w:r>
      <w:r w:rsidR="002071BF">
        <w:t xml:space="preserve">from many people </w:t>
      </w:r>
      <w:r w:rsidRPr="00557A30">
        <w:t xml:space="preserve">who shared their expertise. </w:t>
      </w:r>
      <w:r w:rsidR="007F420C" w:rsidRPr="00557A30">
        <w:t xml:space="preserve">We </w:t>
      </w:r>
      <w:r w:rsidR="001F6EE1">
        <w:t>would particularly like to acknowledge the following</w:t>
      </w:r>
      <w:r w:rsidR="007F420C">
        <w:t>:</w:t>
      </w:r>
    </w:p>
    <w:p w14:paraId="419882AC" w14:textId="603BB101" w:rsidR="006A3699" w:rsidRDefault="00550F7A" w:rsidP="006A3699">
      <w:r>
        <w:t>S</w:t>
      </w:r>
      <w:r w:rsidR="00367884" w:rsidRPr="00201FF9">
        <w:t>pecialist advisors</w:t>
      </w:r>
      <w:r w:rsidR="00183E83" w:rsidRPr="00201FF9">
        <w:t xml:space="preserve"> – Sharon Shea, Shea Pita and Associates Ltd</w:t>
      </w:r>
      <w:r w:rsidR="002C5238" w:rsidRPr="00201FF9">
        <w:t xml:space="preserve"> </w:t>
      </w:r>
      <w:r>
        <w:t xml:space="preserve">and </w:t>
      </w:r>
      <w:r w:rsidR="002C5238" w:rsidRPr="00201FF9">
        <w:t>Tania Simmons</w:t>
      </w:r>
    </w:p>
    <w:p w14:paraId="06777EDD" w14:textId="3FF5D435" w:rsidR="00071A49" w:rsidRDefault="001F6EE1" w:rsidP="006A3699">
      <w:r w:rsidRPr="001F6EE1">
        <w:t>Our</w:t>
      </w:r>
      <w:r>
        <w:rPr>
          <w:b/>
          <w:bCs/>
        </w:rPr>
        <w:t xml:space="preserve"> </w:t>
      </w:r>
      <w:r w:rsidR="00550F7A" w:rsidRPr="001F6EE1">
        <w:rPr>
          <w:b/>
          <w:bCs/>
        </w:rPr>
        <w:t>T</w:t>
      </w:r>
      <w:r w:rsidR="006D3872" w:rsidRPr="001F6EE1">
        <w:rPr>
          <w:b/>
          <w:bCs/>
        </w:rPr>
        <w:t>echnical</w:t>
      </w:r>
      <w:r w:rsidR="006D3872" w:rsidRPr="001F6EE1">
        <w:rPr>
          <w:b/>
        </w:rPr>
        <w:t xml:space="preserve"> advisory </w:t>
      </w:r>
      <w:r w:rsidR="003D192A" w:rsidRPr="001F6EE1">
        <w:rPr>
          <w:b/>
        </w:rPr>
        <w:t>network</w:t>
      </w:r>
      <w:r w:rsidR="003D192A">
        <w:t xml:space="preserve">, </w:t>
      </w:r>
      <w:r w:rsidR="003D192A" w:rsidRPr="00201FF9">
        <w:t>including</w:t>
      </w:r>
      <w:r w:rsidR="00466E5F" w:rsidRPr="00201FF9">
        <w:t xml:space="preserve"> </w:t>
      </w:r>
      <w:r w:rsidR="00A86FD0">
        <w:t>the</w:t>
      </w:r>
      <w:r w:rsidR="00367884" w:rsidRPr="00201FF9">
        <w:t xml:space="preserve"> Māori roop</w:t>
      </w:r>
      <w:r w:rsidR="001555E4" w:rsidRPr="00201FF9">
        <w:t>ū and lived exp</w:t>
      </w:r>
      <w:r w:rsidR="00A86FD0">
        <w:t>erience</w:t>
      </w:r>
      <w:r w:rsidR="001555E4" w:rsidRPr="00201FF9">
        <w:t xml:space="preserve"> group</w:t>
      </w:r>
      <w:r w:rsidR="00A86FD0">
        <w:t>s</w:t>
      </w:r>
      <w:r w:rsidR="00F47095">
        <w:t>:</w:t>
      </w:r>
    </w:p>
    <w:p w14:paraId="272E4D4B" w14:textId="4904B37F" w:rsidR="006D3872" w:rsidRPr="00201FF9" w:rsidRDefault="00B07289" w:rsidP="006A3699">
      <w:pPr>
        <w:pStyle w:val="ListParagraph"/>
        <w:numPr>
          <w:ilvl w:val="0"/>
          <w:numId w:val="50"/>
        </w:numPr>
      </w:pPr>
      <w:r>
        <w:t xml:space="preserve">Sharon Shea (Chair) </w:t>
      </w:r>
      <w:r w:rsidR="00391C77">
        <w:t>Ben Birks Ang, LJ Apaipo,</w:t>
      </w:r>
      <w:r w:rsidR="00EB1E13">
        <w:t xml:space="preserve"> </w:t>
      </w:r>
      <w:r w:rsidR="00391C77">
        <w:t>Suaree Borell, Kerri Butler, Ciaran Fox,</w:t>
      </w:r>
      <w:r w:rsidR="006A3699">
        <w:t xml:space="preserve"> </w:t>
      </w:r>
      <w:r w:rsidR="00391C77">
        <w:t>Nick Garrett, Te Kani</w:t>
      </w:r>
      <w:r w:rsidR="00541545">
        <w:t xml:space="preserve"> Kingi, Amanda Luckman, Leilani Maraku, Hope McCrohon, </w:t>
      </w:r>
      <w:r w:rsidR="00A2074D">
        <w:t>Marcelus Paki, Ross Phillips, Sheridan Pooley,</w:t>
      </w:r>
      <w:r w:rsidR="00EB1E13">
        <w:t xml:space="preserve"> </w:t>
      </w:r>
      <w:r w:rsidR="00A2074D">
        <w:t xml:space="preserve">Dr Lynne Russell, </w:t>
      </w:r>
      <w:r w:rsidR="002B085C">
        <w:t xml:space="preserve">Dr Jordan Waiti, Richard Woodcock, Craig Wright, Frank Bristol, </w:t>
      </w:r>
      <w:r w:rsidR="00F47095">
        <w:t>Jason Haitana, Lee Trezise, Denise Kingi Ulu’ave</w:t>
      </w:r>
      <w:r w:rsidR="002B7EFC">
        <w:t xml:space="preserve">, Margaret Aimer </w:t>
      </w:r>
      <w:r w:rsidR="006A3699">
        <w:br/>
      </w:r>
    </w:p>
    <w:p w14:paraId="3E804279" w14:textId="35426B52" w:rsidR="006A3699" w:rsidRDefault="001F6EE1" w:rsidP="006A3699">
      <w:r w:rsidRPr="001F6EE1">
        <w:t>Our</w:t>
      </w:r>
      <w:r>
        <w:rPr>
          <w:b/>
          <w:bCs/>
        </w:rPr>
        <w:t xml:space="preserve"> </w:t>
      </w:r>
      <w:r w:rsidR="006A3699" w:rsidRPr="001F6EE1">
        <w:rPr>
          <w:b/>
          <w:bCs/>
        </w:rPr>
        <w:t>E</w:t>
      </w:r>
      <w:r w:rsidR="006D3872" w:rsidRPr="001F6EE1">
        <w:rPr>
          <w:b/>
          <w:bCs/>
        </w:rPr>
        <w:t>xpert</w:t>
      </w:r>
      <w:r w:rsidR="006D3872" w:rsidRPr="001F6EE1">
        <w:rPr>
          <w:b/>
        </w:rPr>
        <w:t xml:space="preserve"> advisory group</w:t>
      </w:r>
      <w:r>
        <w:t>:</w:t>
      </w:r>
    </w:p>
    <w:p w14:paraId="1FCA6695" w14:textId="0057B197" w:rsidR="006D3872" w:rsidRPr="00201FF9" w:rsidRDefault="00C73FA8" w:rsidP="006A3699">
      <w:pPr>
        <w:pStyle w:val="ListParagraph"/>
        <w:numPr>
          <w:ilvl w:val="0"/>
          <w:numId w:val="50"/>
        </w:numPr>
      </w:pPr>
      <w:r>
        <w:t>Sharon Shea (Chair)</w:t>
      </w:r>
      <w:r w:rsidR="00722877">
        <w:t xml:space="preserve"> Peter Adams, </w:t>
      </w:r>
      <w:r w:rsidR="00A321C7">
        <w:t>Kelly Feng, Julia Ioane,</w:t>
      </w:r>
      <w:r w:rsidR="00EB1E13">
        <w:t xml:space="preserve"> </w:t>
      </w:r>
      <w:r w:rsidR="00A321C7">
        <w:t xml:space="preserve">Leilani Maraku, Hine Moeke-Murray, Mary O’Hagan, Ross Phillips, Dean Rangihuna, Nina Scott, Ian Soosay, MahMah Timoteo, </w:t>
      </w:r>
      <w:r w:rsidR="00A80CB7">
        <w:t xml:space="preserve">Ben Birks </w:t>
      </w:r>
      <w:r w:rsidR="00433CD4">
        <w:t xml:space="preserve">Ang </w:t>
      </w:r>
    </w:p>
    <w:p w14:paraId="3B0FB991" w14:textId="179BFB49" w:rsidR="00940736" w:rsidRPr="00201FF9" w:rsidRDefault="003D192A" w:rsidP="00201FF9">
      <w:r>
        <w:t>We also thank t</w:t>
      </w:r>
      <w:r w:rsidR="00940736" w:rsidRPr="00201FF9">
        <w:t>hose th</w:t>
      </w:r>
      <w:r w:rsidR="00174F27">
        <w:t xml:space="preserve">e many people </w:t>
      </w:r>
      <w:r w:rsidR="00940736" w:rsidRPr="00201FF9">
        <w:t xml:space="preserve">that have </w:t>
      </w:r>
      <w:r w:rsidR="00174F27">
        <w:t xml:space="preserve">contributed to the development of He Ara Āwhina </w:t>
      </w:r>
      <w:r w:rsidR="0037193A" w:rsidRPr="00201FF9">
        <w:t xml:space="preserve">leading </w:t>
      </w:r>
      <w:r w:rsidR="001C1CB0">
        <w:t xml:space="preserve">up </w:t>
      </w:r>
      <w:r w:rsidR="0037193A" w:rsidRPr="00201FF9">
        <w:t>to this point</w:t>
      </w:r>
      <w:r w:rsidR="0019384C" w:rsidRPr="00201FF9">
        <w:t>, including submi</w:t>
      </w:r>
      <w:r w:rsidR="0063162B">
        <w:t>tters</w:t>
      </w:r>
      <w:r w:rsidR="0019384C" w:rsidRPr="00201FF9">
        <w:t xml:space="preserve"> on </w:t>
      </w:r>
      <w:r w:rsidR="0063162B">
        <w:t xml:space="preserve">the </w:t>
      </w:r>
      <w:r w:rsidR="0019384C" w:rsidRPr="00201FF9">
        <w:t>He Ara Āwhina conceptual framework</w:t>
      </w:r>
      <w:r w:rsidR="0063162B">
        <w:t>.</w:t>
      </w:r>
    </w:p>
    <w:p w14:paraId="7E558D55" w14:textId="5D0EE740" w:rsidR="00117E36" w:rsidRDefault="00117E36">
      <w:pPr>
        <w:spacing w:line="259" w:lineRule="auto"/>
        <w:rPr>
          <w:rFonts w:ascii="Basic Sans" w:eastAsiaTheme="majorEastAsia" w:hAnsi="Basic Sans" w:cstheme="majorBidi"/>
          <w:color w:val="005E85"/>
          <w:sz w:val="40"/>
          <w:szCs w:val="32"/>
        </w:rPr>
      </w:pPr>
      <w:r>
        <w:br w:type="page"/>
      </w:r>
    </w:p>
    <w:p w14:paraId="6E1C7359" w14:textId="236C51DA" w:rsidR="006C58C3" w:rsidRPr="00851E7A" w:rsidRDefault="00CA69D2" w:rsidP="00396C41">
      <w:pPr>
        <w:rPr>
          <w:rFonts w:ascii="Basic Sans" w:hAnsi="Basic Sans"/>
          <w:color w:val="005E85" w:themeColor="accent4"/>
          <w:sz w:val="56"/>
          <w:szCs w:val="56"/>
        </w:rPr>
      </w:pPr>
      <w:bookmarkStart w:id="1" w:name="_Toc120615519"/>
      <w:r w:rsidRPr="00851E7A">
        <w:rPr>
          <w:rFonts w:ascii="Basic Sans" w:hAnsi="Basic Sans"/>
          <w:color w:val="005E85" w:themeColor="accent4"/>
          <w:sz w:val="56"/>
          <w:szCs w:val="56"/>
        </w:rPr>
        <w:lastRenderedPageBreak/>
        <w:t>Contents</w:t>
      </w:r>
      <w:bookmarkEnd w:id="1"/>
    </w:p>
    <w:p w14:paraId="5499F127" w14:textId="712FD67B" w:rsidR="00146668" w:rsidRDefault="00E765EB">
      <w:pPr>
        <w:pStyle w:val="TOC1"/>
        <w:tabs>
          <w:tab w:val="right" w:leader="dot" w:pos="9020"/>
        </w:tabs>
        <w:rPr>
          <w:rFonts w:asciiTheme="minorHAnsi" w:eastAsiaTheme="minorEastAsia" w:hAnsiTheme="minorHAnsi"/>
          <w:noProof/>
          <w:kern w:val="2"/>
          <w:sz w:val="22"/>
          <w:lang w:eastAsia="en-NZ"/>
          <w14:ligatures w14:val="standardContextual"/>
        </w:rPr>
      </w:pPr>
      <w:r>
        <w:fldChar w:fldCharType="begin"/>
      </w:r>
      <w:r>
        <w:instrText xml:space="preserve"> TOC \o "1-1" \h \z \u </w:instrText>
      </w:r>
      <w:r>
        <w:fldChar w:fldCharType="separate"/>
      </w:r>
      <w:hyperlink w:anchor="_Toc135392315" w:history="1">
        <w:r w:rsidR="00146668" w:rsidRPr="00091AA1">
          <w:rPr>
            <w:rStyle w:val="Hyperlink"/>
            <w:noProof/>
          </w:rPr>
          <w:t>Acknowledgements</w:t>
        </w:r>
        <w:r w:rsidR="00146668">
          <w:rPr>
            <w:noProof/>
            <w:webHidden/>
          </w:rPr>
          <w:tab/>
        </w:r>
        <w:r w:rsidR="00146668">
          <w:rPr>
            <w:noProof/>
            <w:webHidden/>
          </w:rPr>
          <w:fldChar w:fldCharType="begin"/>
        </w:r>
        <w:r w:rsidR="00146668">
          <w:rPr>
            <w:noProof/>
            <w:webHidden/>
          </w:rPr>
          <w:instrText xml:space="preserve"> PAGEREF _Toc135392315 \h </w:instrText>
        </w:r>
        <w:r w:rsidR="00146668">
          <w:rPr>
            <w:noProof/>
            <w:webHidden/>
          </w:rPr>
        </w:r>
        <w:r w:rsidR="00146668">
          <w:rPr>
            <w:noProof/>
            <w:webHidden/>
          </w:rPr>
          <w:fldChar w:fldCharType="separate"/>
        </w:r>
        <w:r w:rsidR="006468AF">
          <w:rPr>
            <w:noProof/>
            <w:webHidden/>
          </w:rPr>
          <w:t>3</w:t>
        </w:r>
        <w:r w:rsidR="00146668">
          <w:rPr>
            <w:noProof/>
            <w:webHidden/>
          </w:rPr>
          <w:fldChar w:fldCharType="end"/>
        </w:r>
      </w:hyperlink>
    </w:p>
    <w:p w14:paraId="30C5405B" w14:textId="347879D8"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16" w:history="1">
        <w:r w:rsidR="00146668" w:rsidRPr="00091AA1">
          <w:rPr>
            <w:rStyle w:val="Hyperlink"/>
            <w:rFonts w:eastAsia="Basic Sans" w:cs="Basic Sans"/>
            <w:noProof/>
          </w:rPr>
          <w:t>Purpose</w:t>
        </w:r>
        <w:r w:rsidR="00146668">
          <w:rPr>
            <w:noProof/>
            <w:webHidden/>
          </w:rPr>
          <w:tab/>
        </w:r>
        <w:r w:rsidR="00146668">
          <w:rPr>
            <w:noProof/>
            <w:webHidden/>
          </w:rPr>
          <w:fldChar w:fldCharType="begin"/>
        </w:r>
        <w:r w:rsidR="00146668">
          <w:rPr>
            <w:noProof/>
            <w:webHidden/>
          </w:rPr>
          <w:instrText xml:space="preserve"> PAGEREF _Toc135392316 \h </w:instrText>
        </w:r>
        <w:r w:rsidR="00146668">
          <w:rPr>
            <w:noProof/>
            <w:webHidden/>
          </w:rPr>
        </w:r>
        <w:r w:rsidR="00146668">
          <w:rPr>
            <w:noProof/>
            <w:webHidden/>
          </w:rPr>
          <w:fldChar w:fldCharType="separate"/>
        </w:r>
        <w:r w:rsidR="006468AF">
          <w:rPr>
            <w:noProof/>
            <w:webHidden/>
          </w:rPr>
          <w:t>5</w:t>
        </w:r>
        <w:r w:rsidR="00146668">
          <w:rPr>
            <w:noProof/>
            <w:webHidden/>
          </w:rPr>
          <w:fldChar w:fldCharType="end"/>
        </w:r>
      </w:hyperlink>
    </w:p>
    <w:p w14:paraId="1A42BF13" w14:textId="19EA9695"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17" w:history="1">
        <w:r w:rsidR="00146668" w:rsidRPr="00091AA1">
          <w:rPr>
            <w:rStyle w:val="Hyperlink"/>
            <w:rFonts w:eastAsia="Basic Sans" w:cs="Basic Sans"/>
            <w:noProof/>
          </w:rPr>
          <w:t>Our journey</w:t>
        </w:r>
        <w:r w:rsidR="00146668">
          <w:rPr>
            <w:noProof/>
            <w:webHidden/>
          </w:rPr>
          <w:tab/>
        </w:r>
        <w:r w:rsidR="00146668">
          <w:rPr>
            <w:noProof/>
            <w:webHidden/>
          </w:rPr>
          <w:fldChar w:fldCharType="begin"/>
        </w:r>
        <w:r w:rsidR="00146668">
          <w:rPr>
            <w:noProof/>
            <w:webHidden/>
          </w:rPr>
          <w:instrText xml:space="preserve"> PAGEREF _Toc135392317 \h </w:instrText>
        </w:r>
        <w:r w:rsidR="00146668">
          <w:rPr>
            <w:noProof/>
            <w:webHidden/>
          </w:rPr>
        </w:r>
        <w:r w:rsidR="00146668">
          <w:rPr>
            <w:noProof/>
            <w:webHidden/>
          </w:rPr>
          <w:fldChar w:fldCharType="separate"/>
        </w:r>
        <w:r w:rsidR="006468AF">
          <w:rPr>
            <w:noProof/>
            <w:webHidden/>
          </w:rPr>
          <w:t>5</w:t>
        </w:r>
        <w:r w:rsidR="00146668">
          <w:rPr>
            <w:noProof/>
            <w:webHidden/>
          </w:rPr>
          <w:fldChar w:fldCharType="end"/>
        </w:r>
      </w:hyperlink>
    </w:p>
    <w:p w14:paraId="0DA8F17B" w14:textId="215074E4"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18" w:history="1">
        <w:r w:rsidR="00146668" w:rsidRPr="00091AA1">
          <w:rPr>
            <w:rStyle w:val="Hyperlink"/>
            <w:noProof/>
          </w:rPr>
          <w:t>Methods and measures development</w:t>
        </w:r>
        <w:r w:rsidR="00146668">
          <w:rPr>
            <w:noProof/>
            <w:webHidden/>
          </w:rPr>
          <w:tab/>
        </w:r>
        <w:r w:rsidR="00146668">
          <w:rPr>
            <w:noProof/>
            <w:webHidden/>
          </w:rPr>
          <w:fldChar w:fldCharType="begin"/>
        </w:r>
        <w:r w:rsidR="00146668">
          <w:rPr>
            <w:noProof/>
            <w:webHidden/>
          </w:rPr>
          <w:instrText xml:space="preserve"> PAGEREF _Toc135392318 \h </w:instrText>
        </w:r>
        <w:r w:rsidR="00146668">
          <w:rPr>
            <w:noProof/>
            <w:webHidden/>
          </w:rPr>
        </w:r>
        <w:r w:rsidR="00146668">
          <w:rPr>
            <w:noProof/>
            <w:webHidden/>
          </w:rPr>
          <w:fldChar w:fldCharType="separate"/>
        </w:r>
        <w:r w:rsidR="006468AF">
          <w:rPr>
            <w:noProof/>
            <w:webHidden/>
          </w:rPr>
          <w:t>10</w:t>
        </w:r>
        <w:r w:rsidR="00146668">
          <w:rPr>
            <w:noProof/>
            <w:webHidden/>
          </w:rPr>
          <w:fldChar w:fldCharType="end"/>
        </w:r>
      </w:hyperlink>
    </w:p>
    <w:p w14:paraId="2544AA4A" w14:textId="0DD60E7D"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19" w:history="1">
        <w:r w:rsidR="00146668" w:rsidRPr="00091AA1">
          <w:rPr>
            <w:rStyle w:val="Hyperlink"/>
            <w:noProof/>
          </w:rPr>
          <w:t>Phase 1 shortlist process</w:t>
        </w:r>
        <w:r w:rsidR="00146668">
          <w:rPr>
            <w:noProof/>
            <w:webHidden/>
          </w:rPr>
          <w:tab/>
        </w:r>
        <w:r w:rsidR="00146668">
          <w:rPr>
            <w:noProof/>
            <w:webHidden/>
          </w:rPr>
          <w:fldChar w:fldCharType="begin"/>
        </w:r>
        <w:r w:rsidR="00146668">
          <w:rPr>
            <w:noProof/>
            <w:webHidden/>
          </w:rPr>
          <w:instrText xml:space="preserve"> PAGEREF _Toc135392319 \h </w:instrText>
        </w:r>
        <w:r w:rsidR="00146668">
          <w:rPr>
            <w:noProof/>
            <w:webHidden/>
          </w:rPr>
        </w:r>
        <w:r w:rsidR="00146668">
          <w:rPr>
            <w:noProof/>
            <w:webHidden/>
          </w:rPr>
          <w:fldChar w:fldCharType="separate"/>
        </w:r>
        <w:r w:rsidR="006468AF">
          <w:rPr>
            <w:noProof/>
            <w:webHidden/>
          </w:rPr>
          <w:t>13</w:t>
        </w:r>
        <w:r w:rsidR="00146668">
          <w:rPr>
            <w:noProof/>
            <w:webHidden/>
          </w:rPr>
          <w:fldChar w:fldCharType="end"/>
        </w:r>
      </w:hyperlink>
    </w:p>
    <w:p w14:paraId="5645B1F9" w14:textId="78577E7F"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20" w:history="1">
        <w:r w:rsidR="00146668" w:rsidRPr="00091AA1">
          <w:rPr>
            <w:rStyle w:val="Hyperlink"/>
            <w:noProof/>
          </w:rPr>
          <w:t>Understanding the data gaps</w:t>
        </w:r>
        <w:r w:rsidR="00146668">
          <w:rPr>
            <w:noProof/>
            <w:webHidden/>
          </w:rPr>
          <w:tab/>
        </w:r>
        <w:r w:rsidR="00146668">
          <w:rPr>
            <w:noProof/>
            <w:webHidden/>
          </w:rPr>
          <w:fldChar w:fldCharType="begin"/>
        </w:r>
        <w:r w:rsidR="00146668">
          <w:rPr>
            <w:noProof/>
            <w:webHidden/>
          </w:rPr>
          <w:instrText xml:space="preserve"> PAGEREF _Toc135392320 \h </w:instrText>
        </w:r>
        <w:r w:rsidR="00146668">
          <w:rPr>
            <w:noProof/>
            <w:webHidden/>
          </w:rPr>
        </w:r>
        <w:r w:rsidR="00146668">
          <w:rPr>
            <w:noProof/>
            <w:webHidden/>
          </w:rPr>
          <w:fldChar w:fldCharType="separate"/>
        </w:r>
        <w:r w:rsidR="006468AF">
          <w:rPr>
            <w:noProof/>
            <w:webHidden/>
          </w:rPr>
          <w:t>15</w:t>
        </w:r>
        <w:r w:rsidR="00146668">
          <w:rPr>
            <w:noProof/>
            <w:webHidden/>
          </w:rPr>
          <w:fldChar w:fldCharType="end"/>
        </w:r>
      </w:hyperlink>
    </w:p>
    <w:p w14:paraId="4AC9762C" w14:textId="49BC5E5B"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21" w:history="1">
        <w:r w:rsidR="00146668" w:rsidRPr="00091AA1">
          <w:rPr>
            <w:rStyle w:val="Hyperlink"/>
            <w:noProof/>
          </w:rPr>
          <w:t>Implementation and future expectations</w:t>
        </w:r>
        <w:r w:rsidR="00146668">
          <w:rPr>
            <w:noProof/>
            <w:webHidden/>
          </w:rPr>
          <w:tab/>
        </w:r>
        <w:r w:rsidR="00146668">
          <w:rPr>
            <w:noProof/>
            <w:webHidden/>
          </w:rPr>
          <w:fldChar w:fldCharType="begin"/>
        </w:r>
        <w:r w:rsidR="00146668">
          <w:rPr>
            <w:noProof/>
            <w:webHidden/>
          </w:rPr>
          <w:instrText xml:space="preserve"> PAGEREF _Toc135392321 \h </w:instrText>
        </w:r>
        <w:r w:rsidR="00146668">
          <w:rPr>
            <w:noProof/>
            <w:webHidden/>
          </w:rPr>
        </w:r>
        <w:r w:rsidR="00146668">
          <w:rPr>
            <w:noProof/>
            <w:webHidden/>
          </w:rPr>
          <w:fldChar w:fldCharType="separate"/>
        </w:r>
        <w:r w:rsidR="006468AF">
          <w:rPr>
            <w:noProof/>
            <w:webHidden/>
          </w:rPr>
          <w:t>19</w:t>
        </w:r>
        <w:r w:rsidR="00146668">
          <w:rPr>
            <w:noProof/>
            <w:webHidden/>
          </w:rPr>
          <w:fldChar w:fldCharType="end"/>
        </w:r>
      </w:hyperlink>
    </w:p>
    <w:p w14:paraId="2DC75239" w14:textId="7DAF9EA0"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22" w:history="1">
        <w:r w:rsidR="00146668" w:rsidRPr="00091AA1">
          <w:rPr>
            <w:rStyle w:val="Hyperlink"/>
            <w:noProof/>
          </w:rPr>
          <w:t>Next steps</w:t>
        </w:r>
        <w:r w:rsidR="00146668">
          <w:rPr>
            <w:noProof/>
            <w:webHidden/>
          </w:rPr>
          <w:tab/>
        </w:r>
        <w:r w:rsidR="00146668">
          <w:rPr>
            <w:noProof/>
            <w:webHidden/>
          </w:rPr>
          <w:fldChar w:fldCharType="begin"/>
        </w:r>
        <w:r w:rsidR="00146668">
          <w:rPr>
            <w:noProof/>
            <w:webHidden/>
          </w:rPr>
          <w:instrText xml:space="preserve"> PAGEREF _Toc135392322 \h </w:instrText>
        </w:r>
        <w:r w:rsidR="00146668">
          <w:rPr>
            <w:noProof/>
            <w:webHidden/>
          </w:rPr>
        </w:r>
        <w:r w:rsidR="00146668">
          <w:rPr>
            <w:noProof/>
            <w:webHidden/>
          </w:rPr>
          <w:fldChar w:fldCharType="separate"/>
        </w:r>
        <w:r w:rsidR="006468AF">
          <w:rPr>
            <w:noProof/>
            <w:webHidden/>
          </w:rPr>
          <w:t>26</w:t>
        </w:r>
        <w:r w:rsidR="00146668">
          <w:rPr>
            <w:noProof/>
            <w:webHidden/>
          </w:rPr>
          <w:fldChar w:fldCharType="end"/>
        </w:r>
      </w:hyperlink>
    </w:p>
    <w:p w14:paraId="52AA1F2F" w14:textId="2ACEC37A"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23" w:history="1">
        <w:r w:rsidR="00146668" w:rsidRPr="00091AA1">
          <w:rPr>
            <w:rStyle w:val="Hyperlink"/>
            <w:noProof/>
          </w:rPr>
          <w:t>References</w:t>
        </w:r>
        <w:r w:rsidR="00146668">
          <w:rPr>
            <w:noProof/>
            <w:webHidden/>
          </w:rPr>
          <w:tab/>
        </w:r>
        <w:r w:rsidR="00146668">
          <w:rPr>
            <w:noProof/>
            <w:webHidden/>
          </w:rPr>
          <w:fldChar w:fldCharType="begin"/>
        </w:r>
        <w:r w:rsidR="00146668">
          <w:rPr>
            <w:noProof/>
            <w:webHidden/>
          </w:rPr>
          <w:instrText xml:space="preserve"> PAGEREF _Toc135392323 \h </w:instrText>
        </w:r>
        <w:r w:rsidR="00146668">
          <w:rPr>
            <w:noProof/>
            <w:webHidden/>
          </w:rPr>
        </w:r>
        <w:r w:rsidR="00146668">
          <w:rPr>
            <w:noProof/>
            <w:webHidden/>
          </w:rPr>
          <w:fldChar w:fldCharType="separate"/>
        </w:r>
        <w:r w:rsidR="006468AF">
          <w:rPr>
            <w:noProof/>
            <w:webHidden/>
          </w:rPr>
          <w:t>28</w:t>
        </w:r>
        <w:r w:rsidR="00146668">
          <w:rPr>
            <w:noProof/>
            <w:webHidden/>
          </w:rPr>
          <w:fldChar w:fldCharType="end"/>
        </w:r>
      </w:hyperlink>
    </w:p>
    <w:p w14:paraId="637B3D0B" w14:textId="51BFA275"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24" w:history="1">
        <w:r w:rsidR="00146668" w:rsidRPr="00091AA1">
          <w:rPr>
            <w:rStyle w:val="Hyperlink"/>
            <w:noProof/>
          </w:rPr>
          <w:t>Appendix 1: Phase 1 shortlist process</w:t>
        </w:r>
        <w:r w:rsidR="00146668">
          <w:rPr>
            <w:noProof/>
            <w:webHidden/>
          </w:rPr>
          <w:tab/>
        </w:r>
        <w:r w:rsidR="00146668">
          <w:rPr>
            <w:noProof/>
            <w:webHidden/>
          </w:rPr>
          <w:fldChar w:fldCharType="begin"/>
        </w:r>
        <w:r w:rsidR="00146668">
          <w:rPr>
            <w:noProof/>
            <w:webHidden/>
          </w:rPr>
          <w:instrText xml:space="preserve"> PAGEREF _Toc135392324 \h </w:instrText>
        </w:r>
        <w:r w:rsidR="00146668">
          <w:rPr>
            <w:noProof/>
            <w:webHidden/>
          </w:rPr>
        </w:r>
        <w:r w:rsidR="00146668">
          <w:rPr>
            <w:noProof/>
            <w:webHidden/>
          </w:rPr>
          <w:fldChar w:fldCharType="separate"/>
        </w:r>
        <w:r w:rsidR="006468AF">
          <w:rPr>
            <w:noProof/>
            <w:webHidden/>
          </w:rPr>
          <w:t>29</w:t>
        </w:r>
        <w:r w:rsidR="00146668">
          <w:rPr>
            <w:noProof/>
            <w:webHidden/>
          </w:rPr>
          <w:fldChar w:fldCharType="end"/>
        </w:r>
      </w:hyperlink>
    </w:p>
    <w:p w14:paraId="09E1A937" w14:textId="7FC2AD82"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25" w:history="1">
        <w:r w:rsidR="00146668" w:rsidRPr="00091AA1">
          <w:rPr>
            <w:rStyle w:val="Hyperlink"/>
            <w:noProof/>
          </w:rPr>
          <w:t>Appendix 2: Common language</w:t>
        </w:r>
        <w:r w:rsidR="00146668">
          <w:rPr>
            <w:noProof/>
            <w:webHidden/>
          </w:rPr>
          <w:tab/>
        </w:r>
        <w:r w:rsidR="00146668">
          <w:rPr>
            <w:noProof/>
            <w:webHidden/>
          </w:rPr>
          <w:fldChar w:fldCharType="begin"/>
        </w:r>
        <w:r w:rsidR="00146668">
          <w:rPr>
            <w:noProof/>
            <w:webHidden/>
          </w:rPr>
          <w:instrText xml:space="preserve"> PAGEREF _Toc135392325 \h </w:instrText>
        </w:r>
        <w:r w:rsidR="00146668">
          <w:rPr>
            <w:noProof/>
            <w:webHidden/>
          </w:rPr>
        </w:r>
        <w:r w:rsidR="00146668">
          <w:rPr>
            <w:noProof/>
            <w:webHidden/>
          </w:rPr>
          <w:fldChar w:fldCharType="separate"/>
        </w:r>
        <w:r w:rsidR="006468AF">
          <w:rPr>
            <w:noProof/>
            <w:webHidden/>
          </w:rPr>
          <w:t>36</w:t>
        </w:r>
        <w:r w:rsidR="00146668">
          <w:rPr>
            <w:noProof/>
            <w:webHidden/>
          </w:rPr>
          <w:fldChar w:fldCharType="end"/>
        </w:r>
      </w:hyperlink>
    </w:p>
    <w:p w14:paraId="31254AC5" w14:textId="640F79AB"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26" w:history="1">
        <w:r w:rsidR="00146668" w:rsidRPr="00091AA1">
          <w:rPr>
            <w:rStyle w:val="Hyperlink"/>
            <w:noProof/>
          </w:rPr>
          <w:t>Appendix 3: Outcome priorities for 2023 monitoring</w:t>
        </w:r>
        <w:r w:rsidR="00146668">
          <w:rPr>
            <w:noProof/>
            <w:webHidden/>
          </w:rPr>
          <w:tab/>
        </w:r>
        <w:r w:rsidR="00146668">
          <w:rPr>
            <w:noProof/>
            <w:webHidden/>
          </w:rPr>
          <w:fldChar w:fldCharType="begin"/>
        </w:r>
        <w:r w:rsidR="00146668">
          <w:rPr>
            <w:noProof/>
            <w:webHidden/>
          </w:rPr>
          <w:instrText xml:space="preserve"> PAGEREF _Toc135392326 \h </w:instrText>
        </w:r>
        <w:r w:rsidR="00146668">
          <w:rPr>
            <w:noProof/>
            <w:webHidden/>
          </w:rPr>
        </w:r>
        <w:r w:rsidR="00146668">
          <w:rPr>
            <w:noProof/>
            <w:webHidden/>
          </w:rPr>
          <w:fldChar w:fldCharType="separate"/>
        </w:r>
        <w:r w:rsidR="006468AF">
          <w:rPr>
            <w:noProof/>
            <w:webHidden/>
          </w:rPr>
          <w:t>39</w:t>
        </w:r>
        <w:r w:rsidR="00146668">
          <w:rPr>
            <w:noProof/>
            <w:webHidden/>
          </w:rPr>
          <w:fldChar w:fldCharType="end"/>
        </w:r>
      </w:hyperlink>
    </w:p>
    <w:p w14:paraId="7EB22C59" w14:textId="76CF8928"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27" w:history="1">
        <w:r w:rsidR="00146668" w:rsidRPr="00091AA1">
          <w:rPr>
            <w:rStyle w:val="Hyperlink"/>
            <w:noProof/>
          </w:rPr>
          <w:t>Appendix 4: Methods and measures shortlist</w:t>
        </w:r>
        <w:r w:rsidR="00146668">
          <w:rPr>
            <w:noProof/>
            <w:webHidden/>
          </w:rPr>
          <w:tab/>
        </w:r>
        <w:r w:rsidR="00146668">
          <w:rPr>
            <w:noProof/>
            <w:webHidden/>
          </w:rPr>
          <w:fldChar w:fldCharType="begin"/>
        </w:r>
        <w:r w:rsidR="00146668">
          <w:rPr>
            <w:noProof/>
            <w:webHidden/>
          </w:rPr>
          <w:instrText xml:space="preserve"> PAGEREF _Toc135392327 \h </w:instrText>
        </w:r>
        <w:r w:rsidR="00146668">
          <w:rPr>
            <w:noProof/>
            <w:webHidden/>
          </w:rPr>
        </w:r>
        <w:r w:rsidR="00146668">
          <w:rPr>
            <w:noProof/>
            <w:webHidden/>
          </w:rPr>
          <w:fldChar w:fldCharType="separate"/>
        </w:r>
        <w:r w:rsidR="006468AF">
          <w:rPr>
            <w:noProof/>
            <w:webHidden/>
          </w:rPr>
          <w:t>45</w:t>
        </w:r>
        <w:r w:rsidR="00146668">
          <w:rPr>
            <w:noProof/>
            <w:webHidden/>
          </w:rPr>
          <w:fldChar w:fldCharType="end"/>
        </w:r>
      </w:hyperlink>
    </w:p>
    <w:p w14:paraId="145C48CC" w14:textId="7C4DA448" w:rsidR="00146668" w:rsidRDefault="00000000">
      <w:pPr>
        <w:pStyle w:val="TOC1"/>
        <w:tabs>
          <w:tab w:val="right" w:leader="dot" w:pos="9020"/>
        </w:tabs>
        <w:rPr>
          <w:rFonts w:asciiTheme="minorHAnsi" w:eastAsiaTheme="minorEastAsia" w:hAnsiTheme="minorHAnsi"/>
          <w:noProof/>
          <w:kern w:val="2"/>
          <w:sz w:val="22"/>
          <w:lang w:eastAsia="en-NZ"/>
          <w14:ligatures w14:val="standardContextual"/>
        </w:rPr>
      </w:pPr>
      <w:hyperlink w:anchor="_Toc135392328" w:history="1">
        <w:r w:rsidR="00146668" w:rsidRPr="00091AA1">
          <w:rPr>
            <w:rStyle w:val="Hyperlink"/>
            <w:noProof/>
          </w:rPr>
          <w:t>Appendix 5: Tāngata whaiora outcomes</w:t>
        </w:r>
        <w:r w:rsidR="00146668">
          <w:rPr>
            <w:noProof/>
            <w:webHidden/>
          </w:rPr>
          <w:tab/>
        </w:r>
        <w:r w:rsidR="00146668">
          <w:rPr>
            <w:noProof/>
            <w:webHidden/>
          </w:rPr>
          <w:fldChar w:fldCharType="begin"/>
        </w:r>
        <w:r w:rsidR="00146668">
          <w:rPr>
            <w:noProof/>
            <w:webHidden/>
          </w:rPr>
          <w:instrText xml:space="preserve"> PAGEREF _Toc135392328 \h </w:instrText>
        </w:r>
        <w:r w:rsidR="00146668">
          <w:rPr>
            <w:noProof/>
            <w:webHidden/>
          </w:rPr>
        </w:r>
        <w:r w:rsidR="00146668">
          <w:rPr>
            <w:noProof/>
            <w:webHidden/>
          </w:rPr>
          <w:fldChar w:fldCharType="separate"/>
        </w:r>
        <w:r w:rsidR="006468AF">
          <w:rPr>
            <w:noProof/>
            <w:webHidden/>
          </w:rPr>
          <w:t>55</w:t>
        </w:r>
        <w:r w:rsidR="00146668">
          <w:rPr>
            <w:noProof/>
            <w:webHidden/>
          </w:rPr>
          <w:fldChar w:fldCharType="end"/>
        </w:r>
      </w:hyperlink>
    </w:p>
    <w:p w14:paraId="773F7872" w14:textId="33617454" w:rsidR="00157FF8" w:rsidRPr="006C58C3" w:rsidRDefault="00E765EB" w:rsidP="00803BDC">
      <w:pPr>
        <w:rPr>
          <w:rFonts w:ascii="Basic Sans" w:hAnsi="Basic Sans"/>
          <w:color w:val="005E85"/>
        </w:rPr>
      </w:pPr>
      <w:r>
        <w:fldChar w:fldCharType="end"/>
      </w:r>
      <w:r w:rsidR="00157FF8" w:rsidRPr="006C58C3">
        <w:br w:type="page"/>
      </w:r>
    </w:p>
    <w:p w14:paraId="61DDE58D" w14:textId="1BA72B93" w:rsidR="00CC145A" w:rsidRPr="0025471A" w:rsidRDefault="00F22717" w:rsidP="0025471A">
      <w:pPr>
        <w:pStyle w:val="Heading1"/>
        <w:keepNext w:val="0"/>
        <w:keepLines w:val="0"/>
        <w:widowControl w:val="0"/>
        <w:autoSpaceDE w:val="0"/>
        <w:autoSpaceDN w:val="0"/>
        <w:spacing w:before="0" w:after="160"/>
        <w:rPr>
          <w:rFonts w:eastAsia="Basic Sans" w:cs="Basic Sans"/>
          <w:sz w:val="56"/>
          <w:szCs w:val="68"/>
        </w:rPr>
      </w:pPr>
      <w:bookmarkStart w:id="2" w:name="_Toc135392316"/>
      <w:r w:rsidRPr="0025471A">
        <w:rPr>
          <w:rFonts w:eastAsia="Basic Sans" w:cs="Basic Sans"/>
          <w:sz w:val="56"/>
          <w:szCs w:val="68"/>
        </w:rPr>
        <w:lastRenderedPageBreak/>
        <w:t>Purpose</w:t>
      </w:r>
      <w:bookmarkEnd w:id="2"/>
    </w:p>
    <w:p w14:paraId="0B373BD8" w14:textId="3ECB5116" w:rsidR="00C22025" w:rsidRPr="00581A07" w:rsidRDefault="00E3544A" w:rsidP="00C22025">
      <w:r>
        <w:t>T</w:t>
      </w:r>
      <w:r w:rsidR="00581A07">
        <w:t xml:space="preserve">his report </w:t>
      </w:r>
      <w:r w:rsidR="006E15C6">
        <w:t>summarise</w:t>
      </w:r>
      <w:r>
        <w:t>s</w:t>
      </w:r>
      <w:r w:rsidR="006E15C6">
        <w:t xml:space="preserve"> </w:t>
      </w:r>
      <w:r w:rsidR="00581A07">
        <w:t>the</w:t>
      </w:r>
      <w:r>
        <w:t xml:space="preserve"> development of</w:t>
      </w:r>
      <w:r w:rsidR="00022B3E">
        <w:t xml:space="preserve"> </w:t>
      </w:r>
      <w:hyperlink r:id="rId16" w:history="1">
        <w:r w:rsidR="00581A07" w:rsidRPr="00851E7A">
          <w:rPr>
            <w:rStyle w:val="Hyperlink"/>
            <w:u w:val="none"/>
          </w:rPr>
          <w:t>H</w:t>
        </w:r>
        <w:r w:rsidR="00775D7D" w:rsidRPr="00851E7A">
          <w:rPr>
            <w:rStyle w:val="Hyperlink"/>
            <w:u w:val="none"/>
          </w:rPr>
          <w:t xml:space="preserve">e </w:t>
        </w:r>
        <w:r w:rsidR="00581A07" w:rsidRPr="00851E7A">
          <w:rPr>
            <w:rStyle w:val="Hyperlink"/>
            <w:u w:val="none"/>
          </w:rPr>
          <w:t>A</w:t>
        </w:r>
        <w:r w:rsidR="00775D7D" w:rsidRPr="00851E7A">
          <w:rPr>
            <w:rStyle w:val="Hyperlink"/>
            <w:u w:val="none"/>
          </w:rPr>
          <w:t>ra Āwhina</w:t>
        </w:r>
        <w:r w:rsidR="00581A07" w:rsidRPr="00851E7A">
          <w:rPr>
            <w:rStyle w:val="Hyperlink"/>
            <w:u w:val="none"/>
          </w:rPr>
          <w:t xml:space="preserve"> </w:t>
        </w:r>
        <w:r w:rsidR="008030A1" w:rsidRPr="00851E7A">
          <w:rPr>
            <w:rStyle w:val="Hyperlink"/>
            <w:u w:val="none"/>
          </w:rPr>
          <w:t>(Pathways to support) framework</w:t>
        </w:r>
      </w:hyperlink>
      <w:r w:rsidR="008030A1">
        <w:t xml:space="preserve"> </w:t>
      </w:r>
      <w:r w:rsidR="006E15C6">
        <w:t>phase 1 methods and measures</w:t>
      </w:r>
      <w:r w:rsidR="000F0C14">
        <w:t xml:space="preserve">. In this phase </w:t>
      </w:r>
      <w:r w:rsidR="002A063D">
        <w:t xml:space="preserve">we looked at existing data sources </w:t>
      </w:r>
      <w:r w:rsidR="00AF5332">
        <w:t xml:space="preserve">to </w:t>
      </w:r>
      <w:r w:rsidR="00C73F59">
        <w:t xml:space="preserve">determine methods and </w:t>
      </w:r>
      <w:r w:rsidR="00AF5332">
        <w:t>measures to monito</w:t>
      </w:r>
      <w:r w:rsidR="00215FED">
        <w:t>r</w:t>
      </w:r>
      <w:r w:rsidR="00AF5332">
        <w:t xml:space="preserve"> performance </w:t>
      </w:r>
      <w:r w:rsidR="00215FED">
        <w:t xml:space="preserve">of the mental health and addiction system </w:t>
      </w:r>
      <w:r w:rsidR="00AF5332">
        <w:t>at a service level</w:t>
      </w:r>
      <w:r w:rsidR="00215FED">
        <w:t xml:space="preserve">. This phase was informed by specialist advice from a </w:t>
      </w:r>
      <w:hyperlink r:id="rId17" w:history="1">
        <w:r w:rsidR="00FC3B0D" w:rsidRPr="00851E7A">
          <w:rPr>
            <w:rStyle w:val="Hyperlink"/>
            <w:u w:val="none"/>
          </w:rPr>
          <w:t>technical advisory network</w:t>
        </w:r>
      </w:hyperlink>
      <w:r w:rsidR="00215FED">
        <w:t>.</w:t>
      </w:r>
      <w:r w:rsidR="00F35931">
        <w:t xml:space="preserve"> Here we present</w:t>
      </w:r>
      <w:r w:rsidR="00C22025" w:rsidRPr="00C22025">
        <w:t xml:space="preserve"> an overview of </w:t>
      </w:r>
      <w:r w:rsidR="00FD6E94">
        <w:t xml:space="preserve">our process to select </w:t>
      </w:r>
      <w:r w:rsidR="00C22025" w:rsidRPr="00C22025">
        <w:t xml:space="preserve">a </w:t>
      </w:r>
      <w:r w:rsidR="00C73F59">
        <w:t>suite of methods and measures</w:t>
      </w:r>
      <w:r w:rsidR="00F7792B">
        <w:t xml:space="preserve"> </w:t>
      </w:r>
      <w:r w:rsidR="00B87554">
        <w:t xml:space="preserve">(shortlist) </w:t>
      </w:r>
      <w:r w:rsidR="00FD6E94">
        <w:t>with an initial</w:t>
      </w:r>
      <w:r w:rsidR="00F7792B">
        <w:t xml:space="preserve"> focus on services</w:t>
      </w:r>
      <w:r w:rsidR="00C22025" w:rsidRPr="00C22025">
        <w:t xml:space="preserve">, </w:t>
      </w:r>
      <w:r w:rsidR="00FD6E94">
        <w:t xml:space="preserve">the </w:t>
      </w:r>
      <w:r w:rsidR="00C22025" w:rsidRPr="00C22025">
        <w:t>identified data gaps</w:t>
      </w:r>
      <w:r w:rsidR="00F7792B">
        <w:t>,</w:t>
      </w:r>
      <w:r w:rsidR="00C22025" w:rsidRPr="00C22025">
        <w:t xml:space="preserve"> and future expectations.</w:t>
      </w:r>
    </w:p>
    <w:p w14:paraId="2A16813E" w14:textId="724ED873" w:rsidR="00F22717" w:rsidRPr="00C838CE" w:rsidRDefault="00C838CE" w:rsidP="00C838CE">
      <w:pPr>
        <w:pStyle w:val="Heading1"/>
        <w:keepNext w:val="0"/>
        <w:keepLines w:val="0"/>
        <w:widowControl w:val="0"/>
        <w:autoSpaceDE w:val="0"/>
        <w:autoSpaceDN w:val="0"/>
        <w:spacing w:before="0" w:after="160"/>
        <w:rPr>
          <w:rFonts w:eastAsia="Basic Sans" w:cs="Basic Sans"/>
          <w:sz w:val="56"/>
          <w:szCs w:val="68"/>
        </w:rPr>
      </w:pPr>
      <w:bookmarkStart w:id="3" w:name="_Toc135392317"/>
      <w:r w:rsidRPr="00C838CE">
        <w:rPr>
          <w:rFonts w:eastAsia="Basic Sans" w:cs="Basic Sans"/>
          <w:sz w:val="56"/>
          <w:szCs w:val="68"/>
        </w:rPr>
        <w:t>Our journey</w:t>
      </w:r>
      <w:bookmarkEnd w:id="3"/>
    </w:p>
    <w:p w14:paraId="18C0F54C" w14:textId="0FD2F5AF" w:rsidR="007D7005" w:rsidRDefault="007D7005" w:rsidP="008C1901">
      <w:pPr>
        <w:pStyle w:val="Heading2"/>
      </w:pPr>
      <w:r>
        <w:t xml:space="preserve">Initial </w:t>
      </w:r>
      <w:r w:rsidR="008C1901">
        <w:t>Mental Health and Wellbeing Commission deliverables</w:t>
      </w:r>
    </w:p>
    <w:p w14:paraId="6E3AE9D8" w14:textId="75E11FAC" w:rsidR="009432D9" w:rsidRPr="0048147A" w:rsidRDefault="009432D9" w:rsidP="003A136B">
      <w:pPr>
        <w:suppressAutoHyphens/>
        <w:autoSpaceDE w:val="0"/>
        <w:autoSpaceDN w:val="0"/>
        <w:adjustRightInd w:val="0"/>
        <w:textAlignment w:val="center"/>
      </w:pPr>
      <w:r w:rsidRPr="00692C63">
        <w:t>In February 2020</w:t>
      </w:r>
      <w:r>
        <w:t>,</w:t>
      </w:r>
      <w:r w:rsidRPr="00692C63">
        <w:t xml:space="preserve"> the Initial </w:t>
      </w:r>
      <w:r>
        <w:t xml:space="preserve">Mental Health and Wellbeing </w:t>
      </w:r>
      <w:r w:rsidRPr="00692C63">
        <w:t xml:space="preserve">Commission </w:t>
      </w:r>
      <w:r>
        <w:t xml:space="preserve">(the Initial Commission) </w:t>
      </w:r>
      <w:r w:rsidR="00D870CB">
        <w:t xml:space="preserve">began </w:t>
      </w:r>
      <w:r w:rsidRPr="00692C63">
        <w:t>develop</w:t>
      </w:r>
      <w:r w:rsidR="00FB6F5D">
        <w:t>ing</w:t>
      </w:r>
      <w:r w:rsidRPr="00692C63">
        <w:t xml:space="preserve"> </w:t>
      </w:r>
      <w:r w:rsidR="00F2529E">
        <w:rPr>
          <w:lang w:val="en-GB"/>
        </w:rPr>
        <w:t>two</w:t>
      </w:r>
      <w:r w:rsidRPr="009432D9">
        <w:rPr>
          <w:lang w:val="en-GB"/>
        </w:rPr>
        <w:t xml:space="preserve"> outcomes and monitoring framework</w:t>
      </w:r>
      <w:r w:rsidR="00F2529E">
        <w:rPr>
          <w:lang w:val="en-GB"/>
        </w:rPr>
        <w:t>s</w:t>
      </w:r>
      <w:r w:rsidRPr="0048147A">
        <w:t>:</w:t>
      </w:r>
    </w:p>
    <w:p w14:paraId="6529F5CF" w14:textId="229A3B4A" w:rsidR="009432D9" w:rsidRPr="001924A1" w:rsidRDefault="00000000" w:rsidP="00C8416D">
      <w:pPr>
        <w:pStyle w:val="ListParagraph"/>
        <w:numPr>
          <w:ilvl w:val="0"/>
          <w:numId w:val="3"/>
        </w:numPr>
        <w:tabs>
          <w:tab w:val="clear" w:pos="357"/>
        </w:tabs>
        <w:suppressAutoHyphens/>
        <w:autoSpaceDE w:val="0"/>
        <w:autoSpaceDN w:val="0"/>
        <w:adjustRightInd w:val="0"/>
        <w:textAlignment w:val="center"/>
      </w:pPr>
      <w:hyperlink r:id="rId18" w:history="1">
        <w:r w:rsidR="009432D9" w:rsidRPr="00A42FF9">
          <w:t>He Ara Oranga wellbeing outcomes framework</w:t>
        </w:r>
      </w:hyperlink>
      <w:r w:rsidR="009432D9" w:rsidRPr="00A42FF9">
        <w:t>, </w:t>
      </w:r>
      <w:r w:rsidR="00B43EC8">
        <w:t>that describes what ideal wellbeing looks like</w:t>
      </w:r>
      <w:r w:rsidR="0046743A">
        <w:t xml:space="preserve"> </w:t>
      </w:r>
      <w:r w:rsidR="0046743A" w:rsidRPr="0046743A">
        <w:t>for all people and whānau in Aotearoa</w:t>
      </w:r>
      <w:r w:rsidR="007E49F6">
        <w:t xml:space="preserve"> New Zealand</w:t>
      </w:r>
      <w:r w:rsidR="009432D9" w:rsidRPr="001924A1">
        <w:t>; and</w:t>
      </w:r>
    </w:p>
    <w:p w14:paraId="15C7E73C" w14:textId="5124AD37" w:rsidR="009432D9" w:rsidRPr="00A42FF9" w:rsidRDefault="000543AF" w:rsidP="00C8416D">
      <w:pPr>
        <w:pStyle w:val="ListParagraph"/>
        <w:numPr>
          <w:ilvl w:val="0"/>
          <w:numId w:val="3"/>
        </w:numPr>
        <w:tabs>
          <w:tab w:val="clear" w:pos="357"/>
        </w:tabs>
        <w:suppressAutoHyphens/>
        <w:autoSpaceDE w:val="0"/>
        <w:autoSpaceDN w:val="0"/>
        <w:adjustRightInd w:val="0"/>
        <w:textAlignment w:val="center"/>
      </w:pPr>
      <w:r w:rsidRPr="00A42FF9">
        <w:t xml:space="preserve">He Ara Āwhina </w:t>
      </w:r>
      <w:r>
        <w:t>system</w:t>
      </w:r>
      <w:r w:rsidRPr="00A42FF9">
        <w:t xml:space="preserve"> monitoring framework</w:t>
      </w:r>
      <w:r w:rsidR="00B37010">
        <w:t>, that</w:t>
      </w:r>
      <w:r w:rsidR="009432D9" w:rsidRPr="00A42FF9">
        <w:t xml:space="preserve"> </w:t>
      </w:r>
      <w:r w:rsidR="00B65892" w:rsidRPr="00B65892">
        <w:t>describes what an ideal mental health and addiction system looks like.</w:t>
      </w:r>
    </w:p>
    <w:p w14:paraId="7977A568" w14:textId="27E4063D" w:rsidR="00FC125E" w:rsidRPr="00FC125E" w:rsidRDefault="00FC125E" w:rsidP="00FC125E">
      <w:pPr>
        <w:suppressAutoHyphens/>
        <w:autoSpaceDE w:val="0"/>
        <w:autoSpaceDN w:val="0"/>
        <w:adjustRightInd w:val="0"/>
        <w:textAlignment w:val="center"/>
      </w:pPr>
      <w:r w:rsidRPr="00FC125E">
        <w:t xml:space="preserve">The He Ara Oranga wellbeing outcomes framework provides a structure for measuring performance across the whole mental health and wellbeing system. A successful outcomes framework will determine if we are making a difference </w:t>
      </w:r>
      <w:r w:rsidR="00AD7134">
        <w:t>in</w:t>
      </w:r>
      <w:r w:rsidRPr="00FC125E">
        <w:t xml:space="preserve"> improving mental health and wellbeing</w:t>
      </w:r>
      <w:r w:rsidR="0003271F">
        <w:t>, that is,</w:t>
      </w:r>
      <w:r w:rsidRPr="00FC125E">
        <w:t xml:space="preserve"> achieving the outcomes set out in</w:t>
      </w:r>
      <w:r w:rsidRPr="00FC125E">
        <w:rPr>
          <w:rFonts w:ascii="Calibri" w:hAnsi="Calibri" w:cs="Calibri"/>
        </w:rPr>
        <w:t> </w:t>
      </w:r>
      <w:hyperlink r:id="rId19" w:history="1">
        <w:r w:rsidR="00B771A4" w:rsidRPr="00C61CAB">
          <w:rPr>
            <w:rStyle w:val="Hyperlink"/>
            <w:u w:val="none"/>
          </w:rPr>
          <w:t xml:space="preserve">He Ara Oranga: </w:t>
        </w:r>
        <w:r w:rsidR="00B771A4" w:rsidRPr="00851E7A">
          <w:rPr>
            <w:rStyle w:val="Hyperlink"/>
            <w:u w:val="none"/>
          </w:rPr>
          <w:t>Report of</w:t>
        </w:r>
        <w:r w:rsidR="00B771A4" w:rsidRPr="00C61CAB">
          <w:rPr>
            <w:rStyle w:val="Hyperlink"/>
            <w:u w:val="none"/>
          </w:rPr>
          <w:t xml:space="preserve"> </w:t>
        </w:r>
        <w:r w:rsidR="00B771A4" w:rsidRPr="00851E7A">
          <w:rPr>
            <w:rStyle w:val="Hyperlink"/>
            <w:u w:val="none"/>
          </w:rPr>
          <w:t>the Government Inquiry into Mental Health and Addiction</w:t>
        </w:r>
      </w:hyperlink>
      <w:r w:rsidR="007F28A9">
        <w:rPr>
          <w:rStyle w:val="Hyperlink"/>
          <w:u w:val="none"/>
        </w:rPr>
        <w:t xml:space="preserve"> (</w:t>
      </w:r>
      <w:r w:rsidR="007F28A9" w:rsidRPr="00FC125E">
        <w:t>He Ara Oranga</w:t>
      </w:r>
      <w:r w:rsidR="007F28A9">
        <w:t>)</w:t>
      </w:r>
      <w:r w:rsidRPr="00FC125E">
        <w:t>.</w:t>
      </w:r>
    </w:p>
    <w:p w14:paraId="7E117AEB" w14:textId="10FA0D37" w:rsidR="00FC125E" w:rsidRPr="00FC125E" w:rsidRDefault="00FC125E" w:rsidP="00FC125E">
      <w:pPr>
        <w:suppressAutoHyphens/>
        <w:autoSpaceDE w:val="0"/>
        <w:autoSpaceDN w:val="0"/>
        <w:adjustRightInd w:val="0"/>
        <w:textAlignment w:val="center"/>
      </w:pPr>
      <w:r w:rsidRPr="00FC125E">
        <w:t xml:space="preserve">The Initial Commission was also involved in the </w:t>
      </w:r>
      <w:hyperlink r:id="rId20" w:history="1">
        <w:r w:rsidRPr="00851E7A">
          <w:rPr>
            <w:rStyle w:val="Hyperlink"/>
            <w:u w:val="none"/>
          </w:rPr>
          <w:t>early stages of develop</w:t>
        </w:r>
      </w:hyperlink>
      <w:r w:rsidR="00CC0BB2" w:rsidRPr="00851E7A">
        <w:rPr>
          <w:rStyle w:val="Hyperlink"/>
          <w:u w:val="none"/>
        </w:rPr>
        <w:t>ing</w:t>
      </w:r>
      <w:r w:rsidRPr="00851E7A">
        <w:rPr>
          <w:rStyle w:val="Hyperlink"/>
          <w:u w:val="none"/>
        </w:rPr>
        <w:t xml:space="preserve"> </w:t>
      </w:r>
      <w:r w:rsidRPr="00FC125E">
        <w:t>the</w:t>
      </w:r>
      <w:r w:rsidRPr="00FC125E">
        <w:rPr>
          <w:rFonts w:ascii="Calibri" w:hAnsi="Calibri" w:cs="Calibri"/>
        </w:rPr>
        <w:t> </w:t>
      </w:r>
      <w:r w:rsidR="003C212E" w:rsidRPr="00C61CAB">
        <w:t>He Ara Āwhina system monitoring framework</w:t>
      </w:r>
      <w:r w:rsidRPr="00FC125E">
        <w:t xml:space="preserve">. Their early development work was handed over to </w:t>
      </w:r>
      <w:r w:rsidR="003E24D0" w:rsidRPr="003E24D0">
        <w:t>Te Hiringa Mahara - Mental Health and Wellbeing Commission</w:t>
      </w:r>
      <w:r w:rsidRPr="00FC125E">
        <w:t xml:space="preserve"> </w:t>
      </w:r>
      <w:r w:rsidR="0090149B">
        <w:t xml:space="preserve">in February 2021 </w:t>
      </w:r>
      <w:r w:rsidRPr="00FC125E">
        <w:t>to carry forward.</w:t>
      </w:r>
    </w:p>
    <w:p w14:paraId="7FA57830" w14:textId="50EEC729" w:rsidR="00FC125E" w:rsidRPr="00FC125E" w:rsidRDefault="00FC125E" w:rsidP="00FC125E">
      <w:pPr>
        <w:suppressAutoHyphens/>
        <w:autoSpaceDE w:val="0"/>
        <w:autoSpaceDN w:val="0"/>
        <w:adjustRightInd w:val="0"/>
        <w:textAlignment w:val="center"/>
      </w:pPr>
      <w:r w:rsidRPr="00FC125E">
        <w:t>Alongside these frameworks, the Initial Commission made recommendations to address information gaps to monitor performance</w:t>
      </w:r>
      <w:r w:rsidR="00E94C2D">
        <w:t>.</w:t>
      </w:r>
      <w:r w:rsidRPr="00FC125E">
        <w:t xml:space="preserve"> </w:t>
      </w:r>
      <w:r w:rsidR="00E94C2D">
        <w:t>They also</w:t>
      </w:r>
      <w:r w:rsidR="00216400">
        <w:t xml:space="preserve"> </w:t>
      </w:r>
      <w:r w:rsidR="00836700">
        <w:t xml:space="preserve">set out </w:t>
      </w:r>
      <w:r w:rsidRPr="00FC125E">
        <w:t>how measuring outcomes fits within the broader performance story of the mental health and wellbeing system.</w:t>
      </w:r>
    </w:p>
    <w:p w14:paraId="0A00BC28" w14:textId="75A8C86C" w:rsidR="00FC125E" w:rsidRPr="00FC125E" w:rsidRDefault="00F75B4A" w:rsidP="00A732B6">
      <w:pPr>
        <w:pStyle w:val="Heading3"/>
      </w:pPr>
      <w:r>
        <w:t>T</w:t>
      </w:r>
      <w:r w:rsidR="00FC125E" w:rsidRPr="00FC125E">
        <w:t>he He Ara Oranga wellbeing outcomes framework</w:t>
      </w:r>
    </w:p>
    <w:p w14:paraId="593F019A" w14:textId="77777777" w:rsidR="00FC125E" w:rsidRPr="00FC125E" w:rsidRDefault="00FC125E" w:rsidP="00FC125E">
      <w:pPr>
        <w:suppressAutoHyphens/>
        <w:autoSpaceDE w:val="0"/>
        <w:autoSpaceDN w:val="0"/>
        <w:adjustRightInd w:val="0"/>
        <w:textAlignment w:val="center"/>
      </w:pPr>
      <w:r w:rsidRPr="00FC125E">
        <w:t>The He Ara Oranga wellbeing outcomes framework was developed in phases:</w:t>
      </w:r>
    </w:p>
    <w:p w14:paraId="612D5E30" w14:textId="77777777" w:rsidR="00FC125E" w:rsidRPr="00FC125E" w:rsidRDefault="00000000" w:rsidP="00C8416D">
      <w:pPr>
        <w:numPr>
          <w:ilvl w:val="0"/>
          <w:numId w:val="5"/>
        </w:numPr>
        <w:suppressAutoHyphens/>
        <w:autoSpaceDE w:val="0"/>
        <w:autoSpaceDN w:val="0"/>
        <w:adjustRightInd w:val="0"/>
        <w:textAlignment w:val="center"/>
      </w:pPr>
      <w:hyperlink r:id="rId21" w:history="1">
        <w:r w:rsidR="00FC125E" w:rsidRPr="00851E7A">
          <w:rPr>
            <w:rStyle w:val="Hyperlink"/>
            <w:b/>
            <w:bCs/>
            <w:u w:val="none"/>
          </w:rPr>
          <w:t>Co-define</w:t>
        </w:r>
      </w:hyperlink>
      <w:r w:rsidR="00FC125E" w:rsidRPr="00FC125E">
        <w:rPr>
          <w:rFonts w:ascii="Calibri" w:hAnsi="Calibri" w:cs="Calibri"/>
        </w:rPr>
        <w:t> </w:t>
      </w:r>
      <w:r w:rsidR="00FC125E" w:rsidRPr="00FC125E">
        <w:t>(hearing views on how a framework could be developed) April 2020 to May 2020</w:t>
      </w:r>
    </w:p>
    <w:p w14:paraId="24835133" w14:textId="1DB2D481" w:rsidR="00FC125E" w:rsidRPr="00FC125E" w:rsidRDefault="00000000" w:rsidP="00C8416D">
      <w:pPr>
        <w:numPr>
          <w:ilvl w:val="0"/>
          <w:numId w:val="5"/>
        </w:numPr>
        <w:suppressAutoHyphens/>
        <w:autoSpaceDE w:val="0"/>
        <w:autoSpaceDN w:val="0"/>
        <w:adjustRightInd w:val="0"/>
        <w:textAlignment w:val="center"/>
      </w:pPr>
      <w:hyperlink r:id="rId22" w:history="1">
        <w:r w:rsidR="00FC125E" w:rsidRPr="00851E7A">
          <w:rPr>
            <w:rStyle w:val="Hyperlink"/>
            <w:b/>
            <w:bCs/>
            <w:u w:val="none"/>
          </w:rPr>
          <w:t>Conceptual framework</w:t>
        </w:r>
      </w:hyperlink>
      <w:r w:rsidR="00FC125E" w:rsidRPr="00FC125E">
        <w:rPr>
          <w:rFonts w:ascii="Calibri" w:hAnsi="Calibri" w:cs="Calibri"/>
        </w:rPr>
        <w:t> </w:t>
      </w:r>
      <w:r w:rsidR="00FC125E" w:rsidRPr="00FC125E">
        <w:t>(what is important to demonstrate success) June 2020 to September 2020</w:t>
      </w:r>
      <w:r w:rsidR="00E12EA7">
        <w:t xml:space="preserve">. In </w:t>
      </w:r>
      <w:r w:rsidR="00E12EA7" w:rsidRPr="0048147A">
        <w:t xml:space="preserve">October 2020, the Initial Commission’s </w:t>
      </w:r>
      <w:r w:rsidR="009666AA">
        <w:t>B</w:t>
      </w:r>
      <w:r w:rsidR="00E12EA7" w:rsidRPr="0048147A">
        <w:t xml:space="preserve">oard adopted </w:t>
      </w:r>
      <w:r w:rsidR="00E12EA7">
        <w:t>the</w:t>
      </w:r>
      <w:r w:rsidR="00E12EA7" w:rsidRPr="0048147A">
        <w:t xml:space="preserve"> conceptual </w:t>
      </w:r>
      <w:r w:rsidR="00E12EA7">
        <w:t>framework</w:t>
      </w:r>
    </w:p>
    <w:p w14:paraId="5CCECB5F" w14:textId="64D32473" w:rsidR="00FC125E" w:rsidRPr="00FC125E" w:rsidRDefault="00000000" w:rsidP="00C8416D">
      <w:pPr>
        <w:numPr>
          <w:ilvl w:val="0"/>
          <w:numId w:val="5"/>
        </w:numPr>
        <w:suppressAutoHyphens/>
        <w:autoSpaceDE w:val="0"/>
        <w:autoSpaceDN w:val="0"/>
        <w:adjustRightInd w:val="0"/>
        <w:textAlignment w:val="center"/>
      </w:pPr>
      <w:hyperlink r:id="rId23" w:tgtFrame="_blank" w:history="1">
        <w:r w:rsidR="00FC125E" w:rsidRPr="00851E7A">
          <w:rPr>
            <w:rStyle w:val="Hyperlink"/>
            <w:b/>
            <w:bCs/>
            <w:u w:val="none"/>
          </w:rPr>
          <w:t>Data</w:t>
        </w:r>
      </w:hyperlink>
      <w:r w:rsidR="00FC125E" w:rsidRPr="00FC125E">
        <w:rPr>
          <w:rFonts w:ascii="Calibri" w:hAnsi="Calibri" w:cs="Calibri"/>
        </w:rPr>
        <w:t> </w:t>
      </w:r>
      <w:r w:rsidR="00FC125E" w:rsidRPr="00FC125E">
        <w:t>(how success can be measured and where data gaps exist) September 2020 to January 2021</w:t>
      </w:r>
      <w:r w:rsidR="00E11BAD">
        <w:t>.</w:t>
      </w:r>
    </w:p>
    <w:p w14:paraId="02AF3A4A" w14:textId="40C36BA7" w:rsidR="00F26D88" w:rsidRPr="00F26D88" w:rsidRDefault="00F26D88" w:rsidP="00F26D88">
      <w:pPr>
        <w:suppressAutoHyphens/>
        <w:autoSpaceDE w:val="0"/>
        <w:autoSpaceDN w:val="0"/>
        <w:adjustRightInd w:val="0"/>
        <w:textAlignment w:val="center"/>
      </w:pPr>
      <w:r w:rsidRPr="00F26D88">
        <w:t>The</w:t>
      </w:r>
      <w:r w:rsidR="00F53C27">
        <w:t xml:space="preserve"> framework was developed </w:t>
      </w:r>
      <w:r w:rsidRPr="00F26D88">
        <w:t>in collaboration with communities, and with guidance from</w:t>
      </w:r>
      <w:r w:rsidRPr="00F26D88">
        <w:rPr>
          <w:rFonts w:ascii="Calibri" w:hAnsi="Calibri" w:cs="Calibri"/>
        </w:rPr>
        <w:t> </w:t>
      </w:r>
      <w:hyperlink r:id="rId24" w:history="1">
        <w:r w:rsidRPr="005A098E">
          <w:rPr>
            <w:rStyle w:val="Hyperlink"/>
            <w:u w:val="none"/>
          </w:rPr>
          <w:t>experts</w:t>
        </w:r>
      </w:hyperlink>
      <w:r w:rsidRPr="00F26D88">
        <w:rPr>
          <w:rFonts w:ascii="Calibri" w:hAnsi="Calibri" w:cs="Calibri"/>
        </w:rPr>
        <w:t> </w:t>
      </w:r>
      <w:r w:rsidRPr="00F26D88">
        <w:t>in wellbeing and mental health.</w:t>
      </w:r>
    </w:p>
    <w:p w14:paraId="3F5F71A1" w14:textId="77777777" w:rsidR="00435FD3" w:rsidRPr="00F26D88" w:rsidRDefault="00435FD3" w:rsidP="009C6AB3">
      <w:pPr>
        <w:pStyle w:val="Heading4"/>
      </w:pPr>
      <w:r w:rsidRPr="00F26D88">
        <w:t xml:space="preserve">What is different about </w:t>
      </w:r>
      <w:r>
        <w:t>our wellbeing outcomes framework</w:t>
      </w:r>
    </w:p>
    <w:p w14:paraId="4B96F199" w14:textId="1FF857E4" w:rsidR="00435FD3" w:rsidRPr="00F26D88" w:rsidRDefault="008341AE" w:rsidP="00435FD3">
      <w:pPr>
        <w:suppressAutoHyphens/>
        <w:autoSpaceDE w:val="0"/>
        <w:autoSpaceDN w:val="0"/>
        <w:adjustRightInd w:val="0"/>
        <w:textAlignment w:val="center"/>
      </w:pPr>
      <w:r>
        <w:t xml:space="preserve">There are many wellbeing </w:t>
      </w:r>
      <w:r w:rsidR="00E62CCA">
        <w:t xml:space="preserve">frameworks in use. The </w:t>
      </w:r>
      <w:r w:rsidR="00435FD3" w:rsidRPr="00F26D88">
        <w:t xml:space="preserve">He Ara Oranga wellbeing outcomes framework </w:t>
      </w:r>
      <w:r w:rsidR="00072460">
        <w:t>has several points of difference</w:t>
      </w:r>
      <w:r w:rsidR="00D21E50">
        <w:t>.</w:t>
      </w:r>
      <w:r w:rsidR="00435FD3" w:rsidRPr="00F26D88">
        <w:rPr>
          <w:rFonts w:ascii="Cambria Math" w:hAnsi="Cambria Math" w:cs="Cambria Math"/>
        </w:rPr>
        <w:t>​</w:t>
      </w:r>
    </w:p>
    <w:p w14:paraId="78BF58B0" w14:textId="77777777" w:rsidR="00435FD3" w:rsidRPr="00F26D88" w:rsidRDefault="00435FD3" w:rsidP="00C8416D">
      <w:pPr>
        <w:numPr>
          <w:ilvl w:val="0"/>
          <w:numId w:val="4"/>
        </w:numPr>
        <w:suppressAutoHyphens/>
        <w:autoSpaceDE w:val="0"/>
        <w:autoSpaceDN w:val="0"/>
        <w:adjustRightInd w:val="0"/>
        <w:textAlignment w:val="center"/>
      </w:pPr>
      <w:r w:rsidRPr="00F26D88">
        <w:t>It is a holistic wellbeing framework with specific relevance to mental health and addiction.</w:t>
      </w:r>
    </w:p>
    <w:p w14:paraId="5FBA5D88" w14:textId="151E96B0" w:rsidR="00435FD3" w:rsidRPr="00F26D88" w:rsidRDefault="00435FD3" w:rsidP="00C8416D">
      <w:pPr>
        <w:numPr>
          <w:ilvl w:val="0"/>
          <w:numId w:val="4"/>
        </w:numPr>
        <w:suppressAutoHyphens/>
        <w:autoSpaceDE w:val="0"/>
        <w:autoSpaceDN w:val="0"/>
        <w:adjustRightInd w:val="0"/>
        <w:textAlignment w:val="center"/>
      </w:pPr>
      <w:r w:rsidRPr="00F26D88">
        <w:t xml:space="preserve">The wellbeing outcomes apply to everyone in Aotearoa (population-level) through to tāngata whaiora </w:t>
      </w:r>
      <w:r w:rsidR="00100D65" w:rsidRPr="00642181">
        <w:t xml:space="preserve">(people with lived experience of mental distress </w:t>
      </w:r>
      <w:r w:rsidR="00100D65">
        <w:t xml:space="preserve">and </w:t>
      </w:r>
      <w:r w:rsidR="00100D65" w:rsidRPr="00642181">
        <w:t>or addiction)</w:t>
      </w:r>
      <w:r w:rsidR="00100D65">
        <w:t xml:space="preserve"> </w:t>
      </w:r>
      <w:r w:rsidRPr="00F26D88">
        <w:t>using mental health and addiction services (service-level).</w:t>
      </w:r>
    </w:p>
    <w:p w14:paraId="0BA32584" w14:textId="28999B79" w:rsidR="00435FD3" w:rsidRPr="00F26D88" w:rsidRDefault="00435FD3" w:rsidP="00C8416D">
      <w:pPr>
        <w:numPr>
          <w:ilvl w:val="0"/>
          <w:numId w:val="4"/>
        </w:numPr>
        <w:suppressAutoHyphens/>
        <w:autoSpaceDE w:val="0"/>
        <w:autoSpaceDN w:val="0"/>
        <w:adjustRightInd w:val="0"/>
        <w:textAlignment w:val="center"/>
      </w:pPr>
      <w:r w:rsidRPr="00F26D88">
        <w:t xml:space="preserve">The wellbeing outcomes are shown through both </w:t>
      </w:r>
      <w:r w:rsidR="00D71ED7">
        <w:t>Te Ao M</w:t>
      </w:r>
      <w:r w:rsidRPr="00F26D88">
        <w:t xml:space="preserve">āori and shared wellbeing perspectives (the dual layering). </w:t>
      </w:r>
      <w:r w:rsidR="00E63B78">
        <w:t>At the time of development, t</w:t>
      </w:r>
      <w:r w:rsidRPr="00F26D88">
        <w:t xml:space="preserve">here </w:t>
      </w:r>
      <w:r w:rsidR="00E63B78">
        <w:t>were</w:t>
      </w:r>
      <w:r w:rsidRPr="00F26D88">
        <w:t xml:space="preserve"> no existing framework that incorporate</w:t>
      </w:r>
      <w:r w:rsidR="00E63B78">
        <w:t>d</w:t>
      </w:r>
      <w:r w:rsidRPr="00F26D88">
        <w:t xml:space="preserve"> this duality and respect</w:t>
      </w:r>
      <w:r w:rsidR="00E63B78">
        <w:t>ed</w:t>
      </w:r>
      <w:r w:rsidRPr="00F26D88">
        <w:t xml:space="preserve"> both tangata whenua and tangata Tiriti perspectives.</w:t>
      </w:r>
    </w:p>
    <w:p w14:paraId="76CD5C6B" w14:textId="79B856A0" w:rsidR="00435FD3" w:rsidRDefault="001D149B" w:rsidP="00072460">
      <w:pPr>
        <w:pStyle w:val="Heading4"/>
      </w:pPr>
      <w:r>
        <w:t>He Ara Oranga wellbeing outcomes framework data phase</w:t>
      </w:r>
    </w:p>
    <w:p w14:paraId="2569A0C8" w14:textId="261C1587" w:rsidR="00D55C6E" w:rsidRDefault="00757421" w:rsidP="00757421">
      <w:pPr>
        <w:suppressAutoHyphens/>
        <w:autoSpaceDE w:val="0"/>
        <w:autoSpaceDN w:val="0"/>
        <w:adjustRightInd w:val="0"/>
        <w:textAlignment w:val="center"/>
        <w:rPr>
          <w:lang w:val="en-GB"/>
        </w:rPr>
      </w:pPr>
      <w:r w:rsidRPr="001924A1">
        <w:t xml:space="preserve">Following the design of the conceptual outcomes, </w:t>
      </w:r>
      <w:r w:rsidR="006B118C" w:rsidRPr="006B118C">
        <w:rPr>
          <w:bCs/>
        </w:rPr>
        <w:t xml:space="preserve">the He Ara Oranga wellbeing outcomes framework </w:t>
      </w:r>
      <w:r w:rsidR="006B118C" w:rsidRPr="006B118C">
        <w:rPr>
          <w:b/>
        </w:rPr>
        <w:t>data phase</w:t>
      </w:r>
      <w:r w:rsidR="002755A2">
        <w:rPr>
          <w:bCs/>
        </w:rPr>
        <w:t xml:space="preserve"> began</w:t>
      </w:r>
      <w:r w:rsidR="00D57328">
        <w:rPr>
          <w:bCs/>
        </w:rPr>
        <w:t xml:space="preserve"> in September 2020.</w:t>
      </w:r>
      <w:r w:rsidR="00876084">
        <w:rPr>
          <w:bCs/>
        </w:rPr>
        <w:t xml:space="preserve"> This </w:t>
      </w:r>
      <w:r w:rsidR="00385796">
        <w:rPr>
          <w:bCs/>
        </w:rPr>
        <w:t>work</w:t>
      </w:r>
      <w:r w:rsidR="006B118C" w:rsidRPr="006B118C">
        <w:rPr>
          <w:bCs/>
        </w:rPr>
        <w:t xml:space="preserve"> looked at existing data sources</w:t>
      </w:r>
      <w:r w:rsidR="006B118C" w:rsidRPr="006B118C">
        <w:rPr>
          <w:b/>
        </w:rPr>
        <w:t xml:space="preserve"> </w:t>
      </w:r>
      <w:r w:rsidR="006B118C" w:rsidRPr="006B118C">
        <w:rPr>
          <w:bCs/>
        </w:rPr>
        <w:t>to d</w:t>
      </w:r>
      <w:r w:rsidR="006B118C" w:rsidRPr="006B118C">
        <w:t>evelop draft indicators and measures</w:t>
      </w:r>
      <w:r w:rsidR="0085658E">
        <w:rPr>
          <w:rStyle w:val="FootnoteReference"/>
        </w:rPr>
        <w:footnoteReference w:id="2"/>
      </w:r>
      <w:r w:rsidR="006B118C" w:rsidRPr="006B118C">
        <w:t xml:space="preserve"> to monitor and </w:t>
      </w:r>
      <w:r w:rsidR="006B118C" w:rsidRPr="006B118C">
        <w:rPr>
          <w:lang w:val="en-GB"/>
        </w:rPr>
        <w:t>measure performance across the whole mental health and wellbeing system.</w:t>
      </w:r>
    </w:p>
    <w:p w14:paraId="6721795E" w14:textId="63DA8CE8" w:rsidR="00642181" w:rsidRPr="00642181" w:rsidRDefault="006B118C" w:rsidP="00642181">
      <w:pPr>
        <w:suppressAutoHyphens/>
        <w:autoSpaceDE w:val="0"/>
        <w:autoSpaceDN w:val="0"/>
        <w:adjustRightInd w:val="0"/>
        <w:textAlignment w:val="center"/>
      </w:pPr>
      <w:r w:rsidRPr="006B118C">
        <w:rPr>
          <w:lang w:val="en-GB"/>
        </w:rPr>
        <w:t xml:space="preserve">This phase was informed by specialist advice from </w:t>
      </w:r>
      <w:r w:rsidRPr="006B118C">
        <w:t xml:space="preserve">two </w:t>
      </w:r>
      <w:hyperlink r:id="rId25" w:history="1">
        <w:r w:rsidRPr="00991085">
          <w:rPr>
            <w:rStyle w:val="Hyperlink"/>
            <w:u w:val="none"/>
          </w:rPr>
          <w:t>Technical Advisory Groups</w:t>
        </w:r>
      </w:hyperlink>
      <w:r w:rsidR="002336C6">
        <w:t xml:space="preserve"> (TAGs)</w:t>
      </w:r>
      <w:r w:rsidR="008B4EFA">
        <w:t xml:space="preserve"> </w:t>
      </w:r>
      <w:r w:rsidR="00642181" w:rsidRPr="00642181">
        <w:rPr>
          <w:rFonts w:cs="Basic Sans Light"/>
        </w:rPr>
        <w:t>–</w:t>
      </w:r>
      <w:r w:rsidR="00642181" w:rsidRPr="00642181">
        <w:t xml:space="preserve"> one focused on mental health and addiction service</w:t>
      </w:r>
      <w:r w:rsidR="00796005">
        <w:t>-</w:t>
      </w:r>
      <w:r w:rsidR="00642181" w:rsidRPr="00642181">
        <w:t>level data and the other on population</w:t>
      </w:r>
      <w:r w:rsidR="00796005">
        <w:t>-</w:t>
      </w:r>
      <w:r w:rsidR="00642181" w:rsidRPr="00642181">
        <w:t>level data. These groups supported the Initial Commission to complete a stocktake of all data sources link</w:t>
      </w:r>
      <w:r w:rsidR="008A09D7">
        <w:t>ed</w:t>
      </w:r>
      <w:r w:rsidR="00642181" w:rsidRPr="00642181">
        <w:t xml:space="preserve"> to the wellbeing outcomes in the He Ara Oranga framework.</w:t>
      </w:r>
    </w:p>
    <w:p w14:paraId="0A39EEA8" w14:textId="56D4AC83" w:rsidR="00642181" w:rsidRPr="00642181" w:rsidRDefault="00642181" w:rsidP="00642181">
      <w:pPr>
        <w:suppressAutoHyphens/>
        <w:autoSpaceDE w:val="0"/>
        <w:autoSpaceDN w:val="0"/>
        <w:adjustRightInd w:val="0"/>
        <w:textAlignment w:val="center"/>
      </w:pPr>
      <w:r w:rsidRPr="00642181">
        <w:t>After the stocktake, the Initial Commission identified possible population</w:t>
      </w:r>
      <w:r w:rsidR="00703C1E">
        <w:t>-</w:t>
      </w:r>
      <w:r w:rsidRPr="00642181">
        <w:t xml:space="preserve">level indicators and measures for tāngata whaiora. The data were compared against the wellbeing </w:t>
      </w:r>
      <w:r w:rsidR="0016674B">
        <w:t>outcomes</w:t>
      </w:r>
      <w:r w:rsidRPr="00642181">
        <w:t xml:space="preserve"> in the framework.</w:t>
      </w:r>
    </w:p>
    <w:p w14:paraId="76967C69" w14:textId="71E3E049" w:rsidR="00642181" w:rsidRDefault="00642181" w:rsidP="00642181">
      <w:pPr>
        <w:suppressAutoHyphens/>
        <w:autoSpaceDE w:val="0"/>
        <w:autoSpaceDN w:val="0"/>
        <w:adjustRightInd w:val="0"/>
        <w:textAlignment w:val="center"/>
      </w:pPr>
      <w:r w:rsidRPr="00642181">
        <w:lastRenderedPageBreak/>
        <w:t xml:space="preserve">These data sources were assessed against criteria agreed </w:t>
      </w:r>
      <w:r w:rsidR="00BD394A">
        <w:t xml:space="preserve">upon </w:t>
      </w:r>
      <w:r w:rsidRPr="00642181">
        <w:t>by the TAGs to decide which indicators and measures could be shortlisted. Information gaps were also identified.</w:t>
      </w:r>
      <w:r w:rsidR="00272C9F">
        <w:t xml:space="preserve"> </w:t>
      </w:r>
      <w:r w:rsidRPr="00642181">
        <w:t xml:space="preserve">In February 2021, the Initial Commission Board approved the advice to </w:t>
      </w:r>
      <w:r w:rsidR="00BA0878">
        <w:t>Te Hiringa Mahara</w:t>
      </w:r>
      <w:r w:rsidRPr="00642181">
        <w:t xml:space="preserve"> and the Minister of Health about identified data gaps and implementation.</w:t>
      </w:r>
    </w:p>
    <w:p w14:paraId="6E30F51D" w14:textId="0C29DAD4" w:rsidR="009372CA" w:rsidRDefault="009372CA" w:rsidP="00642181">
      <w:pPr>
        <w:suppressAutoHyphens/>
        <w:autoSpaceDE w:val="0"/>
        <w:autoSpaceDN w:val="0"/>
        <w:adjustRightInd w:val="0"/>
        <w:textAlignment w:val="center"/>
      </w:pPr>
      <w:r w:rsidRPr="009372CA">
        <w:t xml:space="preserve">To learn more about the </w:t>
      </w:r>
      <w:r w:rsidR="000F4DBB">
        <w:t xml:space="preserve">Initial Commission’s </w:t>
      </w:r>
      <w:r w:rsidRPr="009372CA">
        <w:t xml:space="preserve">data phase, download the </w:t>
      </w:r>
      <w:hyperlink r:id="rId26" w:history="1">
        <w:r w:rsidRPr="004A2D78">
          <w:rPr>
            <w:rStyle w:val="Hyperlink"/>
            <w:u w:val="none"/>
          </w:rPr>
          <w:t>full report</w:t>
        </w:r>
      </w:hyperlink>
      <w:r w:rsidRPr="009372CA">
        <w:t>.</w:t>
      </w:r>
    </w:p>
    <w:p w14:paraId="487C5368" w14:textId="18F28E1D" w:rsidR="00F406F7" w:rsidRDefault="009A7D1A" w:rsidP="00642181">
      <w:pPr>
        <w:suppressAutoHyphens/>
        <w:autoSpaceDE w:val="0"/>
        <w:autoSpaceDN w:val="0"/>
        <w:adjustRightInd w:val="0"/>
        <w:textAlignment w:val="center"/>
      </w:pPr>
      <w:r>
        <w:t xml:space="preserve">The </w:t>
      </w:r>
      <w:r w:rsidR="00385796">
        <w:t>work</w:t>
      </w:r>
      <w:r>
        <w:t xml:space="preserve"> completed by the Initial Commission resulted in a shortlist of population indicators</w:t>
      </w:r>
      <w:r w:rsidR="005A1D10">
        <w:t xml:space="preserve">, and recommendations on the next stage of </w:t>
      </w:r>
      <w:r w:rsidR="00385796">
        <w:t>work</w:t>
      </w:r>
      <w:r w:rsidR="005A1D10">
        <w:t xml:space="preserve"> to </w:t>
      </w:r>
      <w:r w:rsidR="002C76CD">
        <w:t>determine the ‘vital few’ indicators</w:t>
      </w:r>
      <w:r w:rsidR="00B75E37">
        <w:t xml:space="preserve"> (based on existing data)</w:t>
      </w:r>
      <w:r w:rsidR="002D4019">
        <w:t xml:space="preserve">. Shortlisting </w:t>
      </w:r>
      <w:r w:rsidR="005019B0">
        <w:t xml:space="preserve">mental health and addiction </w:t>
      </w:r>
      <w:r w:rsidR="001A6D53">
        <w:t>service-level outcome measures was more challenging and required He Ara Āwhina to be developed</w:t>
      </w:r>
      <w:r w:rsidR="00356F7E">
        <w:t xml:space="preserve"> before it could be advanced.</w:t>
      </w:r>
      <w:r w:rsidR="00A87445">
        <w:t xml:space="preserve"> </w:t>
      </w:r>
    </w:p>
    <w:p w14:paraId="2DF68929" w14:textId="0DA137E7" w:rsidR="000F4DBB" w:rsidRPr="00642181" w:rsidRDefault="007E6599" w:rsidP="00642181">
      <w:pPr>
        <w:suppressAutoHyphens/>
        <w:autoSpaceDE w:val="0"/>
        <w:autoSpaceDN w:val="0"/>
        <w:adjustRightInd w:val="0"/>
        <w:textAlignment w:val="center"/>
      </w:pPr>
      <w:r>
        <w:t>Following</w:t>
      </w:r>
      <w:r w:rsidR="007F1069">
        <w:t xml:space="preserve"> the adoption of advice from the Initial Commission, Te Hiringa</w:t>
      </w:r>
      <w:r w:rsidR="00272C9F">
        <w:t xml:space="preserve"> </w:t>
      </w:r>
      <w:r w:rsidR="007F1069">
        <w:t>Mahara</w:t>
      </w:r>
      <w:r w:rsidR="00B75E37">
        <w:t xml:space="preserve"> determined the final suite of </w:t>
      </w:r>
      <w:hyperlink r:id="rId27" w:history="1">
        <w:r w:rsidR="00B75E37" w:rsidRPr="00991085">
          <w:rPr>
            <w:rStyle w:val="Hyperlink"/>
            <w:u w:val="none"/>
          </w:rPr>
          <w:t>population indicators</w:t>
        </w:r>
      </w:hyperlink>
      <w:r w:rsidR="00B75E37">
        <w:t xml:space="preserve"> to be used</w:t>
      </w:r>
      <w:r w:rsidR="00CE7FC4">
        <w:t xml:space="preserve"> in their</w:t>
      </w:r>
      <w:r w:rsidR="002D668F">
        <w:t xml:space="preserve"> </w:t>
      </w:r>
      <w:r w:rsidR="0072072E">
        <w:t xml:space="preserve">first </w:t>
      </w:r>
      <w:r w:rsidR="004059F3">
        <w:t xml:space="preserve">wellbeing report, </w:t>
      </w:r>
      <w:hyperlink r:id="rId28" w:history="1">
        <w:r w:rsidR="00122BE9" w:rsidRPr="00991085">
          <w:rPr>
            <w:rStyle w:val="Hyperlink"/>
            <w:u w:val="none"/>
          </w:rPr>
          <w:t>Te Rau Tira Wellbeing Outcomes Report 2021</w:t>
        </w:r>
      </w:hyperlink>
      <w:r w:rsidR="00ED065F">
        <w:rPr>
          <w:rFonts w:ascii="Calibri" w:hAnsi="Calibri" w:cs="Calibri"/>
        </w:rPr>
        <w:t xml:space="preserve">, </w:t>
      </w:r>
      <w:r w:rsidR="004059F3" w:rsidRPr="004059F3">
        <w:t xml:space="preserve">released </w:t>
      </w:r>
      <w:r w:rsidR="002D668F" w:rsidRPr="002D668F">
        <w:t>on 8 December 2021.</w:t>
      </w:r>
    </w:p>
    <w:p w14:paraId="47746CC0" w14:textId="1EBB6CDB" w:rsidR="003F3C50" w:rsidRPr="00ED4572" w:rsidRDefault="00F0502B" w:rsidP="00CE4CB6">
      <w:pPr>
        <w:pStyle w:val="Heading3"/>
      </w:pPr>
      <w:r>
        <w:t>The</w:t>
      </w:r>
      <w:r w:rsidR="003F3C50" w:rsidRPr="00ED4572">
        <w:t xml:space="preserve"> He Ara Āwhina </w:t>
      </w:r>
      <w:r>
        <w:t xml:space="preserve">system monitoring </w:t>
      </w:r>
      <w:r w:rsidR="003F3C50" w:rsidRPr="00ED4572">
        <w:t xml:space="preserve">framework </w:t>
      </w:r>
    </w:p>
    <w:p w14:paraId="587CCABB" w14:textId="588D940D" w:rsidR="003F3C50" w:rsidRPr="00493467" w:rsidRDefault="003F3C50" w:rsidP="003F3C50">
      <w:r w:rsidRPr="00493467">
        <w:t>He Ara Āwhina is a separate but interconnected framework that will</w:t>
      </w:r>
      <w:r w:rsidRPr="00493467">
        <w:rPr>
          <w:rFonts w:ascii="Calibri" w:hAnsi="Calibri" w:cs="Calibri"/>
        </w:rPr>
        <w:t> </w:t>
      </w:r>
      <w:r w:rsidRPr="00831571">
        <w:t xml:space="preserve">be used to assess, monitor, and advocate for improvements to </w:t>
      </w:r>
      <w:r w:rsidR="000B0355">
        <w:t xml:space="preserve">the </w:t>
      </w:r>
      <w:r w:rsidRPr="00831571">
        <w:t>mental health and addiction system</w:t>
      </w:r>
      <w:r w:rsidR="000B0355">
        <w:t xml:space="preserve"> in Aotearoa</w:t>
      </w:r>
      <w:r w:rsidRPr="00831571">
        <w:t>, including services.</w:t>
      </w:r>
      <w:r w:rsidRPr="00493467">
        <w:t xml:space="preserve"> He Ara Āwhina will measure and monitor the contribution of mental health services and addiction services to wellbeing outcomes and provide a credible platform for </w:t>
      </w:r>
      <w:r>
        <w:t>Te Hiringa Mahara</w:t>
      </w:r>
      <w:r w:rsidRPr="00493467">
        <w:t xml:space="preserve"> to advocate for improvement to those services. </w:t>
      </w:r>
    </w:p>
    <w:p w14:paraId="467A3EA0" w14:textId="67ABCACB" w:rsidR="003F3C50" w:rsidRPr="004B3DC5" w:rsidRDefault="005872E7" w:rsidP="003F3C50">
      <w:pPr>
        <w:rPr>
          <w:lang w:val="en-US"/>
        </w:rPr>
      </w:pPr>
      <w:r>
        <w:t>The figure below</w:t>
      </w:r>
      <w:r w:rsidR="003F3C50" w:rsidRPr="00493467">
        <w:t xml:space="preserve"> shows how the two frameworks are intended to work together to monitor performance.</w:t>
      </w:r>
      <w:r w:rsidR="003A1E86" w:rsidRPr="003A1E86">
        <w:rPr>
          <w:noProof/>
        </w:rPr>
        <w:t xml:space="preserve"> </w:t>
      </w:r>
    </w:p>
    <w:p w14:paraId="7AD49226" w14:textId="39BF35E7" w:rsidR="003F3C50" w:rsidRDefault="003A1E86" w:rsidP="746660F7">
      <w:r>
        <w:rPr>
          <w:noProof/>
        </w:rPr>
        <mc:AlternateContent>
          <mc:Choice Requires="wpg">
            <w:drawing>
              <wp:inline distT="0" distB="0" distL="0" distR="0" wp14:anchorId="7783A293" wp14:editId="3CF67FB8">
                <wp:extent cx="5891200" cy="2275111"/>
                <wp:effectExtent l="0" t="0" r="0" b="0"/>
                <wp:docPr id="7" name="Group 7">
                  <a:extLst xmlns:a="http://schemas.openxmlformats.org/drawingml/2006/main">
                    <a:ext uri="{FF2B5EF4-FFF2-40B4-BE49-F238E27FC236}">
                      <a16:creationId xmlns:a16="http://schemas.microsoft.com/office/drawing/2014/main" id="{EDBA5082-44FF-FE0D-A8AF-84E9CAEC664C}"/>
                    </a:ext>
                  </a:extLst>
                </wp:docPr>
                <wp:cNvGraphicFramePr/>
                <a:graphic xmlns:a="http://schemas.openxmlformats.org/drawingml/2006/main">
                  <a:graphicData uri="http://schemas.microsoft.com/office/word/2010/wordprocessingGroup">
                    <wpg:wgp>
                      <wpg:cNvGrpSpPr/>
                      <wpg:grpSpPr>
                        <a:xfrm>
                          <a:off x="0" y="0"/>
                          <a:ext cx="5891200" cy="2275111"/>
                          <a:chOff x="-381000" y="-83024"/>
                          <a:chExt cx="8269117" cy="2502814"/>
                        </a:xfrm>
                      </wpg:grpSpPr>
                      <wpg:grpSp>
                        <wpg:cNvPr id="1373364274" name="Group 1373364274">
                          <a:extLst>
                            <a:ext uri="{FF2B5EF4-FFF2-40B4-BE49-F238E27FC236}">
                              <a16:creationId xmlns:a16="http://schemas.microsoft.com/office/drawing/2014/main" id="{919C8700-4471-9C3D-7119-09BAB9E8324A}"/>
                            </a:ext>
                          </a:extLst>
                        </wpg:cNvPr>
                        <wpg:cNvGrpSpPr/>
                        <wpg:grpSpPr>
                          <a:xfrm>
                            <a:off x="-381000" y="-83024"/>
                            <a:ext cx="8269117" cy="2502814"/>
                            <a:chOff x="-478527" y="-104455"/>
                            <a:chExt cx="10385797" cy="3148852"/>
                          </a:xfrm>
                        </wpg:grpSpPr>
                        <wps:wsp>
                          <wps:cNvPr id="1011917038" name="TextBox 29">
                            <a:extLst>
                              <a:ext uri="{FF2B5EF4-FFF2-40B4-BE49-F238E27FC236}">
                                <a16:creationId xmlns:a16="http://schemas.microsoft.com/office/drawing/2014/main" id="{48A876DE-33A5-14E2-C26C-C3BA01B6FFF9}"/>
                              </a:ext>
                            </a:extLst>
                          </wps:cNvPr>
                          <wps:cNvSpPr txBox="1"/>
                          <wps:spPr>
                            <a:xfrm>
                              <a:off x="7615130" y="1657182"/>
                              <a:ext cx="2292140" cy="1244910"/>
                            </a:xfrm>
                            <a:prstGeom prst="rect">
                              <a:avLst/>
                            </a:prstGeom>
                            <a:noFill/>
                          </wps:spPr>
                          <wps:txbx>
                            <w:txbxContent>
                              <w:p w14:paraId="13EC7AEA" w14:textId="77777777" w:rsidR="003A1E86" w:rsidRDefault="003A1E86" w:rsidP="003A1E86">
                                <w:pPr>
                                  <w:jc w:val="center"/>
                                  <w:rPr>
                                    <w:b/>
                                    <w:bCs/>
                                    <w:color w:val="000000" w:themeColor="text1"/>
                                    <w:kern w:val="24"/>
                                    <w:szCs w:val="24"/>
                                  </w:rPr>
                                </w:pPr>
                                <w:r>
                                  <w:rPr>
                                    <w:b/>
                                    <w:bCs/>
                                    <w:color w:val="000000" w:themeColor="text1"/>
                                    <w:kern w:val="24"/>
                                  </w:rPr>
                                  <w:t xml:space="preserve">He Ara </w:t>
                                </w:r>
                                <w:r>
                                  <w:rPr>
                                    <w:b/>
                                    <w:bCs/>
                                    <w:color w:val="000000" w:themeColor="text1"/>
                                    <w:kern w:val="24"/>
                                    <w:lang w:val="mi-NZ"/>
                                  </w:rPr>
                                  <w:t>Āwhina</w:t>
                                </w:r>
                                <w:r>
                                  <w:rPr>
                                    <w:b/>
                                    <w:bCs/>
                                    <w:color w:val="000000" w:themeColor="text1"/>
                                    <w:kern w:val="24"/>
                                  </w:rPr>
                                  <w:t xml:space="preserve"> system monitoring framework</w:t>
                                </w:r>
                              </w:p>
                            </w:txbxContent>
                          </wps:txbx>
                          <wps:bodyPr wrap="square" rtlCol="0">
                            <a:noAutofit/>
                          </wps:bodyPr>
                        </wps:wsp>
                        <wpg:grpSp>
                          <wpg:cNvPr id="1162205957" name="Group 1162205957">
                            <a:extLst>
                              <a:ext uri="{FF2B5EF4-FFF2-40B4-BE49-F238E27FC236}">
                                <a16:creationId xmlns:a16="http://schemas.microsoft.com/office/drawing/2014/main" id="{559DD0B6-98A6-24EA-8C33-F6DE1DC743FA}"/>
                              </a:ext>
                            </a:extLst>
                          </wpg:cNvPr>
                          <wpg:cNvGrpSpPr/>
                          <wpg:grpSpPr>
                            <a:xfrm>
                              <a:off x="-478527" y="-104455"/>
                              <a:ext cx="10015012" cy="3148852"/>
                              <a:chOff x="-478527" y="-104455"/>
                              <a:chExt cx="10015012" cy="3148852"/>
                            </a:xfrm>
                          </wpg:grpSpPr>
                          <wps:wsp>
                            <wps:cNvPr id="2028256932" name="Rectangle 2028256932">
                              <a:extLst>
                                <a:ext uri="{FF2B5EF4-FFF2-40B4-BE49-F238E27FC236}">
                                  <a16:creationId xmlns:a16="http://schemas.microsoft.com/office/drawing/2014/main" id="{72E3708A-6239-6280-2A78-4C7356D4AE5A}"/>
                                </a:ext>
                              </a:extLst>
                            </wps:cNvPr>
                            <wps:cNvSpPr/>
                            <wps:spPr>
                              <a:xfrm>
                                <a:off x="2974511" y="1324985"/>
                                <a:ext cx="4873432" cy="1719072"/>
                              </a:xfrm>
                              <a:prstGeom prst="rect">
                                <a:avLst/>
                              </a:prstGeom>
                              <a:solidFill>
                                <a:srgbClr val="FBC2B1">
                                  <a:alpha val="50196"/>
                                </a:srgbClr>
                              </a:solidFill>
                              <a:ln w="12700" cap="flat" cmpd="sng" algn="ctr">
                                <a:noFill/>
                                <a:prstDash val="solid"/>
                                <a:miter lim="800000"/>
                              </a:ln>
                              <a:effectLst/>
                            </wps:spPr>
                            <wps:bodyPr rtlCol="0" anchor="ctr"/>
                          </wps:wsp>
                          <wps:wsp>
                            <wps:cNvPr id="330481524" name="Isosceles Triangle 330481524">
                              <a:extLst>
                                <a:ext uri="{FF2B5EF4-FFF2-40B4-BE49-F238E27FC236}">
                                  <a16:creationId xmlns:a16="http://schemas.microsoft.com/office/drawing/2014/main" id="{4BAF1659-373F-F21F-B8CF-1C699F9C5936}"/>
                                </a:ext>
                              </a:extLst>
                            </wps:cNvPr>
                            <wps:cNvSpPr/>
                            <wps:spPr>
                              <a:xfrm rot="10800000">
                                <a:off x="2501753" y="539465"/>
                                <a:ext cx="3326389" cy="2504932"/>
                              </a:xfrm>
                              <a:prstGeom prst="triangle">
                                <a:avLst>
                                  <a:gd name="adj" fmla="val 49375"/>
                                </a:avLst>
                              </a:prstGeom>
                              <a:solidFill>
                                <a:srgbClr val="005E85"/>
                              </a:solidFill>
                              <a:ln w="12700" cap="flat" cmpd="sng" algn="ctr">
                                <a:noFill/>
                                <a:prstDash val="solid"/>
                                <a:miter lim="800000"/>
                              </a:ln>
                              <a:effectLst/>
                            </wps:spPr>
                            <wps:bodyPr rtlCol="0" anchor="ctr"/>
                          </wps:wsp>
                          <wps:wsp>
                            <wps:cNvPr id="2026018554" name="Isosceles Triangle 2026018554">
                              <a:extLst>
                                <a:ext uri="{FF2B5EF4-FFF2-40B4-BE49-F238E27FC236}">
                                  <a16:creationId xmlns:a16="http://schemas.microsoft.com/office/drawing/2014/main" id="{53B48395-9DA4-F436-86B5-769D8FDBC32A}"/>
                                </a:ext>
                              </a:extLst>
                            </wps:cNvPr>
                            <wps:cNvSpPr/>
                            <wps:spPr>
                              <a:xfrm rot="10800000">
                                <a:off x="3161987" y="1346026"/>
                                <a:ext cx="2017483" cy="1587519"/>
                              </a:xfrm>
                              <a:prstGeom prst="triangle">
                                <a:avLst>
                                  <a:gd name="adj" fmla="val 49375"/>
                                </a:avLst>
                              </a:prstGeom>
                              <a:solidFill>
                                <a:srgbClr val="EE9183"/>
                              </a:solidFill>
                              <a:ln w="12700" cap="flat" cmpd="sng" algn="ctr">
                                <a:solidFill>
                                  <a:srgbClr val="4472C4">
                                    <a:shade val="50000"/>
                                  </a:srgbClr>
                                </a:solidFill>
                                <a:prstDash val="solid"/>
                                <a:miter lim="800000"/>
                              </a:ln>
                              <a:effectLst/>
                            </wps:spPr>
                            <wps:bodyPr rtlCol="0" anchor="ctr"/>
                          </wps:wsp>
                          <wps:wsp>
                            <wps:cNvPr id="902308029" name="TextBox 28">
                              <a:extLst>
                                <a:ext uri="{FF2B5EF4-FFF2-40B4-BE49-F238E27FC236}">
                                  <a16:creationId xmlns:a16="http://schemas.microsoft.com/office/drawing/2014/main" id="{615FAAAA-2428-1931-410D-DEFC49511E82}"/>
                                </a:ext>
                              </a:extLst>
                            </wps:cNvPr>
                            <wps:cNvSpPr txBox="1"/>
                            <wps:spPr>
                              <a:xfrm>
                                <a:off x="4839680" y="1654207"/>
                                <a:ext cx="2775451" cy="1231833"/>
                              </a:xfrm>
                              <a:prstGeom prst="rect">
                                <a:avLst/>
                              </a:prstGeom>
                              <a:noFill/>
                            </wps:spPr>
                            <wps:txbx>
                              <w:txbxContent>
                                <w:p w14:paraId="72342E15" w14:textId="77777777" w:rsidR="003A1E86" w:rsidRPr="00213D83" w:rsidRDefault="003A1E86" w:rsidP="003A1E86">
                                  <w:pPr>
                                    <w:jc w:val="center"/>
                                    <w:rPr>
                                      <w:color w:val="000000" w:themeColor="text1"/>
                                      <w:kern w:val="24"/>
                                      <w:sz w:val="20"/>
                                      <w:szCs w:val="20"/>
                                    </w:rPr>
                                  </w:pPr>
                                  <w:r w:rsidRPr="00213D83">
                                    <w:rPr>
                                      <w:color w:val="000000" w:themeColor="text1"/>
                                      <w:kern w:val="24"/>
                                      <w:sz w:val="20"/>
                                      <w:szCs w:val="18"/>
                                    </w:rPr>
                                    <w:t>Mental health and addiction system process and structure measures</w:t>
                                  </w:r>
                                </w:p>
                              </w:txbxContent>
                            </wps:txbx>
                            <wps:bodyPr wrap="square" rtlCol="0">
                              <a:noAutofit/>
                            </wps:bodyPr>
                          </wps:wsp>
                          <wps:wsp>
                            <wps:cNvPr id="1208058583" name="TextBox 30">
                              <a:extLst>
                                <a:ext uri="{FF2B5EF4-FFF2-40B4-BE49-F238E27FC236}">
                                  <a16:creationId xmlns:a16="http://schemas.microsoft.com/office/drawing/2014/main" id="{44AF17AC-0B66-0760-B3FD-A7A5AFB5D35E}"/>
                                </a:ext>
                              </a:extLst>
                            </wps:cNvPr>
                            <wps:cNvSpPr txBox="1"/>
                            <wps:spPr>
                              <a:xfrm>
                                <a:off x="736782" y="933894"/>
                                <a:ext cx="2280649" cy="1552298"/>
                              </a:xfrm>
                              <a:prstGeom prst="rect">
                                <a:avLst/>
                              </a:prstGeom>
                              <a:noFill/>
                            </wps:spPr>
                            <wps:txbx>
                              <w:txbxContent>
                                <w:p w14:paraId="56D8DBFB" w14:textId="77777777" w:rsidR="003A1E86" w:rsidRPr="004203D9" w:rsidRDefault="003A1E86" w:rsidP="003A1E86">
                                  <w:pPr>
                                    <w:jc w:val="center"/>
                                    <w:rPr>
                                      <w:color w:val="000000" w:themeColor="text1"/>
                                      <w:kern w:val="24"/>
                                      <w:sz w:val="20"/>
                                      <w:szCs w:val="20"/>
                                    </w:rPr>
                                  </w:pPr>
                                  <w:r w:rsidRPr="004203D9">
                                    <w:rPr>
                                      <w:color w:val="000000" w:themeColor="text1"/>
                                      <w:kern w:val="24"/>
                                      <w:sz w:val="20"/>
                                      <w:szCs w:val="20"/>
                                    </w:rPr>
                                    <w:t>Cascading of wellbeing outcomes from population-level to mental health and addiction service level outcomes</w:t>
                                  </w:r>
                                </w:p>
                              </w:txbxContent>
                            </wps:txbx>
                            <wps:bodyPr wrap="square" rtlCol="0">
                              <a:noAutofit/>
                            </wps:bodyPr>
                          </wps:wsp>
                          <wps:wsp>
                            <wps:cNvPr id="282698761" name="TextBox 33">
                              <a:extLst>
                                <a:ext uri="{FF2B5EF4-FFF2-40B4-BE49-F238E27FC236}">
                                  <a16:creationId xmlns:a16="http://schemas.microsoft.com/office/drawing/2014/main" id="{A20A632A-0CC4-9DAB-0E17-961CBF68EB5C}"/>
                                </a:ext>
                              </a:extLst>
                            </wps:cNvPr>
                            <wps:cNvSpPr txBox="1"/>
                            <wps:spPr>
                              <a:xfrm>
                                <a:off x="-391274" y="643571"/>
                                <a:ext cx="1936178" cy="507307"/>
                              </a:xfrm>
                              <a:prstGeom prst="rect">
                                <a:avLst/>
                              </a:prstGeom>
                              <a:noFill/>
                            </wps:spPr>
                            <wps:txbx>
                              <w:txbxContent>
                                <w:p w14:paraId="587C0BDE" w14:textId="77777777" w:rsidR="003A1E86" w:rsidRDefault="003A1E86" w:rsidP="003A1E86">
                                  <w:pPr>
                                    <w:jc w:val="center"/>
                                    <w:rPr>
                                      <w:b/>
                                      <w:bCs/>
                                      <w:color w:val="000000" w:themeColor="text1"/>
                                      <w:kern w:val="24"/>
                                      <w:szCs w:val="24"/>
                                    </w:rPr>
                                  </w:pPr>
                                  <w:r>
                                    <w:rPr>
                                      <w:b/>
                                      <w:bCs/>
                                      <w:color w:val="000000" w:themeColor="text1"/>
                                      <w:kern w:val="24"/>
                                    </w:rPr>
                                    <w:t>Population</w:t>
                                  </w:r>
                                </w:p>
                              </w:txbxContent>
                            </wps:txbx>
                            <wps:bodyPr wrap="square" rtlCol="0">
                              <a:noAutofit/>
                            </wps:bodyPr>
                          </wps:wsp>
                          <wps:wsp>
                            <wps:cNvPr id="1708969779" name="TextBox 34">
                              <a:extLst>
                                <a:ext uri="{FF2B5EF4-FFF2-40B4-BE49-F238E27FC236}">
                                  <a16:creationId xmlns:a16="http://schemas.microsoft.com/office/drawing/2014/main" id="{FAF35AFE-ADE9-2D42-1591-803F513DA9FD}"/>
                                </a:ext>
                              </a:extLst>
                            </wps:cNvPr>
                            <wps:cNvSpPr txBox="1"/>
                            <wps:spPr>
                              <a:xfrm>
                                <a:off x="-478527" y="2291591"/>
                                <a:ext cx="1529688" cy="507307"/>
                              </a:xfrm>
                              <a:prstGeom prst="rect">
                                <a:avLst/>
                              </a:prstGeom>
                              <a:noFill/>
                            </wps:spPr>
                            <wps:txbx>
                              <w:txbxContent>
                                <w:p w14:paraId="29E01BC4" w14:textId="77777777" w:rsidR="003A1E86" w:rsidRDefault="003A1E86" w:rsidP="003A1E86">
                                  <w:pPr>
                                    <w:jc w:val="center"/>
                                    <w:rPr>
                                      <w:b/>
                                      <w:bCs/>
                                      <w:color w:val="000000" w:themeColor="text1"/>
                                      <w:kern w:val="24"/>
                                      <w:szCs w:val="24"/>
                                    </w:rPr>
                                  </w:pPr>
                                  <w:r>
                                    <w:rPr>
                                      <w:b/>
                                      <w:bCs/>
                                      <w:color w:val="000000" w:themeColor="text1"/>
                                      <w:kern w:val="24"/>
                                    </w:rPr>
                                    <w:t>Service</w:t>
                                  </w:r>
                                </w:p>
                              </w:txbxContent>
                            </wps:txbx>
                            <wps:bodyPr wrap="square" rtlCol="0">
                              <a:noAutofit/>
                            </wps:bodyPr>
                          </wps:wsp>
                          <wps:wsp>
                            <wps:cNvPr id="1603410473" name="TextBox 35">
                              <a:extLst>
                                <a:ext uri="{FF2B5EF4-FFF2-40B4-BE49-F238E27FC236}">
                                  <a16:creationId xmlns:a16="http://schemas.microsoft.com/office/drawing/2014/main" id="{A4F7F31A-165E-DC37-C2F2-8E609FD6600F}"/>
                                </a:ext>
                              </a:extLst>
                            </wps:cNvPr>
                            <wps:cNvSpPr txBox="1"/>
                            <wps:spPr>
                              <a:xfrm>
                                <a:off x="-478527" y="1466580"/>
                                <a:ext cx="1529688" cy="507307"/>
                              </a:xfrm>
                              <a:prstGeom prst="rect">
                                <a:avLst/>
                              </a:prstGeom>
                              <a:noFill/>
                            </wps:spPr>
                            <wps:txbx>
                              <w:txbxContent>
                                <w:p w14:paraId="1595F90F" w14:textId="77777777" w:rsidR="003A1E86" w:rsidRDefault="003A1E86" w:rsidP="003A1E86">
                                  <w:pPr>
                                    <w:jc w:val="center"/>
                                    <w:rPr>
                                      <w:b/>
                                      <w:bCs/>
                                      <w:color w:val="000000" w:themeColor="text1"/>
                                      <w:kern w:val="24"/>
                                      <w:szCs w:val="24"/>
                                    </w:rPr>
                                  </w:pPr>
                                  <w:r>
                                    <w:rPr>
                                      <w:b/>
                                      <w:bCs/>
                                      <w:color w:val="000000" w:themeColor="text1"/>
                                      <w:kern w:val="24"/>
                                    </w:rPr>
                                    <w:t>System</w:t>
                                  </w:r>
                                </w:p>
                              </w:txbxContent>
                            </wps:txbx>
                            <wps:bodyPr wrap="square" rtlCol="0">
                              <a:noAutofit/>
                            </wps:bodyPr>
                          </wps:wsp>
                          <wps:wsp>
                            <wps:cNvPr id="674216905" name="TextBox 36">
                              <a:extLst>
                                <a:ext uri="{FF2B5EF4-FFF2-40B4-BE49-F238E27FC236}">
                                  <a16:creationId xmlns:a16="http://schemas.microsoft.com/office/drawing/2014/main" id="{F909414F-3108-BFB9-63B1-10BB757010C9}"/>
                                </a:ext>
                              </a:extLst>
                            </wps:cNvPr>
                            <wps:cNvSpPr txBox="1"/>
                            <wps:spPr>
                              <a:xfrm>
                                <a:off x="2416544" y="-104455"/>
                                <a:ext cx="3357658" cy="748204"/>
                              </a:xfrm>
                              <a:prstGeom prst="rect">
                                <a:avLst/>
                              </a:prstGeom>
                              <a:noFill/>
                            </wps:spPr>
                            <wps:txbx>
                              <w:txbxContent>
                                <w:p w14:paraId="35807989" w14:textId="77777777" w:rsidR="003A1E86" w:rsidRDefault="003A1E86" w:rsidP="003A1E86">
                                  <w:pPr>
                                    <w:spacing w:after="0"/>
                                    <w:jc w:val="center"/>
                                    <w:rPr>
                                      <w:b/>
                                      <w:bCs/>
                                      <w:color w:val="000000" w:themeColor="text1"/>
                                      <w:kern w:val="24"/>
                                      <w:szCs w:val="24"/>
                                    </w:rPr>
                                  </w:pPr>
                                  <w:r>
                                    <w:rPr>
                                      <w:b/>
                                      <w:bCs/>
                                      <w:color w:val="000000" w:themeColor="text1"/>
                                      <w:kern w:val="24"/>
                                    </w:rPr>
                                    <w:t xml:space="preserve">He Ara Oranga </w:t>
                                  </w:r>
                                </w:p>
                                <w:p w14:paraId="1CC34261" w14:textId="77777777" w:rsidR="003A1E86" w:rsidRDefault="003A1E86" w:rsidP="003A1E86">
                                  <w:pPr>
                                    <w:spacing w:after="0"/>
                                    <w:jc w:val="center"/>
                                    <w:rPr>
                                      <w:b/>
                                      <w:bCs/>
                                      <w:color w:val="000000" w:themeColor="text1"/>
                                      <w:kern w:val="24"/>
                                    </w:rPr>
                                  </w:pPr>
                                  <w:r>
                                    <w:rPr>
                                      <w:b/>
                                      <w:bCs/>
                                      <w:color w:val="000000" w:themeColor="text1"/>
                                      <w:kern w:val="24"/>
                                    </w:rPr>
                                    <w:t>wellbeing outcomes framework</w:t>
                                  </w:r>
                                </w:p>
                              </w:txbxContent>
                            </wps:txbx>
                            <wps:bodyPr wrap="square" rtlCol="0">
                              <a:noAutofit/>
                            </wps:bodyPr>
                          </wps:wsp>
                          <wps:wsp>
                            <wps:cNvPr id="1145595668" name="TextBox 37">
                              <a:extLst>
                                <a:ext uri="{FF2B5EF4-FFF2-40B4-BE49-F238E27FC236}">
                                  <a16:creationId xmlns:a16="http://schemas.microsoft.com/office/drawing/2014/main" id="{C52E3830-F096-1CDD-96C2-BF04ADFD3EA9}"/>
                                </a:ext>
                              </a:extLst>
                            </wps:cNvPr>
                            <wps:cNvSpPr txBox="1"/>
                            <wps:spPr>
                              <a:xfrm>
                                <a:off x="5976219" y="406087"/>
                                <a:ext cx="3560266" cy="1500422"/>
                              </a:xfrm>
                              <a:prstGeom prst="rect">
                                <a:avLst/>
                              </a:prstGeom>
                              <a:noFill/>
                            </wps:spPr>
                            <wps:txbx>
                              <w:txbxContent>
                                <w:p w14:paraId="09D65344" w14:textId="33F97E65" w:rsidR="003A1E86" w:rsidRPr="0076232C" w:rsidRDefault="00B17FAF" w:rsidP="00E71641">
                                  <w:pPr>
                                    <w:rPr>
                                      <w:b/>
                                      <w:bCs/>
                                      <w:color w:val="005E85"/>
                                      <w:kern w:val="24"/>
                                      <w:sz w:val="22"/>
                                    </w:rPr>
                                  </w:pPr>
                                  <w:r>
                                    <w:rPr>
                                      <w:b/>
                                      <w:bCs/>
                                      <w:color w:val="005E85"/>
                                      <w:kern w:val="24"/>
                                      <w:sz w:val="22"/>
                                    </w:rPr>
                                    <w:t>The o</w:t>
                                  </w:r>
                                  <w:r w:rsidR="003A1E86" w:rsidRPr="0076232C">
                                    <w:rPr>
                                      <w:b/>
                                      <w:bCs/>
                                      <w:color w:val="005E85"/>
                                      <w:kern w:val="24"/>
                                      <w:sz w:val="22"/>
                                    </w:rPr>
                                    <w:t>verlap of the two frameworks is the tāngata whaiora outcome measures</w:t>
                                  </w:r>
                                </w:p>
                              </w:txbxContent>
                            </wps:txbx>
                            <wps:bodyPr wrap="square" rtlCol="0">
                              <a:noAutofit/>
                            </wps:bodyPr>
                          </wps:wsp>
                          <wps:wsp>
                            <wps:cNvPr id="1174983455" name="Straight Arrow Connector 1174983455">
                              <a:extLst>
                                <a:ext uri="{FF2B5EF4-FFF2-40B4-BE49-F238E27FC236}">
                                  <a16:creationId xmlns:a16="http://schemas.microsoft.com/office/drawing/2014/main" id="{8A9382A5-2304-E1C5-23C4-B41F6FDFD108}"/>
                                </a:ext>
                              </a:extLst>
                            </wps:cNvPr>
                            <wps:cNvCnPr>
                              <a:cxnSpLocks/>
                            </wps:cNvCnPr>
                            <wps:spPr>
                              <a:xfrm flipH="1">
                                <a:off x="4559208" y="827411"/>
                                <a:ext cx="1417021" cy="922425"/>
                              </a:xfrm>
                              <a:prstGeom prst="straightConnector1">
                                <a:avLst/>
                              </a:prstGeom>
                              <a:noFill/>
                              <a:ln w="57150" cap="flat" cmpd="sng" algn="ctr">
                                <a:solidFill>
                                  <a:srgbClr val="005E85"/>
                                </a:solidFill>
                                <a:prstDash val="solid"/>
                                <a:miter lim="800000"/>
                                <a:tailEnd type="triangle"/>
                              </a:ln>
                              <a:effectLst/>
                            </wps:spPr>
                            <wps:bodyPr/>
                          </wps:wsp>
                        </wpg:grpSp>
                      </wpg:grpSp>
                      <wps:wsp>
                        <wps:cNvPr id="1690318465" name="TextBox 5">
                          <a:extLst>
                            <a:ext uri="{FF2B5EF4-FFF2-40B4-BE49-F238E27FC236}">
                              <a16:creationId xmlns:a16="http://schemas.microsoft.com/office/drawing/2014/main" id="{8340161F-D0E3-9F68-BB6B-6DD0B7DD118C}"/>
                            </a:ext>
                          </a:extLst>
                        </wps:cNvPr>
                        <wps:cNvSpPr txBox="1"/>
                        <wps:spPr>
                          <a:xfrm>
                            <a:off x="2359477" y="557302"/>
                            <a:ext cx="2066743" cy="403225"/>
                          </a:xfrm>
                          <a:prstGeom prst="rect">
                            <a:avLst/>
                          </a:prstGeom>
                          <a:noFill/>
                        </wps:spPr>
                        <wps:txbx>
                          <w:txbxContent>
                            <w:p w14:paraId="7E450AE0" w14:textId="77777777" w:rsidR="003A1E86" w:rsidRDefault="003A1E86" w:rsidP="003A1E86">
                              <w:pPr>
                                <w:jc w:val="center"/>
                                <w:rPr>
                                  <w:rFonts w:ascii="Basic Sans" w:hAnsi="Basic Sans"/>
                                  <w:color w:val="FFFFFF" w:themeColor="background1"/>
                                  <w:kern w:val="24"/>
                                  <w:szCs w:val="24"/>
                                </w:rPr>
                              </w:pPr>
                              <w:r>
                                <w:rPr>
                                  <w:rFonts w:ascii="Basic Sans" w:hAnsi="Basic Sans"/>
                                  <w:color w:val="FFFFFF" w:themeColor="background1"/>
                                  <w:kern w:val="24"/>
                                </w:rPr>
                                <w:t xml:space="preserve">Outcome measures </w:t>
                              </w:r>
                            </w:p>
                          </w:txbxContent>
                        </wps:txbx>
                        <wps:bodyPr wrap="square" rtlCol="0">
                          <a:noAutofit/>
                        </wps:bodyPr>
                      </wps:wsp>
                    </wpg:wgp>
                  </a:graphicData>
                </a:graphic>
              </wp:inline>
            </w:drawing>
          </mc:Choice>
          <mc:Fallback>
            <w:pict>
              <v:group w14:anchorId="7783A293" id="Group 7" o:spid="_x0000_s1026" style="width:463.85pt;height:179.15pt;mso-position-horizontal-relative:char;mso-position-vertical-relative:line" coordorigin="-3810,-830" coordsize="82691,2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">
                <v:group id="Group 1373364274" o:spid="_x0000_s1027" style="position:absolute;left:-3810;top:-830;width:82691;height:25027" coordorigin="-4785,-1044" coordsize="103857,3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">
                  <v:shapetype id="_x0000_t202" coordsize="21600,21600" o:spt="202" path="m,l,21600r21600,l21600,xe">
                    <v:stroke joinstyle="miter"/>
                    <v:path gradientshapeok="t" o:connecttype="rect"/>
                  </v:shapetype>
                  <v:shape id="TextBox 29" o:spid="_x0000_s1028" type="#_x0000_t202" style="position:absolute;left:76151;top:16571;width:22921;height:1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" filled="f" stroked="f">
                    <v:textbox>
                      <w:txbxContent>
                        <w:p w14:paraId="13EC7AEA" w14:textId="77777777" w:rsidR="003A1E86" w:rsidRDefault="003A1E86" w:rsidP="003A1E86">
                          <w:pPr>
                            <w:jc w:val="center"/>
                            <w:rPr>
                              <w:b/>
                              <w:bCs/>
                              <w:color w:val="000000" w:themeColor="text1"/>
                              <w:kern w:val="24"/>
                              <w:szCs w:val="24"/>
                            </w:rPr>
                          </w:pPr>
                          <w:r>
                            <w:rPr>
                              <w:b/>
                              <w:bCs/>
                              <w:color w:val="000000" w:themeColor="text1"/>
                              <w:kern w:val="24"/>
                            </w:rPr>
                            <w:t xml:space="preserve">He Ara </w:t>
                          </w:r>
                          <w:r>
                            <w:rPr>
                              <w:b/>
                              <w:bCs/>
                              <w:color w:val="000000" w:themeColor="text1"/>
                              <w:kern w:val="24"/>
                              <w:lang w:val="mi-NZ"/>
                            </w:rPr>
                            <w:t>Āwhina</w:t>
                          </w:r>
                          <w:r>
                            <w:rPr>
                              <w:b/>
                              <w:bCs/>
                              <w:color w:val="000000" w:themeColor="text1"/>
                              <w:kern w:val="24"/>
                            </w:rPr>
                            <w:t xml:space="preserve"> system monitoring framework</w:t>
                          </w:r>
                        </w:p>
                      </w:txbxContent>
                    </v:textbox>
                  </v:shape>
                  <v:group id="Group 1162205957" o:spid="_x0000_s1029" style="position:absolute;left:-4785;top:-1044;width:100149;height:31487" coordorigin="-4785,-1044" coordsize="100150,3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">
                    <v:rect id="Rectangle 2028256932" o:spid="_x0000_s1030" style="position:absolute;left:29745;top:13249;width:48734;height:17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" fillcolor="#fbc2b1" stroked="f" strokeweight="1pt">
                      <v:fill opacity="32896f"/>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0481524" o:spid="_x0000_s1031" type="#_x0000_t5" style="position:absolute;left:25017;top:5394;width:33264;height:250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" adj="10665" fillcolor="#005e85" stroked="f" strokeweight="1pt"/>
                    <v:shape id="Isosceles Triangle 2026018554" o:spid="_x0000_s1032" type="#_x0000_t5" style="position:absolute;left:31619;top:13460;width:20175;height:1587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" adj="10665" fillcolor="#ee9183" strokecolor="#2f528f" strokeweight="1pt"/>
                    <v:shape id="TextBox 28" o:spid="_x0000_s1033" type="#_x0000_t202" style="position:absolute;left:48396;top:16542;width:27755;height:1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" filled="f" stroked="f">
                      <v:textbox>
                        <w:txbxContent>
                          <w:p w14:paraId="72342E15" w14:textId="77777777" w:rsidR="003A1E86" w:rsidRPr="00213D83" w:rsidRDefault="003A1E86" w:rsidP="003A1E86">
                            <w:pPr>
                              <w:jc w:val="center"/>
                              <w:rPr>
                                <w:color w:val="000000" w:themeColor="text1"/>
                                <w:kern w:val="24"/>
                                <w:sz w:val="20"/>
                                <w:szCs w:val="20"/>
                              </w:rPr>
                            </w:pPr>
                            <w:r w:rsidRPr="00213D83">
                              <w:rPr>
                                <w:color w:val="000000" w:themeColor="text1"/>
                                <w:kern w:val="24"/>
                                <w:sz w:val="20"/>
                                <w:szCs w:val="18"/>
                              </w:rPr>
                              <w:t>Mental health and addiction system process and structure measures</w:t>
                            </w:r>
                          </w:p>
                        </w:txbxContent>
                      </v:textbox>
                    </v:shape>
                    <v:shape id="TextBox 30" o:spid="_x0000_s1034" type="#_x0000_t202" style="position:absolute;left:7367;top:9338;width:22807;height:15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" filled="f" stroked="f">
                      <v:textbox>
                        <w:txbxContent>
                          <w:p w14:paraId="56D8DBFB" w14:textId="77777777" w:rsidR="003A1E86" w:rsidRPr="004203D9" w:rsidRDefault="003A1E86" w:rsidP="003A1E86">
                            <w:pPr>
                              <w:jc w:val="center"/>
                              <w:rPr>
                                <w:color w:val="000000" w:themeColor="text1"/>
                                <w:kern w:val="24"/>
                                <w:sz w:val="20"/>
                                <w:szCs w:val="20"/>
                              </w:rPr>
                            </w:pPr>
                            <w:r w:rsidRPr="004203D9">
                              <w:rPr>
                                <w:color w:val="000000" w:themeColor="text1"/>
                                <w:kern w:val="24"/>
                                <w:sz w:val="20"/>
                                <w:szCs w:val="20"/>
                              </w:rPr>
                              <w:t>Cascading of wellbeing outcomes from population-level to mental health and addiction service level outcomes</w:t>
                            </w:r>
                          </w:p>
                        </w:txbxContent>
                      </v:textbox>
                    </v:shape>
                    <v:shape id="TextBox 33" o:spid="_x0000_s1035" type="#_x0000_t202" style="position:absolute;left:-3912;top:6435;width:19361;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" filled="f" stroked="f">
                      <v:textbox>
                        <w:txbxContent>
                          <w:p w14:paraId="587C0BDE" w14:textId="77777777" w:rsidR="003A1E86" w:rsidRDefault="003A1E86" w:rsidP="003A1E86">
                            <w:pPr>
                              <w:jc w:val="center"/>
                              <w:rPr>
                                <w:b/>
                                <w:bCs/>
                                <w:color w:val="000000" w:themeColor="text1"/>
                                <w:kern w:val="24"/>
                                <w:szCs w:val="24"/>
                              </w:rPr>
                            </w:pPr>
                            <w:r>
                              <w:rPr>
                                <w:b/>
                                <w:bCs/>
                                <w:color w:val="000000" w:themeColor="text1"/>
                                <w:kern w:val="24"/>
                              </w:rPr>
                              <w:t>Population</w:t>
                            </w:r>
                          </w:p>
                        </w:txbxContent>
                      </v:textbox>
                    </v:shape>
                    <v:shape id="TextBox 34" o:spid="_x0000_s1036" type="#_x0000_t202" style="position:absolute;left:-4785;top:22915;width:15296;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" filled="f" stroked="f">
                      <v:textbox>
                        <w:txbxContent>
                          <w:p w14:paraId="29E01BC4" w14:textId="77777777" w:rsidR="003A1E86" w:rsidRDefault="003A1E86" w:rsidP="003A1E86">
                            <w:pPr>
                              <w:jc w:val="center"/>
                              <w:rPr>
                                <w:b/>
                                <w:bCs/>
                                <w:color w:val="000000" w:themeColor="text1"/>
                                <w:kern w:val="24"/>
                                <w:szCs w:val="24"/>
                              </w:rPr>
                            </w:pPr>
                            <w:r>
                              <w:rPr>
                                <w:b/>
                                <w:bCs/>
                                <w:color w:val="000000" w:themeColor="text1"/>
                                <w:kern w:val="24"/>
                              </w:rPr>
                              <w:t>Service</w:t>
                            </w:r>
                          </w:p>
                        </w:txbxContent>
                      </v:textbox>
                    </v:shape>
                    <v:shape id="TextBox 35" o:spid="_x0000_s1037" type="#_x0000_t202" style="position:absolute;left:-4785;top:14665;width:15296;height:5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" filled="f" stroked="f">
                      <v:textbox>
                        <w:txbxContent>
                          <w:p w14:paraId="1595F90F" w14:textId="77777777" w:rsidR="003A1E86" w:rsidRDefault="003A1E86" w:rsidP="003A1E86">
                            <w:pPr>
                              <w:jc w:val="center"/>
                              <w:rPr>
                                <w:b/>
                                <w:bCs/>
                                <w:color w:val="000000" w:themeColor="text1"/>
                                <w:kern w:val="24"/>
                                <w:szCs w:val="24"/>
                              </w:rPr>
                            </w:pPr>
                            <w:r>
                              <w:rPr>
                                <w:b/>
                                <w:bCs/>
                                <w:color w:val="000000" w:themeColor="text1"/>
                                <w:kern w:val="24"/>
                              </w:rPr>
                              <w:t>System</w:t>
                            </w:r>
                          </w:p>
                        </w:txbxContent>
                      </v:textbox>
                    </v:shape>
                    <v:shape id="TextBox 36" o:spid="_x0000_s1038" type="#_x0000_t202" style="position:absolute;left:24165;top:-1044;width:33577;height:7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" filled="f" stroked="f">
                      <v:textbox>
                        <w:txbxContent>
                          <w:p w14:paraId="35807989" w14:textId="77777777" w:rsidR="003A1E86" w:rsidRDefault="003A1E86" w:rsidP="003A1E86">
                            <w:pPr>
                              <w:spacing w:after="0"/>
                              <w:jc w:val="center"/>
                              <w:rPr>
                                <w:b/>
                                <w:bCs/>
                                <w:color w:val="000000" w:themeColor="text1"/>
                                <w:kern w:val="24"/>
                                <w:szCs w:val="24"/>
                              </w:rPr>
                            </w:pPr>
                            <w:r>
                              <w:rPr>
                                <w:b/>
                                <w:bCs/>
                                <w:color w:val="000000" w:themeColor="text1"/>
                                <w:kern w:val="24"/>
                              </w:rPr>
                              <w:t xml:space="preserve">He Ara Oranga </w:t>
                            </w:r>
                          </w:p>
                          <w:p w14:paraId="1CC34261" w14:textId="77777777" w:rsidR="003A1E86" w:rsidRDefault="003A1E86" w:rsidP="003A1E86">
                            <w:pPr>
                              <w:spacing w:after="0"/>
                              <w:jc w:val="center"/>
                              <w:rPr>
                                <w:b/>
                                <w:bCs/>
                                <w:color w:val="000000" w:themeColor="text1"/>
                                <w:kern w:val="24"/>
                              </w:rPr>
                            </w:pPr>
                            <w:r>
                              <w:rPr>
                                <w:b/>
                                <w:bCs/>
                                <w:color w:val="000000" w:themeColor="text1"/>
                                <w:kern w:val="24"/>
                              </w:rPr>
                              <w:t>wellbeing outcomes framework</w:t>
                            </w:r>
                          </w:p>
                        </w:txbxContent>
                      </v:textbox>
                    </v:shape>
                    <v:shape id="TextBox 37" o:spid="_x0000_s1039" type="#_x0000_t202" style="position:absolute;left:59762;top:4060;width:35602;height:1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" filled="f" stroked="f">
                      <v:textbox>
                        <w:txbxContent>
                          <w:p w14:paraId="09D65344" w14:textId="33F97E65" w:rsidR="003A1E86" w:rsidRPr="0076232C" w:rsidRDefault="00B17FAF" w:rsidP="00E71641">
                            <w:pPr>
                              <w:rPr>
                                <w:b/>
                                <w:bCs/>
                                <w:color w:val="005E85"/>
                                <w:kern w:val="24"/>
                                <w:sz w:val="22"/>
                              </w:rPr>
                            </w:pPr>
                            <w:r>
                              <w:rPr>
                                <w:b/>
                                <w:bCs/>
                                <w:color w:val="005E85"/>
                                <w:kern w:val="24"/>
                                <w:sz w:val="22"/>
                              </w:rPr>
                              <w:t>The o</w:t>
                            </w:r>
                            <w:r w:rsidR="003A1E86" w:rsidRPr="0076232C">
                              <w:rPr>
                                <w:b/>
                                <w:bCs/>
                                <w:color w:val="005E85"/>
                                <w:kern w:val="24"/>
                                <w:sz w:val="22"/>
                              </w:rPr>
                              <w:t>verlap of the two frameworks is the tāngata whaiora outcome measures</w:t>
                            </w:r>
                          </w:p>
                        </w:txbxContent>
                      </v:textbox>
                    </v:shape>
                    <v:shapetype id="_x0000_t32" coordsize="21600,21600" o:spt="32" o:oned="t" path="m,l21600,21600e" filled="f">
                      <v:path arrowok="t" fillok="f" o:connecttype="none"/>
                      <o:lock v:ext="edit" shapetype="t"/>
                    </v:shapetype>
                    <v:shape id="Straight Arrow Connector 1174983455" o:spid="_x0000_s1040" type="#_x0000_t32" style="position:absolute;left:45592;top:8274;width:14170;height:92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" strokecolor="#005e85" strokeweight="4.5pt">
                      <v:stroke endarrow="block" joinstyle="miter"/>
                      <o:lock v:ext="edit" shapetype="f"/>
                    </v:shape>
                  </v:group>
                </v:group>
                <v:shape id="TextBox 5" o:spid="_x0000_s1041" type="#_x0000_t202" style="position:absolute;left:23594;top:5573;width:20668;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" filled="f" stroked="f">
                  <v:textbox>
                    <w:txbxContent>
                      <w:p w14:paraId="7E450AE0" w14:textId="77777777" w:rsidR="003A1E86" w:rsidRDefault="003A1E86" w:rsidP="003A1E86">
                        <w:pPr>
                          <w:jc w:val="center"/>
                          <w:rPr>
                            <w:rFonts w:ascii="Basic Sans" w:hAnsi="Basic Sans"/>
                            <w:color w:val="FFFFFF" w:themeColor="background1"/>
                            <w:kern w:val="24"/>
                            <w:szCs w:val="24"/>
                          </w:rPr>
                        </w:pPr>
                        <w:r>
                          <w:rPr>
                            <w:rFonts w:ascii="Basic Sans" w:hAnsi="Basic Sans"/>
                            <w:color w:val="FFFFFF" w:themeColor="background1"/>
                            <w:kern w:val="24"/>
                          </w:rPr>
                          <w:t xml:space="preserve">Outcome measures </w:t>
                        </w:r>
                      </w:p>
                    </w:txbxContent>
                  </v:textbox>
                </v:shape>
                <w10:anchorlock/>
              </v:group>
            </w:pict>
          </mc:Fallback>
        </mc:AlternateContent>
      </w:r>
    </w:p>
    <w:p w14:paraId="1CDC924C" w14:textId="54D0496F" w:rsidR="00AB16E4" w:rsidRDefault="003F3C50" w:rsidP="000A76CE">
      <w:r w:rsidRPr="00917F3E">
        <w:t xml:space="preserve">As the two frameworks have been developed sequentially rather than </w:t>
      </w:r>
      <w:r w:rsidR="004A267F">
        <w:t>simultaneously</w:t>
      </w:r>
      <w:r w:rsidRPr="00917F3E">
        <w:t xml:space="preserve">, it has been important to ensure the two frameworks </w:t>
      </w:r>
      <w:r w:rsidR="004A267F">
        <w:t>have</w:t>
      </w:r>
      <w:r w:rsidRPr="00917F3E">
        <w:t xml:space="preserve"> a ‘line of sight’ between them. Continuity and overlap between the </w:t>
      </w:r>
      <w:r w:rsidR="00951BE4">
        <w:t>e</w:t>
      </w:r>
      <w:r w:rsidRPr="00917F3E">
        <w:t xml:space="preserve">xpert </w:t>
      </w:r>
      <w:r w:rsidR="0006465A">
        <w:t xml:space="preserve">advisory groups </w:t>
      </w:r>
      <w:r w:rsidRPr="00917F3E">
        <w:t xml:space="preserve">and </w:t>
      </w:r>
      <w:r w:rsidR="00951BE4">
        <w:t>t</w:t>
      </w:r>
      <w:r w:rsidRPr="00917F3E">
        <w:t xml:space="preserve">echnical </w:t>
      </w:r>
      <w:r w:rsidR="00951BE4">
        <w:t>a</w:t>
      </w:r>
      <w:r w:rsidRPr="00917F3E">
        <w:t>dvisory groups for the two frameworks has been a</w:t>
      </w:r>
      <w:r w:rsidR="001F056C">
        <w:t xml:space="preserve"> </w:t>
      </w:r>
      <w:r w:rsidRPr="00917F3E">
        <w:t xml:space="preserve">way to ensure consistency </w:t>
      </w:r>
      <w:r w:rsidR="009D58FD">
        <w:t>in the</w:t>
      </w:r>
      <w:r w:rsidR="009956FB">
        <w:t xml:space="preserve"> </w:t>
      </w:r>
      <w:r w:rsidR="009956FB">
        <w:lastRenderedPageBreak/>
        <w:t>strategic and technical advice</w:t>
      </w:r>
      <w:r w:rsidR="006671CA">
        <w:t xml:space="preserve">. </w:t>
      </w:r>
      <w:r w:rsidR="000A76CE">
        <w:t xml:space="preserve">The different roles of these two groups </w:t>
      </w:r>
      <w:r w:rsidR="009D58FD">
        <w:t>are</w:t>
      </w:r>
      <w:r w:rsidR="000A76CE">
        <w:t xml:space="preserve"> outlined later in this report.</w:t>
      </w:r>
    </w:p>
    <w:p w14:paraId="286BD7E8" w14:textId="07B620C7" w:rsidR="00CE4CB6" w:rsidRPr="00CE4CB6" w:rsidRDefault="00CE4CB6" w:rsidP="00CE4CB6">
      <w:pPr>
        <w:pStyle w:val="Heading4"/>
      </w:pPr>
      <w:r w:rsidRPr="00CE4CB6">
        <w:t>Phases of work on He Ara Āwhina</w:t>
      </w:r>
    </w:p>
    <w:p w14:paraId="6228821C" w14:textId="5B1AA654" w:rsidR="00BF3C71" w:rsidRPr="00BF3C71" w:rsidRDefault="00BF3C71" w:rsidP="00BF3C71">
      <w:r w:rsidRPr="00BF3C71">
        <w:rPr>
          <w:lang w:val="mi-NZ"/>
        </w:rPr>
        <w:t xml:space="preserve">Work on He Ara Āwhina began with the </w:t>
      </w:r>
      <w:r w:rsidRPr="00BF3C71">
        <w:t xml:space="preserve">Initial Commission in October 2020. </w:t>
      </w:r>
    </w:p>
    <w:p w14:paraId="47145CB7" w14:textId="77777777" w:rsidR="00BF3C71" w:rsidRPr="00851E7A" w:rsidRDefault="00BF3C71" w:rsidP="00031E23">
      <w:pPr>
        <w:pStyle w:val="Heading5"/>
        <w:rPr>
          <w:rFonts w:ascii="Basic Sans" w:hAnsi="Basic Sans"/>
          <w:color w:val="005E85" w:themeColor="accent4"/>
        </w:rPr>
      </w:pPr>
      <w:r w:rsidRPr="00851E7A">
        <w:rPr>
          <w:rFonts w:ascii="Basic Sans" w:hAnsi="Basic Sans"/>
          <w:color w:val="005E85" w:themeColor="accent4"/>
        </w:rPr>
        <w:t>Co-define phase October 2020 – February 2021</w:t>
      </w:r>
    </w:p>
    <w:p w14:paraId="7335AB93" w14:textId="77777777" w:rsidR="00BF3C71" w:rsidRPr="00BF3C71" w:rsidRDefault="00BF3C71" w:rsidP="00BF3C71">
      <w:pPr>
        <w:rPr>
          <w:lang w:val="mi-NZ"/>
        </w:rPr>
      </w:pPr>
      <w:r w:rsidRPr="00BF3C71">
        <w:rPr>
          <w:lang w:val="mi-NZ"/>
        </w:rPr>
        <w:t>The Initial Commission sought feedback on why we should monitor mental health services and addiction services, what we should include in our monitoring approach, and how we should go about our monitoring work.</w:t>
      </w:r>
    </w:p>
    <w:p w14:paraId="6D041119" w14:textId="77777777" w:rsidR="00BF3C71" w:rsidRPr="00BF3C71" w:rsidRDefault="00BF3C71" w:rsidP="00BF3C71">
      <w:r w:rsidRPr="00BF3C71">
        <w:t>People told us:</w:t>
      </w:r>
    </w:p>
    <w:p w14:paraId="5010DF19" w14:textId="77777777" w:rsidR="00BF3C71" w:rsidRPr="00BF3C71" w:rsidRDefault="00BF3C71" w:rsidP="00C8416D">
      <w:pPr>
        <w:numPr>
          <w:ilvl w:val="0"/>
          <w:numId w:val="6"/>
        </w:numPr>
      </w:pPr>
      <w:r w:rsidRPr="00BF3C71">
        <w:rPr>
          <w:b/>
        </w:rPr>
        <w:t>Support starts and continues with people and communities, not services.</w:t>
      </w:r>
      <w:r w:rsidRPr="00BF3C71">
        <w:rPr>
          <w:rFonts w:ascii="Calibri" w:hAnsi="Calibri" w:cs="Calibri"/>
        </w:rPr>
        <w:t> </w:t>
      </w:r>
      <w:r w:rsidRPr="00BF3C71">
        <w:t>The former Mental Health Commissioner</w:t>
      </w:r>
      <w:r w:rsidRPr="00BF3C71">
        <w:rPr>
          <w:rFonts w:cs="Basic Sans Light"/>
        </w:rPr>
        <w:t>’</w:t>
      </w:r>
      <w:r w:rsidRPr="00BF3C71">
        <w:t>s framework was viewed as being too narrow but was something that could be refined and built upon.</w:t>
      </w:r>
    </w:p>
    <w:p w14:paraId="324B9507" w14:textId="77777777" w:rsidR="00BF3C71" w:rsidRPr="00BF3C71" w:rsidRDefault="00BF3C71" w:rsidP="00C8416D">
      <w:pPr>
        <w:numPr>
          <w:ilvl w:val="0"/>
          <w:numId w:val="6"/>
        </w:numPr>
      </w:pPr>
      <w:r w:rsidRPr="00BF3C71">
        <w:rPr>
          <w:b/>
          <w:bCs/>
          <w:iCs/>
        </w:rPr>
        <w:t>The voices of Māori and tāngata whaiora are crucial</w:t>
      </w:r>
      <w:r w:rsidRPr="00BF3C71">
        <w:rPr>
          <w:rFonts w:ascii="Calibri" w:hAnsi="Calibri" w:cs="Calibri"/>
          <w:b/>
          <w:iCs/>
        </w:rPr>
        <w:t> </w:t>
      </w:r>
      <w:r w:rsidRPr="00BF3C71">
        <w:t>in assessing whether services, and approaches to wellbeing, are meeting the needs of people and communities.</w:t>
      </w:r>
    </w:p>
    <w:p w14:paraId="18A10A4F" w14:textId="77777777" w:rsidR="00BF3C71" w:rsidRPr="00BF3C71" w:rsidRDefault="00BF3C71" w:rsidP="00C8416D">
      <w:pPr>
        <w:numPr>
          <w:ilvl w:val="0"/>
          <w:numId w:val="6"/>
        </w:numPr>
      </w:pPr>
      <w:r w:rsidRPr="00BF3C71">
        <w:rPr>
          <w:b/>
          <w:bCs/>
        </w:rPr>
        <w:t>There needs to be a shared view of what ‘good’ or transformative services and supports look like</w:t>
      </w:r>
      <w:r w:rsidRPr="00BF3C71">
        <w:rPr>
          <w:rFonts w:ascii="Calibri" w:hAnsi="Calibri" w:cs="Calibri"/>
        </w:rPr>
        <w:t> </w:t>
      </w:r>
      <w:r w:rsidRPr="00BF3C71">
        <w:t>so we can monitor and assess performance and contribute to wellbeing outcomes.</w:t>
      </w:r>
    </w:p>
    <w:p w14:paraId="7515273A" w14:textId="77777777" w:rsidR="00BF3C71" w:rsidRPr="00851E7A" w:rsidRDefault="00BF3C71" w:rsidP="00031E23">
      <w:pPr>
        <w:pStyle w:val="Heading5"/>
        <w:rPr>
          <w:rFonts w:ascii="Basic Sans" w:hAnsi="Basic Sans"/>
          <w:color w:val="005E85" w:themeColor="accent4"/>
        </w:rPr>
      </w:pPr>
      <w:r w:rsidRPr="00851E7A">
        <w:rPr>
          <w:rFonts w:ascii="Basic Sans" w:hAnsi="Basic Sans"/>
          <w:color w:val="005E85" w:themeColor="accent4"/>
        </w:rPr>
        <w:t>Co-development phase March 2021 to June 2022</w:t>
      </w:r>
    </w:p>
    <w:p w14:paraId="4D7D286C" w14:textId="0494F6AF" w:rsidR="00BF3C71" w:rsidRPr="00BF3C71" w:rsidRDefault="00BF3C71" w:rsidP="00470F1B">
      <w:pPr>
        <w:rPr>
          <w:lang w:val="mi-NZ"/>
        </w:rPr>
      </w:pPr>
      <w:r w:rsidRPr="00BF3C71">
        <w:rPr>
          <w:lang w:val="mi-NZ"/>
        </w:rPr>
        <w:t xml:space="preserve">An </w:t>
      </w:r>
      <w:r w:rsidR="00657928">
        <w:rPr>
          <w:lang w:val="mi-NZ"/>
        </w:rPr>
        <w:t>expert advisory group (</w:t>
      </w:r>
      <w:r w:rsidRPr="00BF3C71">
        <w:rPr>
          <w:lang w:val="mi-NZ"/>
        </w:rPr>
        <w:t>EAG</w:t>
      </w:r>
      <w:r w:rsidR="00657928">
        <w:rPr>
          <w:lang w:val="mi-NZ"/>
        </w:rPr>
        <w:t>)</w:t>
      </w:r>
      <w:r w:rsidRPr="00BF3C71">
        <w:rPr>
          <w:lang w:val="mi-NZ"/>
        </w:rPr>
        <w:t xml:space="preserve"> was established for He Ara Āwhina</w:t>
      </w:r>
      <w:r w:rsidR="00D73448">
        <w:rPr>
          <w:lang w:val="mi-NZ"/>
        </w:rPr>
        <w:t xml:space="preserve"> (including some members from the He Ara Oranga EAG)</w:t>
      </w:r>
      <w:r w:rsidRPr="00BF3C71">
        <w:rPr>
          <w:lang w:val="mi-NZ"/>
        </w:rPr>
        <w:t xml:space="preserve"> and began its </w:t>
      </w:r>
      <w:r w:rsidR="00385796">
        <w:rPr>
          <w:lang w:val="mi-NZ"/>
        </w:rPr>
        <w:t>work</w:t>
      </w:r>
      <w:r w:rsidRPr="00BF3C71">
        <w:rPr>
          <w:lang w:val="mi-NZ"/>
        </w:rPr>
        <w:t xml:space="preserve"> in September 2021, sharing expertise and perspectives to develop the framework.</w:t>
      </w:r>
      <w:r w:rsidR="000633B4">
        <w:rPr>
          <w:lang w:val="mi-NZ"/>
        </w:rPr>
        <w:t xml:space="preserve"> </w:t>
      </w:r>
      <w:r w:rsidRPr="00BF3C71">
        <w:rPr>
          <w:lang w:val="mi-NZ"/>
        </w:rPr>
        <w:t>The EAG include</w:t>
      </w:r>
      <w:r w:rsidR="00AE178E">
        <w:rPr>
          <w:lang w:val="mi-NZ"/>
        </w:rPr>
        <w:t>d</w:t>
      </w:r>
      <w:r w:rsidRPr="00BF3C71">
        <w:rPr>
          <w:lang w:val="mi-NZ"/>
        </w:rPr>
        <w:t xml:space="preserve"> a Māori EAG roopū which ha</w:t>
      </w:r>
      <w:r w:rsidR="00AE178E">
        <w:rPr>
          <w:lang w:val="mi-NZ"/>
        </w:rPr>
        <w:t>s</w:t>
      </w:r>
      <w:r w:rsidRPr="00BF3C71">
        <w:rPr>
          <w:lang w:val="mi-NZ"/>
        </w:rPr>
        <w:t xml:space="preserve"> supported the development of </w:t>
      </w:r>
      <w:r w:rsidR="00D71ED7">
        <w:rPr>
          <w:lang w:val="mi-NZ"/>
        </w:rPr>
        <w:t>Te Ao M</w:t>
      </w:r>
      <w:r w:rsidRPr="00BF3C71">
        <w:rPr>
          <w:lang w:val="mi-NZ"/>
        </w:rPr>
        <w:t>āori perspective for He Ara Āwhina.</w:t>
      </w:r>
    </w:p>
    <w:p w14:paraId="55849318" w14:textId="14C7B7EF" w:rsidR="00BF3C71" w:rsidRPr="00BF3C71" w:rsidRDefault="00BF3C71" w:rsidP="000633B4">
      <w:pPr>
        <w:rPr>
          <w:lang w:val="mi-NZ"/>
        </w:rPr>
      </w:pPr>
      <w:r w:rsidRPr="00BF3C71">
        <w:rPr>
          <w:lang w:val="mi-NZ"/>
        </w:rPr>
        <w:t>Advice from the EAG, lived experience focus groups (from Māori, youth, mental health, addiction, and gambling harm perspectives), targeted discussions, and helped us develop the draft version of He Ara Āwhina.</w:t>
      </w:r>
    </w:p>
    <w:p w14:paraId="5A0BF415" w14:textId="4CE7FFE6" w:rsidR="00BF3C71" w:rsidRPr="00BF3C71" w:rsidRDefault="00BF3C71" w:rsidP="000633B4">
      <w:pPr>
        <w:rPr>
          <w:lang w:val="mi-NZ"/>
        </w:rPr>
      </w:pPr>
      <w:r w:rsidRPr="00BF3C71">
        <w:rPr>
          <w:lang w:val="mi-NZ"/>
        </w:rPr>
        <w:t>The draft version of He Ara Āwhina went out for public consultation for six weeks from 8 March to 19 April 2022. We supported many ways for people to share feedback to ensure the framework and consultation process was accessible to everyone, especially our priority population groups.</w:t>
      </w:r>
    </w:p>
    <w:p w14:paraId="62D05E72" w14:textId="030FEB69" w:rsidR="00BF3C71" w:rsidRPr="00BF3C71" w:rsidRDefault="00BF3C71" w:rsidP="00947C22">
      <w:pPr>
        <w:rPr>
          <w:lang w:val="mi-NZ"/>
        </w:rPr>
      </w:pPr>
      <w:r w:rsidRPr="00BF3C71">
        <w:rPr>
          <w:lang w:val="mi-NZ"/>
        </w:rPr>
        <w:t>During our public consultation process</w:t>
      </w:r>
      <w:r w:rsidR="002A4A4B">
        <w:rPr>
          <w:lang w:val="mi-NZ"/>
        </w:rPr>
        <w:t>,</w:t>
      </w:r>
      <w:r w:rsidRPr="00BF3C71">
        <w:rPr>
          <w:lang w:val="mi-NZ"/>
        </w:rPr>
        <w:t xml:space="preserve"> more than 260 submissions </w:t>
      </w:r>
      <w:r w:rsidR="002A4A4B">
        <w:rPr>
          <w:lang w:val="mi-NZ"/>
        </w:rPr>
        <w:t xml:space="preserve">were received </w:t>
      </w:r>
      <w:r w:rsidRPr="00BF3C71">
        <w:rPr>
          <w:lang w:val="mi-NZ"/>
        </w:rPr>
        <w:t>across all priority population groups. Overall, people told us that He Ara Āwhina resonate</w:t>
      </w:r>
      <w:r w:rsidR="00C60BB5">
        <w:rPr>
          <w:lang w:val="mi-NZ"/>
        </w:rPr>
        <w:t>d</w:t>
      </w:r>
      <w:r w:rsidRPr="00BF3C71">
        <w:rPr>
          <w:lang w:val="mi-NZ"/>
        </w:rPr>
        <w:t xml:space="preserve"> with them and they like</w:t>
      </w:r>
      <w:r w:rsidR="00C60BB5">
        <w:rPr>
          <w:lang w:val="mi-NZ"/>
        </w:rPr>
        <w:t>d</w:t>
      </w:r>
      <w:r w:rsidRPr="00BF3C71">
        <w:rPr>
          <w:lang w:val="mi-NZ"/>
        </w:rPr>
        <w:t xml:space="preserve"> the first-person narrative, structure, and concepts. The feedback guided us to strengthen and clarify content that </w:t>
      </w:r>
      <w:r w:rsidR="00C60BB5">
        <w:rPr>
          <w:lang w:val="mi-NZ"/>
        </w:rPr>
        <w:t>was</w:t>
      </w:r>
      <w:r w:rsidRPr="00BF3C71">
        <w:rPr>
          <w:lang w:val="mi-NZ"/>
        </w:rPr>
        <w:t xml:space="preserve"> important to people.</w:t>
      </w:r>
    </w:p>
    <w:p w14:paraId="6EC41B2B" w14:textId="04EB6824" w:rsidR="00BF3C71" w:rsidRPr="00BF3C71" w:rsidRDefault="00BF3C71" w:rsidP="00947C22">
      <w:pPr>
        <w:rPr>
          <w:lang w:val="mi-NZ"/>
        </w:rPr>
      </w:pPr>
      <w:r w:rsidRPr="00BF3C71">
        <w:rPr>
          <w:lang w:val="mi-NZ"/>
        </w:rPr>
        <w:lastRenderedPageBreak/>
        <w:t xml:space="preserve">Through a dedicated Māori engagement team, we gathered </w:t>
      </w:r>
      <w:r w:rsidR="00AF31E0">
        <w:rPr>
          <w:lang w:val="mi-NZ"/>
        </w:rPr>
        <w:t>vital</w:t>
      </w:r>
      <w:r w:rsidRPr="00BF3C71">
        <w:rPr>
          <w:lang w:val="mi-NZ"/>
        </w:rPr>
        <w:t xml:space="preserve"> input </w:t>
      </w:r>
      <w:r w:rsidR="00FB705E">
        <w:rPr>
          <w:lang w:val="mi-NZ"/>
        </w:rPr>
        <w:t>from</w:t>
      </w:r>
      <w:r w:rsidRPr="00BF3C71">
        <w:rPr>
          <w:lang w:val="mi-NZ"/>
        </w:rPr>
        <w:t xml:space="preserve"> Māori, including tāngata whaiora, whānau, and </w:t>
      </w:r>
      <w:r w:rsidR="00C60BB5">
        <w:rPr>
          <w:lang w:val="mi-NZ"/>
        </w:rPr>
        <w:t>k</w:t>
      </w:r>
      <w:r w:rsidRPr="00BF3C71">
        <w:rPr>
          <w:lang w:val="mi-NZ"/>
        </w:rPr>
        <w:t>aupapa Māori supports and services. This feedback has support</w:t>
      </w:r>
      <w:r w:rsidR="00DE08A0">
        <w:rPr>
          <w:lang w:val="mi-NZ"/>
        </w:rPr>
        <w:t>ed</w:t>
      </w:r>
      <w:r w:rsidRPr="00BF3C71">
        <w:rPr>
          <w:lang w:val="mi-NZ"/>
        </w:rPr>
        <w:t xml:space="preserve"> He Ara Āwhina and identified concepts </w:t>
      </w:r>
      <w:r w:rsidR="00D7144D">
        <w:rPr>
          <w:lang w:val="mi-NZ"/>
        </w:rPr>
        <w:t>to</w:t>
      </w:r>
      <w:r w:rsidRPr="00BF3C71">
        <w:rPr>
          <w:lang w:val="mi-NZ"/>
        </w:rPr>
        <w:t xml:space="preserve"> be strengthened or included across both perspectives.</w:t>
      </w:r>
    </w:p>
    <w:p w14:paraId="74534611" w14:textId="355DE02A" w:rsidR="00BF3C71" w:rsidRPr="00BF3C71" w:rsidRDefault="00BF3C71" w:rsidP="00947C22">
      <w:pPr>
        <w:rPr>
          <w:lang w:val="mi-NZ"/>
        </w:rPr>
      </w:pPr>
      <w:r w:rsidRPr="00BF3C71">
        <w:rPr>
          <w:lang w:val="mi-NZ"/>
        </w:rPr>
        <w:t xml:space="preserve">What people told us, and the changes made in response, </w:t>
      </w:r>
      <w:r w:rsidR="00947C22">
        <w:rPr>
          <w:lang w:val="mi-NZ"/>
        </w:rPr>
        <w:t>are</w:t>
      </w:r>
      <w:r w:rsidRPr="00BF3C71">
        <w:rPr>
          <w:lang w:val="mi-NZ"/>
        </w:rPr>
        <w:t xml:space="preserve"> summarised in </w:t>
      </w:r>
      <w:r w:rsidR="00C60BB5">
        <w:rPr>
          <w:lang w:val="mi-NZ"/>
        </w:rPr>
        <w:t xml:space="preserve">our </w:t>
      </w:r>
      <w:hyperlink r:id="rId29" w:history="1">
        <w:r w:rsidR="00252D5E" w:rsidRPr="004A2D78">
          <w:rPr>
            <w:rStyle w:val="Hyperlink"/>
            <w:u w:val="none"/>
            <w:lang w:val="mi-NZ"/>
          </w:rPr>
          <w:t>consultation</w:t>
        </w:r>
        <w:r w:rsidRPr="004A2D78">
          <w:rPr>
            <w:rStyle w:val="Hyperlink"/>
            <w:u w:val="none"/>
            <w:lang w:val="mi-NZ"/>
          </w:rPr>
          <w:t xml:space="preserve"> documents</w:t>
        </w:r>
      </w:hyperlink>
      <w:r w:rsidR="00572DCA">
        <w:rPr>
          <w:lang w:val="mi-NZ"/>
        </w:rPr>
        <w:t>.</w:t>
      </w:r>
    </w:p>
    <w:p w14:paraId="39B3E759" w14:textId="77777777" w:rsidR="00BF3C71" w:rsidRPr="00BF3C71" w:rsidRDefault="00BF3C71" w:rsidP="00572DCA">
      <w:pPr>
        <w:rPr>
          <w:lang w:val="mi-NZ"/>
        </w:rPr>
      </w:pPr>
      <w:r w:rsidRPr="00BF3C71">
        <w:rPr>
          <w:lang w:val="mi-NZ"/>
        </w:rPr>
        <w:t>The final version of He Ara Āwhina was published 30 June 2022.</w:t>
      </w:r>
    </w:p>
    <w:p w14:paraId="4D8D8965" w14:textId="372D9985" w:rsidR="00584036" w:rsidRDefault="00BF3C71" w:rsidP="00584036">
      <w:pPr>
        <w:rPr>
          <w:lang w:val="mi-NZ"/>
        </w:rPr>
      </w:pPr>
      <w:r w:rsidRPr="00BF3C71">
        <w:rPr>
          <w:lang w:val="mi-NZ"/>
        </w:rPr>
        <w:t xml:space="preserve">Te Hiringa Mahara released </w:t>
      </w:r>
      <w:hyperlink r:id="rId30">
        <w:r w:rsidRPr="004A2D78">
          <w:rPr>
            <w:rStyle w:val="Hyperlink"/>
            <w:u w:val="none"/>
            <w:lang w:val="mi-NZ"/>
          </w:rPr>
          <w:t xml:space="preserve">Te Huringa: Change and Transformation. Mental Health Service and Addiction Service Monitoring Report 2022 </w:t>
        </w:r>
      </w:hyperlink>
      <w:r w:rsidRPr="00BF3C71">
        <w:rPr>
          <w:lang w:val="mi-NZ"/>
        </w:rPr>
        <w:t>in March 2022. Te Huringa was a transitional monitoring report that used an adapted version of the former Mental Health Commissioner’s framework, while we developed He Ara Āwhina as our framework for monitoring from March 2023.</w:t>
      </w:r>
    </w:p>
    <w:p w14:paraId="113FDCB4" w14:textId="276D0DFF" w:rsidR="00FF28DF" w:rsidRDefault="00493F12" w:rsidP="00FF28DF">
      <w:pPr>
        <w:rPr>
          <w:lang w:val="mi-NZ"/>
        </w:rPr>
      </w:pPr>
      <w:r w:rsidRPr="00493F12">
        <w:rPr>
          <w:lang w:val="en-US"/>
        </w:rPr>
        <w:t xml:space="preserve">Following the </w:t>
      </w:r>
      <w:r>
        <w:rPr>
          <w:lang w:val="en-US"/>
        </w:rPr>
        <w:t>publication of He Ara Āwhina</w:t>
      </w:r>
      <w:r w:rsidRPr="00493F12">
        <w:rPr>
          <w:lang w:val="en-US"/>
        </w:rPr>
        <w:t xml:space="preserve">, a project was set up to identify a suite of </w:t>
      </w:r>
      <w:r w:rsidR="00E142A0" w:rsidRPr="00E142A0">
        <w:rPr>
          <w:lang w:val="mi-NZ"/>
        </w:rPr>
        <w:t xml:space="preserve">methods and measures </w:t>
      </w:r>
      <w:r w:rsidR="009E2596">
        <w:rPr>
          <w:lang w:val="mi-NZ"/>
        </w:rPr>
        <w:t xml:space="preserve">that </w:t>
      </w:r>
      <w:r w:rsidR="00E142A0" w:rsidRPr="00E142A0">
        <w:rPr>
          <w:lang w:val="mi-NZ"/>
        </w:rPr>
        <w:t xml:space="preserve">will over time replace those used in Te Huringa. Some of the data needed to monitor under He Ara Āwhina will be available for monitoring from March 2023. </w:t>
      </w:r>
    </w:p>
    <w:p w14:paraId="2DBAE26D" w14:textId="535E00DF" w:rsidR="00493F12" w:rsidRPr="002C7FC4" w:rsidRDefault="00493F12" w:rsidP="00FF28DF">
      <w:r w:rsidRPr="002C7FC4">
        <w:rPr>
          <w:lang w:val="en-US"/>
        </w:rPr>
        <w:t xml:space="preserve">The </w:t>
      </w:r>
      <w:r w:rsidR="00BA735E" w:rsidRPr="002C7FC4">
        <w:rPr>
          <w:lang w:val="en-US"/>
        </w:rPr>
        <w:t>suite of methods and measures</w:t>
      </w:r>
      <w:r w:rsidRPr="002C7FC4">
        <w:rPr>
          <w:lang w:val="en-US"/>
        </w:rPr>
        <w:t xml:space="preserve"> </w:t>
      </w:r>
      <w:r w:rsidR="00FF28DF" w:rsidRPr="002C7FC4">
        <w:rPr>
          <w:lang w:val="en-US"/>
        </w:rPr>
        <w:t xml:space="preserve">for 2023 monitoring </w:t>
      </w:r>
      <w:r w:rsidRPr="002C7FC4">
        <w:rPr>
          <w:lang w:val="en-US"/>
        </w:rPr>
        <w:t>is the subject matter of this report.</w:t>
      </w:r>
    </w:p>
    <w:p w14:paraId="61B8A313" w14:textId="77777777" w:rsidR="001C0A2A" w:rsidRDefault="001C0A2A">
      <w:pPr>
        <w:spacing w:line="259" w:lineRule="auto"/>
        <w:rPr>
          <w:rFonts w:ascii="Basic Sans" w:eastAsiaTheme="majorEastAsia" w:hAnsi="Basic Sans" w:cstheme="majorBidi"/>
          <w:color w:val="005E85"/>
          <w:sz w:val="56"/>
          <w:szCs w:val="56"/>
        </w:rPr>
      </w:pPr>
      <w:r>
        <w:rPr>
          <w:sz w:val="56"/>
          <w:szCs w:val="56"/>
        </w:rPr>
        <w:br w:type="page"/>
      </w:r>
    </w:p>
    <w:p w14:paraId="4F72BBAE" w14:textId="2E2522E6" w:rsidR="00A234FF" w:rsidRPr="00E319D2" w:rsidRDefault="008F7F3E" w:rsidP="00A234FF">
      <w:pPr>
        <w:pStyle w:val="Heading1"/>
        <w:rPr>
          <w:sz w:val="56"/>
          <w:szCs w:val="56"/>
        </w:rPr>
      </w:pPr>
      <w:bookmarkStart w:id="4" w:name="_Toc135392318"/>
      <w:r>
        <w:rPr>
          <w:sz w:val="56"/>
          <w:szCs w:val="56"/>
        </w:rPr>
        <w:lastRenderedPageBreak/>
        <w:t>Methods and measures development</w:t>
      </w:r>
      <w:bookmarkEnd w:id="4"/>
    </w:p>
    <w:p w14:paraId="3B7DFB21" w14:textId="4F73A032" w:rsidR="008F7F3E" w:rsidRDefault="008E2809" w:rsidP="00A234FF">
      <w:pPr>
        <w:pStyle w:val="Heading2"/>
      </w:pPr>
      <w:r>
        <w:t>Scope</w:t>
      </w:r>
      <w:r w:rsidR="00D04AC2">
        <w:t xml:space="preserve"> and phasing</w:t>
      </w:r>
    </w:p>
    <w:p w14:paraId="713130A9" w14:textId="12CAC417" w:rsidR="0022229F" w:rsidRPr="00740C2D" w:rsidRDefault="0022229F" w:rsidP="00FA7CA8">
      <w:pPr>
        <w:pStyle w:val="Numberedparagraphs"/>
        <w:spacing w:before="60"/>
        <w:ind w:left="0" w:firstLine="0"/>
      </w:pPr>
      <w:r w:rsidRPr="12EB2CE1">
        <w:rPr>
          <w:rFonts w:ascii="Basic Sans Light" w:eastAsia="Times New Roman" w:hAnsi="Basic Sans Light" w:cs="Arial"/>
          <w:color w:val="000000" w:themeColor="text1"/>
          <w:lang w:eastAsia="en-NZ"/>
        </w:rPr>
        <w:t xml:space="preserve">The He Ara Āwhina system monitoring framework has a broad scope covering services and the wider system, including services funded outside of </w:t>
      </w:r>
      <w:r w:rsidR="761DF3EA" w:rsidRPr="12EB2CE1">
        <w:rPr>
          <w:rFonts w:ascii="Basic Sans Light" w:eastAsia="Times New Roman" w:hAnsi="Basic Sans Light" w:cs="Arial"/>
          <w:color w:val="000000" w:themeColor="text1"/>
          <w:lang w:eastAsia="en-NZ"/>
        </w:rPr>
        <w:t>Vote</w:t>
      </w:r>
      <w:r w:rsidRPr="12EB2CE1">
        <w:rPr>
          <w:rFonts w:ascii="Basic Sans Light" w:eastAsia="Times New Roman" w:hAnsi="Basic Sans Light" w:cs="Arial"/>
          <w:color w:val="000000" w:themeColor="text1"/>
          <w:lang w:eastAsia="en-NZ"/>
        </w:rPr>
        <w:t xml:space="preserve"> Health.</w:t>
      </w:r>
    </w:p>
    <w:p w14:paraId="0724BE0E" w14:textId="715404A1" w:rsidR="0022229F" w:rsidRPr="00426CDF" w:rsidRDefault="0022229F" w:rsidP="00207463">
      <w:pPr>
        <w:pStyle w:val="Numberedparagraphs"/>
        <w:spacing w:before="60"/>
        <w:ind w:left="0" w:firstLine="0"/>
        <w:rPr>
          <w:rFonts w:ascii="Basic Sans Light" w:eastAsia="Times New Roman" w:hAnsi="Basic Sans Light" w:cs="Arial"/>
          <w:color w:val="000000" w:themeColor="text1"/>
          <w:szCs w:val="24"/>
          <w:lang w:eastAsia="en-NZ"/>
        </w:rPr>
      </w:pPr>
      <w:r w:rsidRPr="00426CDF">
        <w:rPr>
          <w:rFonts w:ascii="Basic Sans Light" w:eastAsia="Times New Roman" w:hAnsi="Basic Sans Light" w:cs="Arial"/>
          <w:color w:val="000000" w:themeColor="text1"/>
          <w:szCs w:val="24"/>
          <w:lang w:eastAsia="en-NZ"/>
        </w:rPr>
        <w:t>The approach to the development of</w:t>
      </w:r>
      <w:r>
        <w:rPr>
          <w:rFonts w:ascii="Basic Sans Light" w:eastAsia="Times New Roman" w:hAnsi="Basic Sans Light" w:cs="Arial"/>
          <w:color w:val="000000" w:themeColor="text1"/>
          <w:szCs w:val="24"/>
          <w:lang w:eastAsia="en-NZ"/>
        </w:rPr>
        <w:t xml:space="preserve"> both of</w:t>
      </w:r>
      <w:r w:rsidRPr="00426CDF">
        <w:rPr>
          <w:rFonts w:ascii="Basic Sans Light" w:eastAsia="Times New Roman" w:hAnsi="Basic Sans Light" w:cs="Arial"/>
          <w:color w:val="000000" w:themeColor="text1"/>
          <w:szCs w:val="24"/>
          <w:lang w:eastAsia="en-NZ"/>
        </w:rPr>
        <w:t xml:space="preserve"> our monitoring frameworks has been from ‘ends’ to ‘means’ rather than ‘means’ to ‘ends’</w:t>
      </w:r>
      <w:r w:rsidR="00310477">
        <w:rPr>
          <w:rFonts w:ascii="Basic Sans Light" w:eastAsia="Times New Roman" w:hAnsi="Basic Sans Light" w:cs="Arial"/>
          <w:color w:val="000000" w:themeColor="text1"/>
          <w:szCs w:val="24"/>
          <w:lang w:eastAsia="en-NZ"/>
        </w:rPr>
        <w:t>.</w:t>
      </w:r>
      <w:r w:rsidRPr="00426CDF">
        <w:rPr>
          <w:rFonts w:ascii="Basic Sans Light" w:eastAsia="Times New Roman" w:hAnsi="Basic Sans Light" w:cs="Arial"/>
          <w:color w:val="000000" w:themeColor="text1"/>
          <w:szCs w:val="24"/>
          <w:lang w:eastAsia="en-NZ"/>
        </w:rPr>
        <w:t xml:space="preserve"> This means that the system aspirations people have described drive the long-term goals for monitoring, rather than currently available information.</w:t>
      </w:r>
    </w:p>
    <w:p w14:paraId="279BDFE7" w14:textId="0290E182" w:rsidR="0022229F" w:rsidRPr="00426CDF" w:rsidRDefault="0022229F" w:rsidP="00207463">
      <w:pPr>
        <w:pStyle w:val="Numberedparagraphs"/>
        <w:spacing w:before="60"/>
        <w:ind w:left="0" w:firstLine="0"/>
        <w:rPr>
          <w:rFonts w:ascii="Basic Sans Light" w:eastAsia="Times New Roman" w:hAnsi="Basic Sans Light" w:cs="Arial"/>
          <w:color w:val="000000" w:themeColor="text1"/>
          <w:szCs w:val="24"/>
          <w:lang w:eastAsia="en-NZ"/>
        </w:rPr>
      </w:pPr>
      <w:r w:rsidRPr="00426CDF">
        <w:rPr>
          <w:rFonts w:ascii="Basic Sans Light" w:eastAsia="Times New Roman" w:hAnsi="Basic Sans Light" w:cs="Arial"/>
          <w:color w:val="000000" w:themeColor="text1"/>
          <w:szCs w:val="24"/>
          <w:lang w:eastAsia="en-NZ"/>
        </w:rPr>
        <w:t>However, this means that only some of the data</w:t>
      </w:r>
      <w:r w:rsidRPr="00245832">
        <w:rPr>
          <w:rFonts w:ascii="Basic Sans Light" w:eastAsia="Times New Roman" w:hAnsi="Basic Sans Light" w:cs="Arial"/>
          <w:color w:val="000000" w:themeColor="text1"/>
          <w:szCs w:val="24"/>
          <w:vertAlign w:val="superscript"/>
          <w:lang w:eastAsia="en-NZ"/>
        </w:rPr>
        <w:footnoteReference w:id="3"/>
      </w:r>
      <w:r w:rsidRPr="00426CDF">
        <w:rPr>
          <w:rFonts w:ascii="Basic Sans Light" w:eastAsia="Times New Roman" w:hAnsi="Basic Sans Light" w:cs="Arial"/>
          <w:color w:val="000000" w:themeColor="text1"/>
          <w:szCs w:val="24"/>
          <w:lang w:eastAsia="en-NZ"/>
        </w:rPr>
        <w:t xml:space="preserve"> needed </w:t>
      </w:r>
      <w:r w:rsidR="00403D1F">
        <w:rPr>
          <w:rFonts w:ascii="Basic Sans Light" w:eastAsia="Times New Roman" w:hAnsi="Basic Sans Light" w:cs="Arial"/>
          <w:color w:val="000000" w:themeColor="text1"/>
          <w:szCs w:val="24"/>
          <w:lang w:eastAsia="en-NZ"/>
        </w:rPr>
        <w:t>are</w:t>
      </w:r>
      <w:r w:rsidRPr="00426CDF">
        <w:rPr>
          <w:rFonts w:ascii="Basic Sans Light" w:eastAsia="Times New Roman" w:hAnsi="Basic Sans Light" w:cs="Arial"/>
          <w:color w:val="000000" w:themeColor="text1"/>
          <w:szCs w:val="24"/>
          <w:lang w:eastAsia="en-NZ"/>
        </w:rPr>
        <w:t xml:space="preserve"> available for </w:t>
      </w:r>
      <w:r w:rsidR="00022B3E">
        <w:rPr>
          <w:rFonts w:ascii="Basic Sans Light" w:eastAsia="Times New Roman" w:hAnsi="Basic Sans Light" w:cs="Arial"/>
          <w:color w:val="000000" w:themeColor="text1"/>
          <w:szCs w:val="24"/>
          <w:lang w:eastAsia="en-NZ"/>
        </w:rPr>
        <w:t>our</w:t>
      </w:r>
      <w:r w:rsidRPr="00426CDF">
        <w:rPr>
          <w:rFonts w:ascii="Basic Sans Light" w:eastAsia="Times New Roman" w:hAnsi="Basic Sans Light" w:cs="Arial"/>
          <w:color w:val="000000" w:themeColor="text1"/>
          <w:szCs w:val="24"/>
          <w:lang w:eastAsia="en-NZ"/>
        </w:rPr>
        <w:t xml:space="preserve"> monitoring from March 2023. Other methods and measures need a longer timeframe for development as the data is not </w:t>
      </w:r>
      <w:r w:rsidR="00C15A05">
        <w:rPr>
          <w:rFonts w:ascii="Basic Sans Light" w:eastAsia="Times New Roman" w:hAnsi="Basic Sans Light" w:cs="Arial"/>
          <w:color w:val="000000" w:themeColor="text1"/>
          <w:szCs w:val="24"/>
          <w:lang w:eastAsia="en-NZ"/>
        </w:rPr>
        <w:t>readily</w:t>
      </w:r>
      <w:r w:rsidRPr="00426CDF">
        <w:rPr>
          <w:rFonts w:ascii="Basic Sans Light" w:eastAsia="Times New Roman" w:hAnsi="Basic Sans Light" w:cs="Arial"/>
          <w:color w:val="000000" w:themeColor="text1"/>
          <w:szCs w:val="24"/>
          <w:lang w:eastAsia="en-NZ"/>
        </w:rPr>
        <w:t xml:space="preserve"> available nationally</w:t>
      </w:r>
      <w:r w:rsidR="00657928">
        <w:rPr>
          <w:rFonts w:ascii="Basic Sans Light" w:eastAsia="Times New Roman" w:hAnsi="Basic Sans Light" w:cs="Arial"/>
          <w:color w:val="000000" w:themeColor="text1"/>
          <w:szCs w:val="24"/>
          <w:lang w:eastAsia="en-NZ"/>
        </w:rPr>
        <w:t xml:space="preserve">, </w:t>
      </w:r>
      <w:r w:rsidR="00022B3E">
        <w:rPr>
          <w:rFonts w:ascii="Basic Sans Light" w:eastAsia="Times New Roman" w:hAnsi="Basic Sans Light" w:cs="Arial"/>
          <w:color w:val="000000" w:themeColor="text1"/>
          <w:szCs w:val="24"/>
          <w:lang w:eastAsia="en-NZ"/>
        </w:rPr>
        <w:t xml:space="preserve">is </w:t>
      </w:r>
      <w:r w:rsidR="00657928">
        <w:rPr>
          <w:rFonts w:ascii="Basic Sans Light" w:eastAsia="Times New Roman" w:hAnsi="Basic Sans Light" w:cs="Arial"/>
          <w:color w:val="000000" w:themeColor="text1"/>
          <w:szCs w:val="24"/>
          <w:lang w:eastAsia="en-NZ"/>
        </w:rPr>
        <w:t>not</w:t>
      </w:r>
      <w:r w:rsidRPr="00426CDF">
        <w:rPr>
          <w:rFonts w:ascii="Basic Sans Light" w:eastAsia="Times New Roman" w:hAnsi="Basic Sans Light" w:cs="Arial"/>
          <w:color w:val="000000" w:themeColor="text1"/>
          <w:szCs w:val="24"/>
          <w:lang w:eastAsia="en-NZ"/>
        </w:rPr>
        <w:t xml:space="preserve"> consistent or does not exist.</w:t>
      </w:r>
    </w:p>
    <w:p w14:paraId="0A294E8E" w14:textId="39C1D78A" w:rsidR="008E2809" w:rsidRDefault="008D239D" w:rsidP="00DB2C80">
      <w:pPr>
        <w:pStyle w:val="Numberedparagraphs"/>
        <w:spacing w:before="60"/>
        <w:ind w:left="0" w:firstLine="0"/>
        <w:rPr>
          <w:rFonts w:ascii="Basic Sans Light" w:eastAsia="Times New Roman" w:hAnsi="Basic Sans Light" w:cs="Arial"/>
          <w:color w:val="000000" w:themeColor="text1"/>
          <w:szCs w:val="24"/>
          <w:lang w:eastAsia="en-NZ"/>
        </w:rPr>
      </w:pPr>
      <w:r>
        <w:rPr>
          <w:rFonts w:ascii="Basic Sans Light" w:eastAsia="Times New Roman" w:hAnsi="Basic Sans Light" w:cs="Arial"/>
          <w:color w:val="000000" w:themeColor="text1"/>
          <w:szCs w:val="24"/>
          <w:lang w:eastAsia="en-NZ"/>
        </w:rPr>
        <w:t>W</w:t>
      </w:r>
      <w:r w:rsidR="0022229F" w:rsidRPr="00426CDF">
        <w:rPr>
          <w:rFonts w:ascii="Basic Sans Light" w:eastAsia="Times New Roman" w:hAnsi="Basic Sans Light" w:cs="Arial"/>
          <w:color w:val="000000" w:themeColor="text1"/>
          <w:szCs w:val="24"/>
          <w:lang w:eastAsia="en-NZ"/>
        </w:rPr>
        <w:t xml:space="preserve">e have taken a phased approach to the </w:t>
      </w:r>
      <w:r w:rsidR="0022229F">
        <w:rPr>
          <w:rFonts w:ascii="Basic Sans Light" w:eastAsia="Times New Roman" w:hAnsi="Basic Sans Light" w:cs="Arial"/>
          <w:color w:val="000000" w:themeColor="text1"/>
          <w:szCs w:val="24"/>
          <w:lang w:eastAsia="en-NZ"/>
        </w:rPr>
        <w:t>work</w:t>
      </w:r>
      <w:r w:rsidR="00657928">
        <w:rPr>
          <w:rFonts w:ascii="Basic Sans Light" w:eastAsia="Times New Roman" w:hAnsi="Basic Sans Light" w:cs="Arial"/>
          <w:color w:val="000000" w:themeColor="text1"/>
          <w:szCs w:val="24"/>
          <w:lang w:eastAsia="en-NZ"/>
        </w:rPr>
        <w:t>.</w:t>
      </w:r>
      <w:r w:rsidR="00657928" w:rsidRPr="00426CDF">
        <w:rPr>
          <w:rFonts w:ascii="Basic Sans Light" w:eastAsia="Times New Roman" w:hAnsi="Basic Sans Light" w:cs="Arial"/>
          <w:color w:val="000000" w:themeColor="text1"/>
          <w:szCs w:val="24"/>
          <w:lang w:eastAsia="en-NZ"/>
        </w:rPr>
        <w:t xml:space="preserve"> </w:t>
      </w:r>
      <w:r w:rsidR="00657928">
        <w:rPr>
          <w:rFonts w:ascii="Basic Sans Light" w:eastAsia="Times New Roman" w:hAnsi="Basic Sans Light" w:cs="Arial"/>
          <w:color w:val="000000" w:themeColor="text1"/>
          <w:szCs w:val="24"/>
          <w:lang w:eastAsia="en-NZ"/>
        </w:rPr>
        <w:t>Also, to</w:t>
      </w:r>
      <w:r w:rsidR="0022229F" w:rsidRPr="00DB2C80">
        <w:rPr>
          <w:rFonts w:ascii="Basic Sans Light" w:eastAsia="Times New Roman" w:hAnsi="Basic Sans Light" w:cs="Arial"/>
          <w:color w:val="000000" w:themeColor="text1"/>
          <w:szCs w:val="24"/>
          <w:lang w:eastAsia="en-NZ"/>
        </w:rPr>
        <w:t xml:space="preserve"> achieve the required timing for data requests</w:t>
      </w:r>
      <w:r w:rsidR="008C498D" w:rsidRPr="00DB2C80">
        <w:rPr>
          <w:rFonts w:ascii="Basic Sans Light" w:eastAsia="Times New Roman" w:hAnsi="Basic Sans Light" w:cs="Arial"/>
          <w:color w:val="000000" w:themeColor="text1"/>
          <w:szCs w:val="24"/>
          <w:lang w:eastAsia="en-NZ"/>
        </w:rPr>
        <w:t xml:space="preserve"> for our 2023 monitoring</w:t>
      </w:r>
      <w:r w:rsidR="0022229F" w:rsidRPr="00DB2C80">
        <w:rPr>
          <w:rFonts w:ascii="Basic Sans Light" w:eastAsia="Times New Roman" w:hAnsi="Basic Sans Light" w:cs="Arial"/>
          <w:color w:val="000000" w:themeColor="text1"/>
          <w:szCs w:val="24"/>
          <w:lang w:eastAsia="en-NZ"/>
        </w:rPr>
        <w:t xml:space="preserve">, we </w:t>
      </w:r>
      <w:r w:rsidR="008C498D" w:rsidRPr="00DB2C80">
        <w:rPr>
          <w:rFonts w:ascii="Basic Sans Light" w:eastAsia="Times New Roman" w:hAnsi="Basic Sans Light" w:cs="Arial"/>
          <w:color w:val="000000" w:themeColor="text1"/>
          <w:szCs w:val="24"/>
          <w:lang w:eastAsia="en-NZ"/>
        </w:rPr>
        <w:t>narrowed</w:t>
      </w:r>
      <w:r w:rsidR="0022229F" w:rsidRPr="00DB2C80">
        <w:rPr>
          <w:rFonts w:ascii="Basic Sans Light" w:eastAsia="Times New Roman" w:hAnsi="Basic Sans Light" w:cs="Arial"/>
          <w:color w:val="000000" w:themeColor="text1"/>
          <w:szCs w:val="24"/>
          <w:lang w:eastAsia="en-NZ"/>
        </w:rPr>
        <w:t xml:space="preserve"> the scope of Phase 1 of this work programme to a suite of methods and measures focused on services.</w:t>
      </w:r>
    </w:p>
    <w:p w14:paraId="0E49D811" w14:textId="6233E5C5" w:rsidR="002A20F4" w:rsidRDefault="002A20F4" w:rsidP="00DB2C80">
      <w:pPr>
        <w:pStyle w:val="Numberedparagraphs"/>
        <w:spacing w:before="60"/>
        <w:ind w:left="0" w:firstLine="0"/>
        <w:rPr>
          <w:rFonts w:ascii="Basic Sans Light" w:eastAsia="Times New Roman" w:hAnsi="Basic Sans Light" w:cs="Arial"/>
          <w:color w:val="000000" w:themeColor="text1"/>
          <w:szCs w:val="24"/>
          <w:lang w:eastAsia="en-NZ"/>
        </w:rPr>
      </w:pPr>
      <w:r>
        <w:rPr>
          <w:rFonts w:ascii="Basic Sans Light" w:eastAsia="Times New Roman" w:hAnsi="Basic Sans Light" w:cs="Arial"/>
          <w:color w:val="000000" w:themeColor="text1"/>
          <w:szCs w:val="24"/>
          <w:lang w:eastAsia="en-NZ"/>
        </w:rPr>
        <w:t>The development phases are:</w:t>
      </w:r>
    </w:p>
    <w:p w14:paraId="6E35775D" w14:textId="0F25C976" w:rsidR="002A20F4" w:rsidRPr="002A20F4" w:rsidRDefault="002A20F4" w:rsidP="00C8416D">
      <w:pPr>
        <w:pStyle w:val="ListParagraph"/>
        <w:numPr>
          <w:ilvl w:val="0"/>
          <w:numId w:val="8"/>
        </w:numPr>
        <w:rPr>
          <w:lang w:eastAsia="en-NZ"/>
        </w:rPr>
      </w:pPr>
      <w:r w:rsidRPr="002A20F4">
        <w:rPr>
          <w:lang w:val="mi-NZ" w:eastAsia="en-NZ"/>
        </w:rPr>
        <w:t xml:space="preserve">Phase </w:t>
      </w:r>
      <w:r w:rsidR="00AC722C">
        <w:rPr>
          <w:lang w:val="mi-NZ" w:eastAsia="en-NZ"/>
        </w:rPr>
        <w:t>1</w:t>
      </w:r>
      <w:r w:rsidRPr="002A20F4">
        <w:rPr>
          <w:lang w:val="mi-NZ" w:eastAsia="en-NZ"/>
        </w:rPr>
        <w:t xml:space="preserve"> – service-level measures, including tāngata whaiora outcome measures, using data available within our timeframe for 2023 monitoring.</w:t>
      </w:r>
    </w:p>
    <w:p w14:paraId="143109DF" w14:textId="77777777" w:rsidR="002A20F4" w:rsidRPr="002A20F4" w:rsidRDefault="002A20F4" w:rsidP="00C8416D">
      <w:pPr>
        <w:pStyle w:val="ListParagraph"/>
        <w:numPr>
          <w:ilvl w:val="1"/>
          <w:numId w:val="8"/>
        </w:numPr>
        <w:rPr>
          <w:lang w:eastAsia="en-NZ"/>
        </w:rPr>
      </w:pPr>
      <w:r w:rsidRPr="002A20F4">
        <w:rPr>
          <w:lang w:val="mi-NZ" w:eastAsia="en-NZ"/>
        </w:rPr>
        <w:t>Data availability will be a significant filter</w:t>
      </w:r>
    </w:p>
    <w:p w14:paraId="385476D2" w14:textId="5530C2A2" w:rsidR="002A20F4" w:rsidRPr="002A20F4" w:rsidRDefault="002A20F4" w:rsidP="00C8416D">
      <w:pPr>
        <w:pStyle w:val="ListParagraph"/>
        <w:numPr>
          <w:ilvl w:val="1"/>
          <w:numId w:val="8"/>
        </w:numPr>
        <w:rPr>
          <w:lang w:eastAsia="en-NZ"/>
        </w:rPr>
      </w:pPr>
      <w:r w:rsidRPr="002A20F4">
        <w:rPr>
          <w:lang w:eastAsia="en-NZ"/>
        </w:rPr>
        <w:t xml:space="preserve">While our focus will be on service-level, we expect some system-level measures </w:t>
      </w:r>
      <w:r w:rsidR="005F4775">
        <w:rPr>
          <w:lang w:eastAsia="en-NZ"/>
        </w:rPr>
        <w:t>to</w:t>
      </w:r>
      <w:r w:rsidRPr="002A20F4">
        <w:rPr>
          <w:lang w:eastAsia="en-NZ"/>
        </w:rPr>
        <w:t xml:space="preserve"> be confirmed during the Phase one process.</w:t>
      </w:r>
    </w:p>
    <w:p w14:paraId="1B5F22B8" w14:textId="37AE6818" w:rsidR="002A20F4" w:rsidRPr="002A20F4" w:rsidRDefault="002A20F4" w:rsidP="00C8416D">
      <w:pPr>
        <w:pStyle w:val="ListParagraph"/>
        <w:numPr>
          <w:ilvl w:val="0"/>
          <w:numId w:val="8"/>
        </w:numPr>
        <w:rPr>
          <w:lang w:eastAsia="en-NZ"/>
        </w:rPr>
      </w:pPr>
      <w:r w:rsidRPr="002A20F4">
        <w:rPr>
          <w:lang w:val="mi-NZ" w:eastAsia="en-NZ"/>
        </w:rPr>
        <w:t xml:space="preserve">Phase </w:t>
      </w:r>
      <w:r w:rsidR="00AC722C">
        <w:rPr>
          <w:lang w:val="mi-NZ" w:eastAsia="en-NZ"/>
        </w:rPr>
        <w:t>2</w:t>
      </w:r>
      <w:r w:rsidRPr="002A20F4">
        <w:rPr>
          <w:lang w:val="mi-NZ" w:eastAsia="en-NZ"/>
        </w:rPr>
        <w:t xml:space="preserve"> – service and broader system measures, including tāngata whaiora outcome measures.</w:t>
      </w:r>
    </w:p>
    <w:p w14:paraId="2BC3AAD0" w14:textId="77777777" w:rsidR="002A20F4" w:rsidRPr="002A20F4" w:rsidRDefault="002A20F4" w:rsidP="00C8416D">
      <w:pPr>
        <w:pStyle w:val="ListParagraph"/>
        <w:numPr>
          <w:ilvl w:val="1"/>
          <w:numId w:val="8"/>
        </w:numPr>
        <w:rPr>
          <w:lang w:eastAsia="en-NZ"/>
        </w:rPr>
      </w:pPr>
      <w:r w:rsidRPr="00110E9C">
        <w:rPr>
          <w:lang w:val="mi-NZ" w:eastAsia="en-NZ"/>
        </w:rPr>
        <w:t>Broader focus</w:t>
      </w:r>
    </w:p>
    <w:p w14:paraId="0C7CA95C" w14:textId="00081EE7" w:rsidR="002A20F4" w:rsidRPr="002A20F4" w:rsidRDefault="002A20F4" w:rsidP="00C8416D">
      <w:pPr>
        <w:pStyle w:val="ListParagraph"/>
        <w:numPr>
          <w:ilvl w:val="1"/>
          <w:numId w:val="8"/>
        </w:numPr>
        <w:rPr>
          <w:lang w:eastAsia="en-NZ"/>
        </w:rPr>
      </w:pPr>
      <w:r w:rsidRPr="00110E9C">
        <w:rPr>
          <w:lang w:val="mi-NZ" w:eastAsia="en-NZ"/>
        </w:rPr>
        <w:t>Continued development of service measures</w:t>
      </w:r>
    </w:p>
    <w:p w14:paraId="20BF8559" w14:textId="77AB5CC9" w:rsidR="00DB2C80" w:rsidRPr="00DB2C80" w:rsidRDefault="002A20F4" w:rsidP="00C8416D">
      <w:pPr>
        <w:pStyle w:val="ListParagraph"/>
        <w:numPr>
          <w:ilvl w:val="0"/>
          <w:numId w:val="8"/>
        </w:numPr>
        <w:rPr>
          <w:lang w:eastAsia="en-NZ"/>
        </w:rPr>
      </w:pPr>
      <w:r w:rsidRPr="00AC722C">
        <w:rPr>
          <w:lang w:val="mi-NZ" w:eastAsia="en-NZ"/>
        </w:rPr>
        <w:t xml:space="preserve">Phase </w:t>
      </w:r>
      <w:r w:rsidR="00AC722C" w:rsidRPr="00AC722C">
        <w:rPr>
          <w:lang w:val="mi-NZ" w:eastAsia="en-NZ"/>
        </w:rPr>
        <w:t>3</w:t>
      </w:r>
      <w:r w:rsidRPr="00AC722C">
        <w:rPr>
          <w:lang w:val="mi-NZ" w:eastAsia="en-NZ"/>
        </w:rPr>
        <w:t xml:space="preserve"> – completion of priority methods and measures that require a longer timeframe due to data gaps</w:t>
      </w:r>
      <w:r w:rsidR="00545A71">
        <w:rPr>
          <w:lang w:val="mi-NZ" w:eastAsia="en-NZ"/>
        </w:rPr>
        <w:t xml:space="preserve">, </w:t>
      </w:r>
      <w:r w:rsidRPr="00AC722C">
        <w:rPr>
          <w:lang w:val="mi-NZ" w:eastAsia="en-NZ"/>
        </w:rPr>
        <w:t>engagement</w:t>
      </w:r>
      <w:r w:rsidR="00545A71">
        <w:rPr>
          <w:lang w:val="mi-NZ" w:eastAsia="en-NZ"/>
        </w:rPr>
        <w:t xml:space="preserve">, and / or </w:t>
      </w:r>
      <w:r w:rsidRPr="00AC722C">
        <w:rPr>
          <w:lang w:val="mi-NZ" w:eastAsia="en-NZ"/>
        </w:rPr>
        <w:t>alignment needs.</w:t>
      </w:r>
    </w:p>
    <w:p w14:paraId="58243F1E" w14:textId="70415CEC" w:rsidR="008E2809" w:rsidRDefault="00941FF4" w:rsidP="00A96418">
      <w:pPr>
        <w:pStyle w:val="Heading3"/>
      </w:pPr>
      <w:bookmarkStart w:id="5" w:name="_Tāngata_whaiora_outcome"/>
      <w:bookmarkEnd w:id="5"/>
      <w:r>
        <w:t>T</w:t>
      </w:r>
      <w:r w:rsidR="00A96418">
        <w:t>āngata whaiora outcome measures</w:t>
      </w:r>
    </w:p>
    <w:p w14:paraId="73075A9C" w14:textId="3767A2B8" w:rsidR="008B64C5" w:rsidRDefault="008B64C5" w:rsidP="008B64C5">
      <w:pPr>
        <w:suppressAutoHyphens/>
        <w:autoSpaceDE w:val="0"/>
        <w:autoSpaceDN w:val="0"/>
        <w:adjustRightInd w:val="0"/>
        <w:textAlignment w:val="center"/>
      </w:pPr>
      <w:r>
        <w:t xml:space="preserve">The Initial Commission </w:t>
      </w:r>
      <w:r w:rsidR="006367B3">
        <w:t xml:space="preserve">began but </w:t>
      </w:r>
      <w:r w:rsidR="00283CFE">
        <w:t>did not complet</w:t>
      </w:r>
      <w:r w:rsidR="006367B3">
        <w:t>e</w:t>
      </w:r>
      <w:r w:rsidR="00283CFE">
        <w:t xml:space="preserve"> the development of service-level outcome measures</w:t>
      </w:r>
      <w:r w:rsidR="0011138E">
        <w:t xml:space="preserve"> </w:t>
      </w:r>
      <w:r w:rsidR="00A94C31">
        <w:t xml:space="preserve">for the He Ara Oranga wellbeing outcome framework </w:t>
      </w:r>
      <w:r w:rsidR="0011138E">
        <w:t>as</w:t>
      </w:r>
      <w:r>
        <w:t xml:space="preserve"> He Ara Āwhina </w:t>
      </w:r>
      <w:r w:rsidR="0011138E">
        <w:t xml:space="preserve">needed </w:t>
      </w:r>
      <w:r>
        <w:t xml:space="preserve">to be developed </w:t>
      </w:r>
      <w:r w:rsidR="0030585F">
        <w:t>further</w:t>
      </w:r>
      <w:r>
        <w:t>.</w:t>
      </w:r>
    </w:p>
    <w:p w14:paraId="6E63C1C4" w14:textId="2454B805" w:rsidR="00F83F5F" w:rsidRPr="00F83F5F" w:rsidRDefault="00F83F5F" w:rsidP="00F83F5F">
      <w:pPr>
        <w:suppressAutoHyphens/>
        <w:autoSpaceDE w:val="0"/>
        <w:autoSpaceDN w:val="0"/>
        <w:adjustRightInd w:val="0"/>
        <w:textAlignment w:val="center"/>
      </w:pPr>
      <w:r w:rsidRPr="00F83F5F">
        <w:lastRenderedPageBreak/>
        <w:t>The tāngata whaiora outcome measures are mutual to both the H</w:t>
      </w:r>
      <w:r w:rsidR="0030585F">
        <w:t xml:space="preserve">e </w:t>
      </w:r>
      <w:r w:rsidRPr="00F83F5F">
        <w:t>A</w:t>
      </w:r>
      <w:r w:rsidR="0030585F">
        <w:t xml:space="preserve">ra </w:t>
      </w:r>
      <w:r w:rsidRPr="00F83F5F">
        <w:t>Ā</w:t>
      </w:r>
      <w:r w:rsidR="0030585F">
        <w:t>whina</w:t>
      </w:r>
      <w:r w:rsidRPr="00F83F5F">
        <w:t xml:space="preserve"> and H</w:t>
      </w:r>
      <w:r w:rsidR="0030585F">
        <w:t xml:space="preserve">e </w:t>
      </w:r>
      <w:r w:rsidRPr="00F83F5F">
        <w:t>A</w:t>
      </w:r>
      <w:r w:rsidR="0030585F">
        <w:t xml:space="preserve">ra </w:t>
      </w:r>
      <w:r w:rsidRPr="00F83F5F">
        <w:t>O</w:t>
      </w:r>
      <w:r w:rsidR="0030585F">
        <w:t>ranga</w:t>
      </w:r>
      <w:r w:rsidRPr="00F83F5F">
        <w:t xml:space="preserve"> frameworks. Hence</w:t>
      </w:r>
      <w:r w:rsidR="00B8284F">
        <w:t>,</w:t>
      </w:r>
      <w:r w:rsidRPr="00F83F5F">
        <w:t xml:space="preserve"> it is timely to </w:t>
      </w:r>
      <w:r w:rsidR="00A53155">
        <w:t>cont</w:t>
      </w:r>
      <w:r w:rsidR="00A063A9">
        <w:t>i</w:t>
      </w:r>
      <w:r w:rsidR="00A53155">
        <w:t>nue</w:t>
      </w:r>
      <w:r w:rsidRPr="00F83F5F">
        <w:t xml:space="preserve"> this component of work</w:t>
      </w:r>
      <w:r w:rsidR="0024464B">
        <w:t>, for both He Ara Oranga and He Ara Āwhina,</w:t>
      </w:r>
      <w:r w:rsidRPr="00F83F5F">
        <w:t xml:space="preserve"> alongside the broader suite of measures for H</w:t>
      </w:r>
      <w:r w:rsidR="005A7444">
        <w:t xml:space="preserve">e </w:t>
      </w:r>
      <w:r w:rsidRPr="00F83F5F">
        <w:t>A</w:t>
      </w:r>
      <w:r w:rsidR="005A7444">
        <w:t xml:space="preserve">ra </w:t>
      </w:r>
      <w:r w:rsidRPr="00F83F5F">
        <w:t>Ā</w:t>
      </w:r>
      <w:r w:rsidR="005A7444">
        <w:t>whina</w:t>
      </w:r>
      <w:r w:rsidR="00A063A9">
        <w:t xml:space="preserve"> and include </w:t>
      </w:r>
      <w:r w:rsidR="00CB44B9">
        <w:t xml:space="preserve">them </w:t>
      </w:r>
      <w:r w:rsidR="00A063A9">
        <w:t>in the Phase 1 scope</w:t>
      </w:r>
      <w:r w:rsidR="00C82A10">
        <w:t xml:space="preserve"> as part of this project</w:t>
      </w:r>
      <w:r w:rsidR="00A063A9">
        <w:t>.</w:t>
      </w:r>
      <w:r w:rsidRPr="00F83F5F">
        <w:t xml:space="preserve"> </w:t>
      </w:r>
    </w:p>
    <w:p w14:paraId="1FDBE21D" w14:textId="238A6F3C" w:rsidR="00A30A67" w:rsidRPr="003713A0" w:rsidRDefault="004143CD" w:rsidP="002F207B">
      <w:pPr>
        <w:pStyle w:val="Heading2"/>
        <w:rPr>
          <w:b/>
          <w:bCs/>
        </w:rPr>
      </w:pPr>
      <w:r>
        <w:t>Phase 1</w:t>
      </w:r>
      <w:r w:rsidR="00A30A67" w:rsidRPr="003713A0">
        <w:t xml:space="preserve"> deliverable</w:t>
      </w:r>
      <w:r w:rsidR="00A30A67">
        <w:t>s</w:t>
      </w:r>
    </w:p>
    <w:p w14:paraId="517E306D" w14:textId="425D311D" w:rsidR="00A30A67" w:rsidRDefault="00A30A67" w:rsidP="00A30A67">
      <w:pPr>
        <w:pStyle w:val="Numberedparagraphs"/>
        <w:spacing w:before="60"/>
        <w:ind w:left="0" w:firstLine="0"/>
        <w:rPr>
          <w:rFonts w:ascii="Basic Sans Light" w:eastAsia="Times New Roman" w:hAnsi="Basic Sans Light" w:cs="Arial"/>
          <w:color w:val="000000" w:themeColor="text1"/>
          <w:szCs w:val="24"/>
          <w:lang w:val="mi-NZ" w:eastAsia="en-NZ"/>
        </w:rPr>
      </w:pPr>
      <w:r>
        <w:rPr>
          <w:rFonts w:ascii="Basic Sans Light" w:eastAsia="Times New Roman" w:hAnsi="Basic Sans Light" w:cs="Arial"/>
          <w:color w:val="000000" w:themeColor="text1"/>
          <w:szCs w:val="24"/>
          <w:lang w:val="mi-NZ" w:eastAsia="en-NZ"/>
        </w:rPr>
        <w:t xml:space="preserve">The key deliverables for this </w:t>
      </w:r>
      <w:r w:rsidR="004143CD">
        <w:rPr>
          <w:rFonts w:ascii="Basic Sans Light" w:eastAsia="Times New Roman" w:hAnsi="Basic Sans Light" w:cs="Arial"/>
          <w:color w:val="000000" w:themeColor="text1"/>
          <w:szCs w:val="24"/>
          <w:lang w:val="mi-NZ" w:eastAsia="en-NZ"/>
        </w:rPr>
        <w:t>phase</w:t>
      </w:r>
      <w:r>
        <w:rPr>
          <w:rFonts w:ascii="Basic Sans Light" w:eastAsia="Times New Roman" w:hAnsi="Basic Sans Light" w:cs="Arial"/>
          <w:color w:val="000000" w:themeColor="text1"/>
          <w:szCs w:val="24"/>
          <w:lang w:val="mi-NZ" w:eastAsia="en-NZ"/>
        </w:rPr>
        <w:t xml:space="preserve"> are:</w:t>
      </w:r>
    </w:p>
    <w:p w14:paraId="7114A0C8" w14:textId="07B31C87" w:rsidR="00A30A67" w:rsidRPr="00E80228" w:rsidRDefault="00A30A67" w:rsidP="00C8416D">
      <w:pPr>
        <w:pStyle w:val="ListParagraph"/>
        <w:numPr>
          <w:ilvl w:val="2"/>
          <w:numId w:val="25"/>
        </w:numPr>
        <w:tabs>
          <w:tab w:val="clear" w:pos="357"/>
        </w:tabs>
        <w:suppressAutoHyphens/>
        <w:autoSpaceDE w:val="0"/>
        <w:autoSpaceDN w:val="0"/>
        <w:adjustRightInd w:val="0"/>
        <w:spacing w:before="120" w:after="0"/>
        <w:ind w:left="714" w:hanging="357"/>
        <w:textAlignment w:val="center"/>
      </w:pPr>
      <w:r w:rsidRPr="00E80228">
        <w:t xml:space="preserve">a suite of methods and measures </w:t>
      </w:r>
      <w:r>
        <w:t xml:space="preserve">(‘Shortlist’) </w:t>
      </w:r>
      <w:r w:rsidRPr="00E80228">
        <w:t xml:space="preserve">to be developed by mid-November 2022 </w:t>
      </w:r>
      <w:r w:rsidR="004818E6">
        <w:t>(</w:t>
      </w:r>
      <w:r w:rsidR="00213098">
        <w:t xml:space="preserve">the </w:t>
      </w:r>
      <w:r w:rsidR="004818E6">
        <w:t>latest tim</w:t>
      </w:r>
      <w:r w:rsidR="00022B3E">
        <w:t>e</w:t>
      </w:r>
      <w:r w:rsidR="004818E6">
        <w:t xml:space="preserve"> for data requests) </w:t>
      </w:r>
      <w:r w:rsidRPr="00E80228">
        <w:t xml:space="preserve">to enable monitoring and reporting </w:t>
      </w:r>
      <w:r w:rsidR="00A04472">
        <w:t xml:space="preserve">from March </w:t>
      </w:r>
      <w:r w:rsidRPr="00E80228">
        <w:t>2023.</w:t>
      </w:r>
    </w:p>
    <w:p w14:paraId="3F691B08" w14:textId="7D5A0995" w:rsidR="00A30A67" w:rsidRPr="00E80228" w:rsidRDefault="00A30A67" w:rsidP="00C8416D">
      <w:pPr>
        <w:pStyle w:val="ListParagraph"/>
        <w:numPr>
          <w:ilvl w:val="2"/>
          <w:numId w:val="25"/>
        </w:numPr>
        <w:tabs>
          <w:tab w:val="clear" w:pos="357"/>
        </w:tabs>
        <w:suppressAutoHyphens/>
        <w:autoSpaceDE w:val="0"/>
        <w:autoSpaceDN w:val="0"/>
        <w:adjustRightInd w:val="0"/>
        <w:spacing w:before="120" w:after="0"/>
        <w:ind w:left="714" w:hanging="357"/>
        <w:textAlignment w:val="center"/>
      </w:pPr>
      <w:r w:rsidRPr="00E80228">
        <w:t xml:space="preserve">a report summarising phase 1 of the development, the current </w:t>
      </w:r>
      <w:r>
        <w:t>shortlist</w:t>
      </w:r>
      <w:r w:rsidRPr="00E80228">
        <w:t xml:space="preserve">, advice for Phases 2 and 3, and the </w:t>
      </w:r>
      <w:r w:rsidR="00C01542">
        <w:t>Technical advisory network</w:t>
      </w:r>
      <w:r w:rsidR="00C01542" w:rsidRPr="00E80228">
        <w:t xml:space="preserve">’s </w:t>
      </w:r>
      <w:r w:rsidRPr="00E80228">
        <w:t xml:space="preserve">views on how the </w:t>
      </w:r>
      <w:r w:rsidR="00B94384">
        <w:t>mental health and addiction</w:t>
      </w:r>
      <w:r w:rsidR="00B94384" w:rsidRPr="00E80228">
        <w:t xml:space="preserve"> </w:t>
      </w:r>
      <w:r w:rsidRPr="00E80228">
        <w:t>system could prioritise and address the data gaps</w:t>
      </w:r>
      <w:r w:rsidR="00E45E9F">
        <w:t xml:space="preserve"> (this document)</w:t>
      </w:r>
      <w:r w:rsidRPr="00E80228">
        <w:t>.</w:t>
      </w:r>
    </w:p>
    <w:p w14:paraId="441A1360" w14:textId="7529000C" w:rsidR="008E2809" w:rsidRDefault="008A1121" w:rsidP="008A1121">
      <w:pPr>
        <w:pStyle w:val="Heading2"/>
      </w:pPr>
      <w:r>
        <w:t>Technical advisory network</w:t>
      </w:r>
    </w:p>
    <w:p w14:paraId="690B71E2" w14:textId="296CE14F" w:rsidR="004A4D46" w:rsidRDefault="004A4D46" w:rsidP="004A4D46">
      <w:pPr>
        <w:pStyle w:val="Numberedparagraphs"/>
        <w:spacing w:before="60"/>
        <w:ind w:left="0" w:firstLine="0"/>
        <w:rPr>
          <w:rFonts w:ascii="Basic Sans Light" w:eastAsia="Times New Roman" w:hAnsi="Basic Sans Light" w:cs="Arial"/>
          <w:color w:val="000000" w:themeColor="text1"/>
          <w:szCs w:val="24"/>
          <w:lang w:val="mi-NZ" w:eastAsia="en-NZ"/>
        </w:rPr>
      </w:pPr>
      <w:r>
        <w:rPr>
          <w:rFonts w:ascii="Basic Sans Light" w:eastAsia="Times New Roman" w:hAnsi="Basic Sans Light" w:cs="Arial"/>
          <w:color w:val="000000" w:themeColor="text1"/>
          <w:szCs w:val="24"/>
          <w:lang w:val="mi-NZ" w:eastAsia="en-NZ"/>
        </w:rPr>
        <w:t xml:space="preserve">The sheer breadth of He Ara Āwhina created challenges in terms of the </w:t>
      </w:r>
      <w:r w:rsidR="00B905F6">
        <w:rPr>
          <w:rFonts w:ascii="Basic Sans Light" w:eastAsia="Times New Roman" w:hAnsi="Basic Sans Light" w:cs="Arial"/>
          <w:color w:val="000000" w:themeColor="text1"/>
          <w:szCs w:val="24"/>
          <w:lang w:val="mi-NZ" w:eastAsia="en-NZ"/>
        </w:rPr>
        <w:t xml:space="preserve">range of </w:t>
      </w:r>
      <w:r w:rsidR="00A16A33">
        <w:rPr>
          <w:rFonts w:ascii="Basic Sans Light" w:eastAsia="Times New Roman" w:hAnsi="Basic Sans Light" w:cs="Arial"/>
          <w:color w:val="000000" w:themeColor="text1"/>
          <w:szCs w:val="24"/>
          <w:lang w:val="mi-NZ" w:eastAsia="en-NZ"/>
        </w:rPr>
        <w:t xml:space="preserve">data </w:t>
      </w:r>
      <w:r>
        <w:rPr>
          <w:rFonts w:ascii="Basic Sans Light" w:eastAsia="Times New Roman" w:hAnsi="Basic Sans Light" w:cs="Arial"/>
          <w:color w:val="000000" w:themeColor="text1"/>
          <w:szCs w:val="24"/>
          <w:lang w:val="mi-NZ" w:eastAsia="en-NZ"/>
        </w:rPr>
        <w:t xml:space="preserve">expertise needed to guide our </w:t>
      </w:r>
      <w:r w:rsidR="00385796">
        <w:rPr>
          <w:rFonts w:ascii="Basic Sans Light" w:eastAsia="Times New Roman" w:hAnsi="Basic Sans Light" w:cs="Arial"/>
          <w:color w:val="000000" w:themeColor="text1"/>
          <w:szCs w:val="24"/>
          <w:lang w:val="mi-NZ" w:eastAsia="en-NZ"/>
        </w:rPr>
        <w:t>work</w:t>
      </w:r>
      <w:r w:rsidR="00A16A33">
        <w:rPr>
          <w:rFonts w:ascii="Basic Sans Light" w:eastAsia="Times New Roman" w:hAnsi="Basic Sans Light" w:cs="Arial"/>
          <w:color w:val="000000" w:themeColor="text1"/>
          <w:szCs w:val="24"/>
          <w:lang w:val="mi-NZ" w:eastAsia="en-NZ"/>
        </w:rPr>
        <w:t xml:space="preserve"> and resulting</w:t>
      </w:r>
      <w:r>
        <w:rPr>
          <w:rFonts w:ascii="Basic Sans Light" w:eastAsia="Times New Roman" w:hAnsi="Basic Sans Light" w:cs="Arial"/>
          <w:color w:val="000000" w:themeColor="text1"/>
          <w:szCs w:val="24"/>
          <w:lang w:val="mi-NZ" w:eastAsia="en-NZ"/>
        </w:rPr>
        <w:t xml:space="preserve"> </w:t>
      </w:r>
      <w:r w:rsidR="007A6401">
        <w:rPr>
          <w:rFonts w:ascii="Basic Sans Light" w:eastAsia="Times New Roman" w:hAnsi="Basic Sans Light" w:cs="Arial"/>
          <w:color w:val="000000" w:themeColor="text1"/>
          <w:szCs w:val="24"/>
          <w:lang w:val="mi-NZ" w:eastAsia="en-NZ"/>
        </w:rPr>
        <w:t>large</w:t>
      </w:r>
      <w:r>
        <w:rPr>
          <w:rFonts w:ascii="Basic Sans Light" w:eastAsia="Times New Roman" w:hAnsi="Basic Sans Light" w:cs="Arial"/>
          <w:color w:val="000000" w:themeColor="text1"/>
          <w:szCs w:val="24"/>
          <w:lang w:val="mi-NZ" w:eastAsia="en-NZ"/>
        </w:rPr>
        <w:t xml:space="preserve"> size of the</w:t>
      </w:r>
      <w:r w:rsidR="002E0E2E">
        <w:rPr>
          <w:rFonts w:ascii="Basic Sans Light" w:eastAsia="Times New Roman" w:hAnsi="Basic Sans Light" w:cs="Arial"/>
          <w:color w:val="000000" w:themeColor="text1"/>
          <w:szCs w:val="24"/>
          <w:lang w:val="mi-NZ" w:eastAsia="en-NZ"/>
        </w:rPr>
        <w:t xml:space="preserve"> potential</w:t>
      </w:r>
      <w:r>
        <w:rPr>
          <w:rFonts w:ascii="Basic Sans Light" w:eastAsia="Times New Roman" w:hAnsi="Basic Sans Light" w:cs="Arial"/>
          <w:color w:val="000000" w:themeColor="text1"/>
          <w:szCs w:val="24"/>
          <w:lang w:val="mi-NZ" w:eastAsia="en-NZ"/>
        </w:rPr>
        <w:t xml:space="preserve"> group</w:t>
      </w:r>
      <w:r w:rsidR="00932EDB">
        <w:rPr>
          <w:rFonts w:ascii="Basic Sans Light" w:eastAsia="Times New Roman" w:hAnsi="Basic Sans Light" w:cs="Arial"/>
          <w:color w:val="000000" w:themeColor="text1"/>
          <w:szCs w:val="24"/>
          <w:lang w:val="mi-NZ" w:eastAsia="en-NZ"/>
        </w:rPr>
        <w:t xml:space="preserve">. </w:t>
      </w:r>
      <w:r w:rsidR="00E71FF6">
        <w:rPr>
          <w:rFonts w:ascii="Basic Sans Light" w:eastAsia="Times New Roman" w:hAnsi="Basic Sans Light" w:cs="Arial"/>
          <w:color w:val="000000" w:themeColor="text1"/>
          <w:szCs w:val="24"/>
          <w:lang w:val="mi-NZ" w:eastAsia="en-NZ"/>
        </w:rPr>
        <w:t xml:space="preserve">We also needed to ensure continuity </w:t>
      </w:r>
      <w:r w:rsidR="00794EEE">
        <w:rPr>
          <w:rFonts w:ascii="Basic Sans Light" w:eastAsia="Times New Roman" w:hAnsi="Basic Sans Light" w:cs="Arial"/>
          <w:color w:val="000000" w:themeColor="text1"/>
          <w:szCs w:val="24"/>
          <w:lang w:val="mi-NZ" w:eastAsia="en-NZ"/>
        </w:rPr>
        <w:t>through</w:t>
      </w:r>
      <w:r w:rsidR="00E71FF6">
        <w:rPr>
          <w:rFonts w:ascii="Basic Sans Light" w:eastAsia="Times New Roman" w:hAnsi="Basic Sans Light" w:cs="Arial"/>
          <w:color w:val="000000" w:themeColor="text1"/>
          <w:szCs w:val="24"/>
          <w:lang w:val="mi-NZ" w:eastAsia="en-NZ"/>
        </w:rPr>
        <w:t xml:space="preserve"> an overlap of membership from our EAG and </w:t>
      </w:r>
      <w:r w:rsidR="00BB00D3">
        <w:rPr>
          <w:rFonts w:ascii="Basic Sans Light" w:eastAsia="Times New Roman" w:hAnsi="Basic Sans Light" w:cs="Arial"/>
          <w:color w:val="000000" w:themeColor="text1"/>
          <w:szCs w:val="24"/>
          <w:lang w:val="mi-NZ" w:eastAsia="en-NZ"/>
        </w:rPr>
        <w:t xml:space="preserve">the </w:t>
      </w:r>
      <w:r w:rsidR="00E71FF6">
        <w:rPr>
          <w:rFonts w:ascii="Basic Sans Light" w:eastAsia="Times New Roman" w:hAnsi="Basic Sans Light" w:cs="Arial"/>
          <w:color w:val="000000" w:themeColor="text1"/>
          <w:szCs w:val="24"/>
          <w:lang w:val="mi-NZ" w:eastAsia="en-NZ"/>
        </w:rPr>
        <w:t xml:space="preserve">He Ara Oranga framework TAGs. </w:t>
      </w:r>
      <w:r w:rsidR="00932EDB">
        <w:rPr>
          <w:rFonts w:ascii="Basic Sans Light" w:eastAsia="Times New Roman" w:hAnsi="Basic Sans Light" w:cs="Arial"/>
          <w:color w:val="000000" w:themeColor="text1"/>
          <w:szCs w:val="24"/>
          <w:lang w:val="mi-NZ" w:eastAsia="en-NZ"/>
        </w:rPr>
        <w:t xml:space="preserve">Given targeted expertise was </w:t>
      </w:r>
      <w:r w:rsidR="00CD1C58">
        <w:rPr>
          <w:rFonts w:ascii="Basic Sans Light" w:eastAsia="Times New Roman" w:hAnsi="Basic Sans Light" w:cs="Arial"/>
          <w:color w:val="000000" w:themeColor="text1"/>
          <w:szCs w:val="24"/>
          <w:lang w:val="mi-NZ" w:eastAsia="en-NZ"/>
        </w:rPr>
        <w:t>necessary</w:t>
      </w:r>
      <w:r w:rsidR="00932EDB">
        <w:rPr>
          <w:rFonts w:ascii="Basic Sans Light" w:eastAsia="Times New Roman" w:hAnsi="Basic Sans Light" w:cs="Arial"/>
          <w:color w:val="000000" w:themeColor="text1"/>
          <w:szCs w:val="24"/>
          <w:lang w:val="mi-NZ" w:eastAsia="en-NZ"/>
        </w:rPr>
        <w:t xml:space="preserve"> at times, we also</w:t>
      </w:r>
      <w:r w:rsidR="00ED6271">
        <w:rPr>
          <w:rFonts w:ascii="Basic Sans Light" w:eastAsia="Times New Roman" w:hAnsi="Basic Sans Light" w:cs="Arial"/>
          <w:color w:val="000000" w:themeColor="text1"/>
          <w:szCs w:val="24"/>
          <w:lang w:val="mi-NZ" w:eastAsia="en-NZ"/>
        </w:rPr>
        <w:t xml:space="preserve"> respected members</w:t>
      </w:r>
      <w:r w:rsidR="00657928">
        <w:rPr>
          <w:rFonts w:ascii="Basic Sans Light" w:eastAsia="Times New Roman" w:hAnsi="Basic Sans Light" w:cs="Arial"/>
          <w:color w:val="000000" w:themeColor="text1"/>
          <w:szCs w:val="24"/>
          <w:lang w:val="mi-NZ" w:eastAsia="en-NZ"/>
        </w:rPr>
        <w:t>’</w:t>
      </w:r>
      <w:r w:rsidR="00ED6271">
        <w:rPr>
          <w:rFonts w:ascii="Basic Sans Light" w:eastAsia="Times New Roman" w:hAnsi="Basic Sans Light" w:cs="Arial"/>
          <w:color w:val="000000" w:themeColor="text1"/>
          <w:szCs w:val="24"/>
          <w:lang w:val="mi-NZ" w:eastAsia="en-NZ"/>
        </w:rPr>
        <w:t xml:space="preserve"> time</w:t>
      </w:r>
      <w:r w:rsidR="00B82998">
        <w:rPr>
          <w:rFonts w:ascii="Basic Sans Light" w:eastAsia="Times New Roman" w:hAnsi="Basic Sans Light" w:cs="Arial"/>
          <w:color w:val="000000" w:themeColor="text1"/>
          <w:szCs w:val="24"/>
          <w:lang w:val="mi-NZ" w:eastAsia="en-NZ"/>
        </w:rPr>
        <w:t xml:space="preserve"> and felt long meetings with all members was not </w:t>
      </w:r>
      <w:r w:rsidR="00E13FBA">
        <w:rPr>
          <w:rFonts w:ascii="Basic Sans Light" w:eastAsia="Times New Roman" w:hAnsi="Basic Sans Light" w:cs="Arial"/>
          <w:color w:val="000000" w:themeColor="text1"/>
          <w:szCs w:val="24"/>
          <w:lang w:val="mi-NZ" w:eastAsia="en-NZ"/>
        </w:rPr>
        <w:t xml:space="preserve">the </w:t>
      </w:r>
      <w:r w:rsidR="00B82998">
        <w:rPr>
          <w:rFonts w:ascii="Basic Sans Light" w:eastAsia="Times New Roman" w:hAnsi="Basic Sans Light" w:cs="Arial"/>
          <w:color w:val="000000" w:themeColor="text1"/>
          <w:szCs w:val="24"/>
          <w:lang w:val="mi-NZ" w:eastAsia="en-NZ"/>
        </w:rPr>
        <w:t xml:space="preserve">optimum use of </w:t>
      </w:r>
      <w:r w:rsidR="005B70AF">
        <w:rPr>
          <w:rFonts w:ascii="Basic Sans Light" w:eastAsia="Times New Roman" w:hAnsi="Basic Sans Light" w:cs="Arial"/>
          <w:color w:val="000000" w:themeColor="text1"/>
          <w:szCs w:val="24"/>
          <w:lang w:val="mi-NZ" w:eastAsia="en-NZ"/>
        </w:rPr>
        <w:t xml:space="preserve">their </w:t>
      </w:r>
      <w:r w:rsidR="00B82998">
        <w:rPr>
          <w:rFonts w:ascii="Basic Sans Light" w:eastAsia="Times New Roman" w:hAnsi="Basic Sans Light" w:cs="Arial"/>
          <w:color w:val="000000" w:themeColor="text1"/>
          <w:szCs w:val="24"/>
          <w:lang w:val="mi-NZ" w:eastAsia="en-NZ"/>
        </w:rPr>
        <w:t>time</w:t>
      </w:r>
      <w:r>
        <w:rPr>
          <w:rFonts w:ascii="Basic Sans Light" w:eastAsia="Times New Roman" w:hAnsi="Basic Sans Light" w:cs="Arial"/>
          <w:color w:val="000000" w:themeColor="text1"/>
          <w:szCs w:val="24"/>
          <w:lang w:val="mi-NZ" w:eastAsia="en-NZ"/>
        </w:rPr>
        <w:t xml:space="preserve">. </w:t>
      </w:r>
      <w:r w:rsidRPr="00282441">
        <w:rPr>
          <w:rFonts w:ascii="Basic Sans Light" w:eastAsia="Times New Roman" w:hAnsi="Basic Sans Light" w:cs="Arial"/>
          <w:color w:val="000000" w:themeColor="text1"/>
          <w:szCs w:val="24"/>
          <w:lang w:val="mi-NZ" w:eastAsia="en-NZ"/>
        </w:rPr>
        <w:t xml:space="preserve">To </w:t>
      </w:r>
      <w:r w:rsidR="00657928">
        <w:rPr>
          <w:rFonts w:ascii="Basic Sans Light" w:eastAsia="Times New Roman" w:hAnsi="Basic Sans Light" w:cs="Arial"/>
          <w:color w:val="000000" w:themeColor="text1"/>
          <w:szCs w:val="24"/>
          <w:lang w:val="mi-NZ" w:eastAsia="en-NZ"/>
        </w:rPr>
        <w:t>address</w:t>
      </w:r>
      <w:r w:rsidR="00657928" w:rsidRPr="00282441">
        <w:rPr>
          <w:rFonts w:ascii="Basic Sans Light" w:eastAsia="Times New Roman" w:hAnsi="Basic Sans Light" w:cs="Arial"/>
          <w:color w:val="000000" w:themeColor="text1"/>
          <w:szCs w:val="24"/>
          <w:lang w:val="mi-NZ" w:eastAsia="en-NZ"/>
        </w:rPr>
        <w:t xml:space="preserve"> </w:t>
      </w:r>
      <w:r w:rsidRPr="00282441">
        <w:rPr>
          <w:rFonts w:ascii="Basic Sans Light" w:eastAsia="Times New Roman" w:hAnsi="Basic Sans Light" w:cs="Arial"/>
          <w:color w:val="000000" w:themeColor="text1"/>
          <w:szCs w:val="24"/>
          <w:lang w:val="mi-NZ" w:eastAsia="en-NZ"/>
        </w:rPr>
        <w:t xml:space="preserve">the predicted problems a </w:t>
      </w:r>
      <w:r w:rsidR="00657928">
        <w:rPr>
          <w:rFonts w:ascii="Basic Sans Light" w:eastAsia="Times New Roman" w:hAnsi="Basic Sans Light" w:cs="Arial"/>
          <w:color w:val="000000" w:themeColor="text1"/>
          <w:szCs w:val="24"/>
          <w:lang w:val="mi-NZ" w:eastAsia="en-NZ"/>
        </w:rPr>
        <w:t>t</w:t>
      </w:r>
      <w:r w:rsidR="00657928" w:rsidRPr="00282441">
        <w:rPr>
          <w:rFonts w:ascii="Basic Sans Light" w:eastAsia="Times New Roman" w:hAnsi="Basic Sans Light" w:cs="Arial"/>
          <w:color w:val="000000" w:themeColor="text1"/>
          <w:szCs w:val="24"/>
          <w:lang w:val="mi-NZ" w:eastAsia="en-NZ"/>
        </w:rPr>
        <w:t xml:space="preserve">echnical </w:t>
      </w:r>
      <w:r w:rsidRPr="00282441">
        <w:rPr>
          <w:rFonts w:ascii="Basic Sans Light" w:eastAsia="Times New Roman" w:hAnsi="Basic Sans Light" w:cs="Arial"/>
          <w:color w:val="000000" w:themeColor="text1"/>
          <w:szCs w:val="24"/>
          <w:lang w:val="mi-NZ" w:eastAsia="en-NZ"/>
        </w:rPr>
        <w:t xml:space="preserve">advisory network (TAN) </w:t>
      </w:r>
      <w:r w:rsidR="003E7714">
        <w:rPr>
          <w:rFonts w:ascii="Basic Sans Light" w:eastAsia="Times New Roman" w:hAnsi="Basic Sans Light" w:cs="Arial"/>
          <w:color w:val="000000" w:themeColor="text1"/>
          <w:szCs w:val="24"/>
          <w:lang w:val="mi-NZ" w:eastAsia="en-NZ"/>
        </w:rPr>
        <w:t xml:space="preserve">was established </w:t>
      </w:r>
      <w:r w:rsidRPr="00282441">
        <w:rPr>
          <w:rFonts w:ascii="Basic Sans Light" w:eastAsia="Times New Roman" w:hAnsi="Basic Sans Light" w:cs="Arial"/>
          <w:color w:val="000000" w:themeColor="text1"/>
          <w:szCs w:val="24"/>
          <w:lang w:val="mi-NZ" w:eastAsia="en-NZ"/>
        </w:rPr>
        <w:t xml:space="preserve">to enable a </w:t>
      </w:r>
      <w:r w:rsidR="005C10A5">
        <w:rPr>
          <w:rFonts w:ascii="Basic Sans Light" w:eastAsia="Times New Roman" w:hAnsi="Basic Sans Light" w:cs="Arial"/>
          <w:color w:val="000000" w:themeColor="text1"/>
          <w:szCs w:val="24"/>
          <w:lang w:val="mi-NZ" w:eastAsia="en-NZ"/>
        </w:rPr>
        <w:t>more extensive</w:t>
      </w:r>
      <w:r w:rsidRPr="00282441">
        <w:rPr>
          <w:rFonts w:ascii="Basic Sans Light" w:eastAsia="Times New Roman" w:hAnsi="Basic Sans Light" w:cs="Arial"/>
          <w:color w:val="000000" w:themeColor="text1"/>
          <w:szCs w:val="24"/>
          <w:lang w:val="mi-NZ" w:eastAsia="en-NZ"/>
        </w:rPr>
        <w:t xml:space="preserve"> </w:t>
      </w:r>
      <w:r>
        <w:rPr>
          <w:rFonts w:ascii="Basic Sans Light" w:eastAsia="Times New Roman" w:hAnsi="Basic Sans Light" w:cs="Arial"/>
          <w:color w:val="000000" w:themeColor="text1"/>
          <w:szCs w:val="24"/>
          <w:lang w:val="mi-NZ" w:eastAsia="en-NZ"/>
        </w:rPr>
        <w:t>range</w:t>
      </w:r>
      <w:r w:rsidRPr="00282441">
        <w:rPr>
          <w:rFonts w:ascii="Basic Sans Light" w:eastAsia="Times New Roman" w:hAnsi="Basic Sans Light" w:cs="Arial"/>
          <w:color w:val="000000" w:themeColor="text1"/>
          <w:szCs w:val="24"/>
          <w:lang w:val="mi-NZ" w:eastAsia="en-NZ"/>
        </w:rPr>
        <w:t xml:space="preserve"> of experts to come together as a formal network for our </w:t>
      </w:r>
      <w:r w:rsidR="00385796">
        <w:rPr>
          <w:rFonts w:ascii="Basic Sans Light" w:eastAsia="Times New Roman" w:hAnsi="Basic Sans Light" w:cs="Arial"/>
          <w:color w:val="000000" w:themeColor="text1"/>
          <w:szCs w:val="24"/>
          <w:lang w:val="mi-NZ" w:eastAsia="en-NZ"/>
        </w:rPr>
        <w:t>work</w:t>
      </w:r>
      <w:r w:rsidR="007F38C0">
        <w:rPr>
          <w:rFonts w:ascii="Basic Sans Light" w:eastAsia="Times New Roman" w:hAnsi="Basic Sans Light" w:cs="Arial"/>
          <w:color w:val="000000" w:themeColor="text1"/>
          <w:szCs w:val="24"/>
          <w:lang w:val="mi-NZ" w:eastAsia="en-NZ"/>
        </w:rPr>
        <w:t xml:space="preserve">, but </w:t>
      </w:r>
      <w:r w:rsidRPr="00282441">
        <w:rPr>
          <w:rFonts w:ascii="Basic Sans Light" w:eastAsia="Times New Roman" w:hAnsi="Basic Sans Light" w:cs="Arial"/>
          <w:color w:val="000000" w:themeColor="text1"/>
          <w:szCs w:val="24"/>
          <w:lang w:val="mi-NZ" w:eastAsia="en-NZ"/>
        </w:rPr>
        <w:t>operat</w:t>
      </w:r>
      <w:r w:rsidR="00022B3E">
        <w:rPr>
          <w:rFonts w:ascii="Basic Sans Light" w:eastAsia="Times New Roman" w:hAnsi="Basic Sans Light" w:cs="Arial"/>
          <w:color w:val="000000" w:themeColor="text1"/>
          <w:szCs w:val="24"/>
          <w:lang w:val="mi-NZ" w:eastAsia="en-NZ"/>
        </w:rPr>
        <w:t>ing</w:t>
      </w:r>
      <w:r w:rsidRPr="00282441">
        <w:rPr>
          <w:rFonts w:ascii="Basic Sans Light" w:eastAsia="Times New Roman" w:hAnsi="Basic Sans Light" w:cs="Arial"/>
          <w:color w:val="000000" w:themeColor="text1"/>
          <w:szCs w:val="24"/>
          <w:lang w:val="mi-NZ" w:eastAsia="en-NZ"/>
        </w:rPr>
        <w:t xml:space="preserve"> in a more agile manner that </w:t>
      </w:r>
      <w:r w:rsidR="00022B3E">
        <w:rPr>
          <w:rFonts w:ascii="Basic Sans Light" w:eastAsia="Times New Roman" w:hAnsi="Basic Sans Light" w:cs="Arial"/>
          <w:color w:val="000000" w:themeColor="text1"/>
          <w:szCs w:val="24"/>
          <w:lang w:val="mi-NZ" w:eastAsia="en-NZ"/>
        </w:rPr>
        <w:t>was</w:t>
      </w:r>
      <w:r w:rsidRPr="00282441">
        <w:rPr>
          <w:rFonts w:ascii="Basic Sans Light" w:eastAsia="Times New Roman" w:hAnsi="Basic Sans Light" w:cs="Arial"/>
          <w:color w:val="000000" w:themeColor="text1"/>
          <w:szCs w:val="24"/>
          <w:lang w:val="mi-NZ" w:eastAsia="en-NZ"/>
        </w:rPr>
        <w:t xml:space="preserve"> less time consuming for them.</w:t>
      </w:r>
    </w:p>
    <w:p w14:paraId="771CCB4E" w14:textId="333079AD" w:rsidR="004A4D46" w:rsidRPr="00207D1A" w:rsidRDefault="00243DFE" w:rsidP="004A4D46">
      <w:pPr>
        <w:pStyle w:val="Numberedparagraphs"/>
        <w:spacing w:before="60"/>
        <w:ind w:left="0" w:firstLine="0"/>
        <w:rPr>
          <w:rFonts w:ascii="Basic Sans Light" w:eastAsia="Times New Roman" w:hAnsi="Basic Sans Light" w:cs="Arial"/>
          <w:color w:val="000000" w:themeColor="text1"/>
          <w:szCs w:val="24"/>
          <w:lang w:eastAsia="en-NZ"/>
        </w:rPr>
      </w:pPr>
      <w:r>
        <w:rPr>
          <w:rFonts w:ascii="Basic Sans Light" w:eastAsia="Times New Roman" w:hAnsi="Basic Sans Light" w:cs="Arial"/>
          <w:color w:val="000000" w:themeColor="text1"/>
          <w:szCs w:val="24"/>
          <w:lang w:eastAsia="en-NZ"/>
        </w:rPr>
        <w:t>The</w:t>
      </w:r>
      <w:r w:rsidR="004A4D46">
        <w:rPr>
          <w:rFonts w:ascii="Basic Sans Light" w:eastAsia="Times New Roman" w:hAnsi="Basic Sans Light" w:cs="Arial"/>
          <w:color w:val="000000" w:themeColor="text1"/>
          <w:szCs w:val="24"/>
          <w:lang w:eastAsia="en-NZ"/>
        </w:rPr>
        <w:t xml:space="preserve"> </w:t>
      </w:r>
      <w:r w:rsidR="004A4D46" w:rsidRPr="00207D1A">
        <w:rPr>
          <w:rFonts w:ascii="Basic Sans Light" w:eastAsia="Times New Roman" w:hAnsi="Basic Sans Light" w:cs="Arial"/>
          <w:color w:val="000000" w:themeColor="text1"/>
          <w:szCs w:val="24"/>
          <w:lang w:eastAsia="en-NZ"/>
        </w:rPr>
        <w:t>technical advisory network</w:t>
      </w:r>
      <w:r w:rsidR="004A4D46">
        <w:rPr>
          <w:rFonts w:ascii="Basic Sans Light" w:eastAsia="Times New Roman" w:hAnsi="Basic Sans Light" w:cs="Arial"/>
          <w:color w:val="000000" w:themeColor="text1"/>
          <w:szCs w:val="24"/>
          <w:lang w:eastAsia="en-NZ"/>
        </w:rPr>
        <w:t>, chaired by Sharon Shea,</w:t>
      </w:r>
      <w:r w:rsidR="004A4D46" w:rsidRPr="00207D1A">
        <w:rPr>
          <w:rFonts w:ascii="Basic Sans Light" w:eastAsia="Times New Roman" w:hAnsi="Basic Sans Light" w:cs="Arial"/>
          <w:color w:val="000000" w:themeColor="text1"/>
          <w:szCs w:val="24"/>
          <w:lang w:eastAsia="en-NZ"/>
        </w:rPr>
        <w:t xml:space="preserve"> was established to:</w:t>
      </w:r>
    </w:p>
    <w:p w14:paraId="26B0783B" w14:textId="77777777" w:rsidR="004A4D46" w:rsidRPr="00667028" w:rsidRDefault="004A4D46" w:rsidP="00C8416D">
      <w:pPr>
        <w:pStyle w:val="ListParagraph"/>
        <w:numPr>
          <w:ilvl w:val="0"/>
          <w:numId w:val="24"/>
        </w:numPr>
        <w:suppressAutoHyphens/>
        <w:autoSpaceDE w:val="0"/>
        <w:autoSpaceDN w:val="0"/>
        <w:adjustRightInd w:val="0"/>
        <w:spacing w:before="120" w:after="0"/>
        <w:textAlignment w:val="center"/>
      </w:pPr>
      <w:r w:rsidRPr="00667028">
        <w:t xml:space="preserve">provide advice and expertise on methods, measures, data sources and data gaps </w:t>
      </w:r>
    </w:p>
    <w:p w14:paraId="5B0143E0" w14:textId="5CF7F076" w:rsidR="004A4D46" w:rsidRPr="00667028" w:rsidRDefault="004A4D46" w:rsidP="00C8416D">
      <w:pPr>
        <w:pStyle w:val="ListParagraph"/>
        <w:numPr>
          <w:ilvl w:val="0"/>
          <w:numId w:val="24"/>
        </w:numPr>
        <w:suppressAutoHyphens/>
        <w:autoSpaceDE w:val="0"/>
        <w:autoSpaceDN w:val="0"/>
        <w:adjustRightInd w:val="0"/>
        <w:spacing w:before="120" w:after="0"/>
        <w:textAlignment w:val="center"/>
      </w:pPr>
      <w:r w:rsidRPr="00667028">
        <w:t xml:space="preserve">support the development of a </w:t>
      </w:r>
      <w:r w:rsidR="00D71ED7">
        <w:t>Te Ao M</w:t>
      </w:r>
      <w:r w:rsidRPr="00667028">
        <w:t>āori perspective alongside a shared perspective</w:t>
      </w:r>
    </w:p>
    <w:p w14:paraId="5A95DD69" w14:textId="30B4BBC7" w:rsidR="004A4D46" w:rsidRDefault="004A4D46" w:rsidP="00C8416D">
      <w:pPr>
        <w:pStyle w:val="ListParagraph"/>
        <w:numPr>
          <w:ilvl w:val="0"/>
          <w:numId w:val="24"/>
        </w:numPr>
        <w:suppressAutoHyphens/>
        <w:autoSpaceDE w:val="0"/>
        <w:autoSpaceDN w:val="0"/>
        <w:adjustRightInd w:val="0"/>
        <w:spacing w:before="120" w:after="0"/>
        <w:textAlignment w:val="center"/>
      </w:pPr>
      <w:r w:rsidRPr="00667028">
        <w:t xml:space="preserve">provide a network </w:t>
      </w:r>
      <w:r w:rsidR="00851131">
        <w:t>to</w:t>
      </w:r>
      <w:r w:rsidRPr="00667028">
        <w:t xml:space="preserve"> connect with to sense</w:t>
      </w:r>
      <w:r w:rsidR="00851131">
        <w:t>-</w:t>
      </w:r>
      <w:r w:rsidRPr="00667028">
        <w:t>check some of the data for the 2023 monitoring reporting.</w:t>
      </w:r>
    </w:p>
    <w:p w14:paraId="425BFAB5" w14:textId="53AE18FD" w:rsidR="004A4D46" w:rsidRPr="00282441" w:rsidRDefault="004A4D46" w:rsidP="004A4D46">
      <w:pPr>
        <w:pStyle w:val="Numberedparagraphs"/>
        <w:spacing w:before="60"/>
        <w:ind w:left="0" w:firstLine="0"/>
        <w:rPr>
          <w:rFonts w:ascii="Basic Sans Light" w:eastAsia="Times New Roman" w:hAnsi="Basic Sans Light" w:cs="Arial"/>
          <w:color w:val="000000" w:themeColor="text1"/>
          <w:szCs w:val="24"/>
          <w:lang w:val="mi-NZ" w:eastAsia="en-NZ"/>
        </w:rPr>
      </w:pPr>
      <w:r w:rsidRPr="002A067B">
        <w:rPr>
          <w:rFonts w:ascii="Basic Sans Light" w:eastAsia="Times New Roman" w:hAnsi="Basic Sans Light" w:cs="Arial"/>
          <w:color w:val="000000" w:themeColor="text1"/>
          <w:szCs w:val="24"/>
          <w:lang w:val="en-US" w:eastAsia="en-NZ"/>
        </w:rPr>
        <w:t>Th</w:t>
      </w:r>
      <w:r>
        <w:rPr>
          <w:rFonts w:ascii="Basic Sans Light" w:eastAsia="Times New Roman" w:hAnsi="Basic Sans Light" w:cs="Arial"/>
          <w:color w:val="000000" w:themeColor="text1"/>
          <w:szCs w:val="24"/>
          <w:lang w:val="en-US" w:eastAsia="en-NZ"/>
        </w:rPr>
        <w:t>e TAN</w:t>
      </w:r>
      <w:r w:rsidRPr="002A067B">
        <w:rPr>
          <w:rFonts w:ascii="Basic Sans Light" w:eastAsia="Times New Roman" w:hAnsi="Basic Sans Light" w:cs="Arial"/>
          <w:color w:val="000000" w:themeColor="text1"/>
          <w:szCs w:val="24"/>
          <w:lang w:val="en-US" w:eastAsia="en-NZ"/>
        </w:rPr>
        <w:t xml:space="preserve"> comprised 24 members with wide expertise</w:t>
      </w:r>
      <w:r>
        <w:rPr>
          <w:rFonts w:ascii="Basic Sans Light" w:eastAsia="Times New Roman" w:hAnsi="Basic Sans Light" w:cs="Arial"/>
          <w:color w:val="000000" w:themeColor="text1"/>
          <w:szCs w:val="24"/>
          <w:lang w:val="en-US" w:eastAsia="en-NZ"/>
        </w:rPr>
        <w:t>.</w:t>
      </w:r>
      <w:r w:rsidR="00696585">
        <w:rPr>
          <w:rFonts w:ascii="Basic Sans Light" w:eastAsia="Times New Roman" w:hAnsi="Basic Sans Light" w:cs="Arial"/>
          <w:color w:val="000000" w:themeColor="text1"/>
          <w:szCs w:val="24"/>
          <w:lang w:val="en-US" w:eastAsia="en-NZ"/>
        </w:rPr>
        <w:t xml:space="preserve"> We will add members as needed for new areas of expertise</w:t>
      </w:r>
      <w:r w:rsidR="0045686F">
        <w:rPr>
          <w:rFonts w:ascii="Basic Sans Light" w:eastAsia="Times New Roman" w:hAnsi="Basic Sans Light" w:cs="Arial"/>
          <w:color w:val="000000" w:themeColor="text1"/>
          <w:szCs w:val="24"/>
          <w:lang w:val="en-US" w:eastAsia="en-NZ"/>
        </w:rPr>
        <w:t xml:space="preserve"> in future phases</w:t>
      </w:r>
      <w:r w:rsidR="00696585">
        <w:rPr>
          <w:rFonts w:ascii="Basic Sans Light" w:eastAsia="Times New Roman" w:hAnsi="Basic Sans Light" w:cs="Arial"/>
          <w:color w:val="000000" w:themeColor="text1"/>
          <w:szCs w:val="24"/>
          <w:lang w:val="en-US" w:eastAsia="en-NZ"/>
        </w:rPr>
        <w:t>.</w:t>
      </w:r>
    </w:p>
    <w:p w14:paraId="0865AB79" w14:textId="08F1CE91" w:rsidR="00E92612" w:rsidRDefault="00736EE0" w:rsidP="004A4D46">
      <w:pPr>
        <w:pStyle w:val="Numberedparagraphs"/>
        <w:spacing w:before="60"/>
        <w:ind w:left="0" w:firstLine="0"/>
        <w:rPr>
          <w:rFonts w:ascii="Basic Sans Light" w:eastAsia="Times New Roman" w:hAnsi="Basic Sans Light" w:cs="Arial"/>
          <w:color w:val="000000" w:themeColor="text1"/>
          <w:szCs w:val="24"/>
          <w:lang w:val="mi-NZ" w:eastAsia="en-NZ"/>
        </w:rPr>
      </w:pPr>
      <w:r>
        <w:rPr>
          <w:rFonts w:ascii="Basic Sans Light" w:eastAsia="Times New Roman" w:hAnsi="Basic Sans Light" w:cs="Arial"/>
          <w:color w:val="000000" w:themeColor="text1"/>
          <w:szCs w:val="24"/>
          <w:lang w:val="mi-NZ" w:eastAsia="en-NZ"/>
        </w:rPr>
        <w:t>Te Hiringa Mahara is committed to being an organisation grounded in Te Tiriti o Waitangi</w:t>
      </w:r>
      <w:r w:rsidR="00022B3E">
        <w:rPr>
          <w:rFonts w:ascii="Basic Sans Light" w:eastAsia="Times New Roman" w:hAnsi="Basic Sans Light" w:cs="Arial"/>
          <w:color w:val="000000" w:themeColor="text1"/>
          <w:szCs w:val="24"/>
          <w:lang w:val="mi-NZ" w:eastAsia="en-NZ"/>
        </w:rPr>
        <w:t>.</w:t>
      </w:r>
      <w:r>
        <w:rPr>
          <w:rFonts w:ascii="Basic Sans Light" w:eastAsia="Times New Roman" w:hAnsi="Basic Sans Light" w:cs="Arial"/>
          <w:color w:val="000000" w:themeColor="text1"/>
          <w:szCs w:val="24"/>
          <w:lang w:val="mi-NZ" w:eastAsia="en-NZ"/>
        </w:rPr>
        <w:t xml:space="preserve"> </w:t>
      </w:r>
      <w:r w:rsidR="00022B3E">
        <w:rPr>
          <w:rFonts w:ascii="Basic Sans Light" w:eastAsia="Times New Roman" w:hAnsi="Basic Sans Light" w:cs="Arial"/>
          <w:color w:val="000000" w:themeColor="text1"/>
          <w:szCs w:val="24"/>
          <w:lang w:val="mi-NZ" w:eastAsia="en-NZ"/>
        </w:rPr>
        <w:t>This means acting</w:t>
      </w:r>
      <w:r w:rsidRPr="004C6D75">
        <w:rPr>
          <w:rFonts w:ascii="Basic Sans Light" w:eastAsia="Times New Roman" w:hAnsi="Basic Sans Light" w:cs="Arial"/>
          <w:color w:val="000000" w:themeColor="text1"/>
          <w:szCs w:val="24"/>
          <w:lang w:eastAsia="en-NZ"/>
        </w:rPr>
        <w:t xml:space="preserve"> as authentic partners with tangata whenua through all aspects of our work</w:t>
      </w:r>
      <w:r>
        <w:rPr>
          <w:rFonts w:ascii="Basic Sans Light" w:eastAsia="Times New Roman" w:hAnsi="Basic Sans Light" w:cs="Arial"/>
          <w:color w:val="000000" w:themeColor="text1"/>
          <w:szCs w:val="24"/>
          <w:lang w:eastAsia="en-NZ"/>
        </w:rPr>
        <w:t>.</w:t>
      </w:r>
      <w:r w:rsidR="00777E82">
        <w:rPr>
          <w:rFonts w:ascii="Basic Sans Light" w:eastAsia="Times New Roman" w:hAnsi="Basic Sans Light" w:cs="Arial"/>
          <w:color w:val="000000" w:themeColor="text1"/>
          <w:szCs w:val="24"/>
          <w:lang w:eastAsia="en-NZ"/>
        </w:rPr>
        <w:t xml:space="preserve"> </w:t>
      </w:r>
      <w:r w:rsidR="00022B3E">
        <w:rPr>
          <w:rFonts w:ascii="Basic Sans Light" w:eastAsia="Times New Roman" w:hAnsi="Basic Sans Light" w:cs="Arial"/>
          <w:color w:val="000000" w:themeColor="text1"/>
          <w:szCs w:val="24"/>
          <w:lang w:val="mi-NZ" w:eastAsia="en-NZ"/>
        </w:rPr>
        <w:t>Our</w:t>
      </w:r>
      <w:r w:rsidR="00223326">
        <w:rPr>
          <w:rFonts w:ascii="Basic Sans Light" w:eastAsia="Times New Roman" w:hAnsi="Basic Sans Light" w:cs="Arial"/>
          <w:color w:val="000000" w:themeColor="text1"/>
          <w:szCs w:val="24"/>
          <w:lang w:val="mi-NZ" w:eastAsia="en-NZ"/>
        </w:rPr>
        <w:t xml:space="preserve"> TAN</w:t>
      </w:r>
      <w:r w:rsidR="007138EF">
        <w:rPr>
          <w:rFonts w:ascii="Basic Sans Light" w:eastAsia="Times New Roman" w:hAnsi="Basic Sans Light" w:cs="Arial"/>
          <w:color w:val="000000" w:themeColor="text1"/>
          <w:szCs w:val="24"/>
          <w:lang w:val="mi-NZ" w:eastAsia="en-NZ"/>
        </w:rPr>
        <w:t xml:space="preserve"> approach </w:t>
      </w:r>
      <w:r w:rsidR="009237F2">
        <w:rPr>
          <w:rFonts w:ascii="Basic Sans Light" w:eastAsia="Times New Roman" w:hAnsi="Basic Sans Light" w:cs="Arial"/>
          <w:color w:val="000000" w:themeColor="text1"/>
          <w:szCs w:val="24"/>
          <w:lang w:val="mi-NZ" w:eastAsia="en-NZ"/>
        </w:rPr>
        <w:t>enables</w:t>
      </w:r>
      <w:r w:rsidR="004A4D46">
        <w:rPr>
          <w:rFonts w:ascii="Basic Sans Light" w:eastAsia="Times New Roman" w:hAnsi="Basic Sans Light" w:cs="Arial"/>
          <w:color w:val="000000" w:themeColor="text1"/>
          <w:szCs w:val="24"/>
          <w:lang w:val="mi-NZ" w:eastAsia="en-NZ"/>
        </w:rPr>
        <w:t xml:space="preserve"> </w:t>
      </w:r>
      <w:r w:rsidR="004A4D46" w:rsidRPr="00282441">
        <w:rPr>
          <w:rFonts w:ascii="Basic Sans Light" w:eastAsia="Times New Roman" w:hAnsi="Basic Sans Light" w:cs="Arial"/>
          <w:color w:val="000000" w:themeColor="text1"/>
          <w:szCs w:val="24"/>
          <w:lang w:val="mi-NZ" w:eastAsia="en-NZ"/>
        </w:rPr>
        <w:t xml:space="preserve">a Māori roopū from within the TAN to </w:t>
      </w:r>
      <w:r w:rsidR="00F2335C">
        <w:rPr>
          <w:rFonts w:ascii="Basic Sans Light" w:eastAsia="Times New Roman" w:hAnsi="Basic Sans Light" w:cs="Arial"/>
          <w:color w:val="000000" w:themeColor="text1"/>
          <w:szCs w:val="24"/>
          <w:lang w:val="mi-NZ" w:eastAsia="en-NZ"/>
        </w:rPr>
        <w:t xml:space="preserve">meet and </w:t>
      </w:r>
      <w:r w:rsidR="004A4D46" w:rsidRPr="00282441">
        <w:rPr>
          <w:rFonts w:ascii="Basic Sans Light" w:eastAsia="Times New Roman" w:hAnsi="Basic Sans Light" w:cs="Arial"/>
          <w:color w:val="000000" w:themeColor="text1"/>
          <w:szCs w:val="24"/>
          <w:lang w:val="mi-NZ" w:eastAsia="en-NZ"/>
        </w:rPr>
        <w:t xml:space="preserve">develop the methods and measures for the </w:t>
      </w:r>
      <w:r w:rsidR="00D71ED7">
        <w:rPr>
          <w:rFonts w:ascii="Basic Sans Light" w:eastAsia="Times New Roman" w:hAnsi="Basic Sans Light" w:cs="Arial"/>
          <w:color w:val="000000" w:themeColor="text1"/>
          <w:szCs w:val="24"/>
          <w:lang w:val="mi-NZ" w:eastAsia="en-NZ"/>
        </w:rPr>
        <w:t>Te Ao M</w:t>
      </w:r>
      <w:r w:rsidR="004A4D46" w:rsidRPr="00282441">
        <w:rPr>
          <w:rFonts w:ascii="Basic Sans Light" w:eastAsia="Times New Roman" w:hAnsi="Basic Sans Light" w:cs="Arial"/>
          <w:color w:val="000000" w:themeColor="text1"/>
          <w:szCs w:val="24"/>
          <w:lang w:val="mi-NZ" w:eastAsia="en-NZ"/>
        </w:rPr>
        <w:t>āori perspective</w:t>
      </w:r>
      <w:r w:rsidR="00D02B6E">
        <w:rPr>
          <w:rFonts w:ascii="Basic Sans Light" w:eastAsia="Times New Roman" w:hAnsi="Basic Sans Light" w:cs="Arial"/>
          <w:color w:val="000000" w:themeColor="text1"/>
          <w:szCs w:val="24"/>
          <w:lang w:val="mi-NZ" w:eastAsia="en-NZ"/>
        </w:rPr>
        <w:t xml:space="preserve">. </w:t>
      </w:r>
      <w:r w:rsidR="00841440" w:rsidRPr="00841440">
        <w:rPr>
          <w:rFonts w:ascii="Basic Sans Light" w:eastAsia="Times New Roman" w:hAnsi="Basic Sans Light" w:cs="Arial"/>
          <w:color w:val="000000" w:themeColor="text1"/>
          <w:szCs w:val="24"/>
          <w:lang w:val="mi-NZ" w:eastAsia="en-NZ"/>
        </w:rPr>
        <w:t xml:space="preserve">This </w:t>
      </w:r>
      <w:r w:rsidR="00022B3E">
        <w:rPr>
          <w:rFonts w:ascii="Basic Sans Light" w:eastAsia="Times New Roman" w:hAnsi="Basic Sans Light" w:cs="Arial"/>
          <w:color w:val="000000" w:themeColor="text1"/>
          <w:szCs w:val="24"/>
          <w:lang w:val="mi-NZ" w:eastAsia="en-NZ"/>
        </w:rPr>
        <w:lastRenderedPageBreak/>
        <w:t>m</w:t>
      </w:r>
      <w:r w:rsidR="00841440" w:rsidRPr="00841440">
        <w:rPr>
          <w:rFonts w:ascii="Basic Sans Light" w:eastAsia="Times New Roman" w:hAnsi="Basic Sans Light" w:cs="Arial"/>
          <w:color w:val="000000" w:themeColor="text1"/>
          <w:szCs w:val="24"/>
          <w:lang w:val="mi-NZ" w:eastAsia="en-NZ"/>
        </w:rPr>
        <w:t xml:space="preserve">ana </w:t>
      </w:r>
      <w:r w:rsidR="00C47A79">
        <w:rPr>
          <w:rFonts w:ascii="Basic Sans Light" w:eastAsia="Times New Roman" w:hAnsi="Basic Sans Light" w:cs="Arial"/>
          <w:color w:val="000000" w:themeColor="text1"/>
          <w:szCs w:val="24"/>
          <w:lang w:val="mi-NZ" w:eastAsia="en-NZ"/>
        </w:rPr>
        <w:t>m</w:t>
      </w:r>
      <w:r w:rsidR="00841440" w:rsidRPr="00841440">
        <w:rPr>
          <w:rFonts w:ascii="Basic Sans Light" w:eastAsia="Times New Roman" w:hAnsi="Basic Sans Light" w:cs="Arial"/>
          <w:color w:val="000000" w:themeColor="text1"/>
          <w:szCs w:val="24"/>
          <w:lang w:val="mi-NZ" w:eastAsia="en-NZ"/>
        </w:rPr>
        <w:t xml:space="preserve">otuhake, </w:t>
      </w:r>
      <w:r w:rsidR="009E418D">
        <w:rPr>
          <w:rFonts w:ascii="Basic Sans Light" w:eastAsia="Times New Roman" w:hAnsi="Basic Sans Light" w:cs="Arial"/>
          <w:color w:val="000000" w:themeColor="text1"/>
          <w:szCs w:val="24"/>
          <w:lang w:val="mi-NZ" w:eastAsia="en-NZ"/>
        </w:rPr>
        <w:t>s</w:t>
      </w:r>
      <w:r w:rsidR="00841440" w:rsidRPr="00841440">
        <w:rPr>
          <w:rFonts w:ascii="Basic Sans Light" w:eastAsia="Times New Roman" w:hAnsi="Basic Sans Light" w:cs="Arial"/>
          <w:color w:val="000000" w:themeColor="text1"/>
          <w:szCs w:val="24"/>
          <w:lang w:val="mi-NZ" w:eastAsia="en-NZ"/>
        </w:rPr>
        <w:t xml:space="preserve">elf </w:t>
      </w:r>
      <w:r w:rsidR="009E418D">
        <w:rPr>
          <w:rFonts w:ascii="Basic Sans Light" w:eastAsia="Times New Roman" w:hAnsi="Basic Sans Light" w:cs="Arial"/>
          <w:color w:val="000000" w:themeColor="text1"/>
          <w:szCs w:val="24"/>
          <w:lang w:val="mi-NZ" w:eastAsia="en-NZ"/>
        </w:rPr>
        <w:t>d</w:t>
      </w:r>
      <w:r w:rsidR="00841440" w:rsidRPr="00841440">
        <w:rPr>
          <w:rFonts w:ascii="Basic Sans Light" w:eastAsia="Times New Roman" w:hAnsi="Basic Sans Light" w:cs="Arial"/>
          <w:color w:val="000000" w:themeColor="text1"/>
          <w:szCs w:val="24"/>
          <w:lang w:val="mi-NZ" w:eastAsia="en-NZ"/>
        </w:rPr>
        <w:t>etermination process</w:t>
      </w:r>
      <w:r w:rsidR="007958F9">
        <w:rPr>
          <w:rFonts w:ascii="Basic Sans Light" w:eastAsia="Times New Roman" w:hAnsi="Basic Sans Light" w:cs="Arial"/>
          <w:color w:val="000000" w:themeColor="text1"/>
          <w:szCs w:val="24"/>
          <w:lang w:val="mi-NZ" w:eastAsia="en-NZ"/>
        </w:rPr>
        <w:t>,</w:t>
      </w:r>
      <w:r w:rsidR="00841440" w:rsidRPr="00841440">
        <w:rPr>
          <w:rFonts w:ascii="Basic Sans Light" w:eastAsia="Times New Roman" w:hAnsi="Basic Sans Light" w:cs="Arial"/>
          <w:color w:val="000000" w:themeColor="text1"/>
          <w:szCs w:val="24"/>
          <w:lang w:val="mi-NZ" w:eastAsia="en-NZ"/>
        </w:rPr>
        <w:t xml:space="preserve"> </w:t>
      </w:r>
      <w:r w:rsidR="00FE3E39">
        <w:rPr>
          <w:rFonts w:ascii="Basic Sans Light" w:eastAsia="Times New Roman" w:hAnsi="Basic Sans Light" w:cs="Arial"/>
          <w:color w:val="000000" w:themeColor="text1"/>
          <w:szCs w:val="24"/>
          <w:lang w:val="mi-NZ" w:eastAsia="en-NZ"/>
        </w:rPr>
        <w:t>allows</w:t>
      </w:r>
      <w:r w:rsidR="00841440" w:rsidRPr="00841440">
        <w:rPr>
          <w:rFonts w:ascii="Basic Sans Light" w:eastAsia="Times New Roman" w:hAnsi="Basic Sans Light" w:cs="Arial"/>
          <w:color w:val="000000" w:themeColor="text1"/>
          <w:szCs w:val="24"/>
          <w:lang w:val="mi-NZ" w:eastAsia="en-NZ"/>
        </w:rPr>
        <w:t xml:space="preserve"> Māori to lead the development of a system to monitor desirable </w:t>
      </w:r>
      <w:r w:rsidR="00251244">
        <w:rPr>
          <w:rFonts w:ascii="Basic Sans Light" w:eastAsia="Times New Roman" w:hAnsi="Basic Sans Light" w:cs="Arial"/>
          <w:color w:val="000000" w:themeColor="text1"/>
          <w:szCs w:val="24"/>
          <w:lang w:val="mi-NZ" w:eastAsia="en-NZ"/>
        </w:rPr>
        <w:t>o</w:t>
      </w:r>
      <w:r w:rsidR="00841440" w:rsidRPr="00841440">
        <w:rPr>
          <w:rFonts w:ascii="Basic Sans Light" w:eastAsia="Times New Roman" w:hAnsi="Basic Sans Light" w:cs="Arial"/>
          <w:color w:val="000000" w:themeColor="text1"/>
          <w:szCs w:val="24"/>
          <w:lang w:val="mi-NZ" w:eastAsia="en-NZ"/>
        </w:rPr>
        <w:t>ranga</w:t>
      </w:r>
      <w:r w:rsidR="00B033E4">
        <w:rPr>
          <w:rFonts w:ascii="Basic Sans Light" w:eastAsia="Times New Roman" w:hAnsi="Basic Sans Light" w:cs="Arial"/>
          <w:color w:val="000000" w:themeColor="text1"/>
          <w:szCs w:val="24"/>
          <w:lang w:val="mi-NZ" w:eastAsia="en-NZ"/>
        </w:rPr>
        <w:t xml:space="preserve"> (wellbeing)</w:t>
      </w:r>
      <w:r w:rsidR="00841440" w:rsidRPr="00841440">
        <w:rPr>
          <w:rFonts w:ascii="Basic Sans Light" w:eastAsia="Times New Roman" w:hAnsi="Basic Sans Light" w:cs="Arial"/>
          <w:color w:val="000000" w:themeColor="text1"/>
          <w:szCs w:val="24"/>
          <w:lang w:val="mi-NZ" w:eastAsia="en-NZ"/>
        </w:rPr>
        <w:t xml:space="preserve"> outcomes for Māori</w:t>
      </w:r>
      <w:r w:rsidR="00143BF7">
        <w:rPr>
          <w:rFonts w:ascii="Basic Sans Light" w:eastAsia="Times New Roman" w:hAnsi="Basic Sans Light" w:cs="Arial"/>
          <w:color w:val="000000" w:themeColor="text1"/>
          <w:szCs w:val="24"/>
          <w:lang w:val="mi-NZ" w:eastAsia="en-NZ"/>
        </w:rPr>
        <w:t>.</w:t>
      </w:r>
      <w:r w:rsidR="00841440" w:rsidRPr="00841440">
        <w:rPr>
          <w:rFonts w:ascii="Basic Sans Light" w:eastAsia="Times New Roman" w:hAnsi="Basic Sans Light" w:cs="Arial"/>
          <w:color w:val="000000" w:themeColor="text1"/>
          <w:szCs w:val="24"/>
          <w:lang w:val="mi-NZ" w:eastAsia="en-NZ"/>
        </w:rPr>
        <w:t xml:space="preserve"> </w:t>
      </w:r>
    </w:p>
    <w:p w14:paraId="48A2E8D2" w14:textId="34067564" w:rsidR="008A1121" w:rsidRDefault="00CA7E04" w:rsidP="00A6308D">
      <w:pPr>
        <w:pStyle w:val="Numberedparagraphs"/>
        <w:spacing w:before="60"/>
        <w:ind w:left="0" w:firstLine="0"/>
        <w:rPr>
          <w:rFonts w:ascii="Basic Sans Light" w:eastAsia="Times New Roman" w:hAnsi="Basic Sans Light" w:cs="Arial"/>
          <w:color w:val="000000" w:themeColor="text1"/>
          <w:szCs w:val="24"/>
          <w:lang w:val="mi-NZ" w:eastAsia="en-NZ"/>
        </w:rPr>
      </w:pPr>
      <w:r>
        <w:rPr>
          <w:rFonts w:ascii="Basic Sans Light" w:eastAsia="Times New Roman" w:hAnsi="Basic Sans Light" w:cs="Arial"/>
          <w:color w:val="000000" w:themeColor="text1"/>
          <w:szCs w:val="24"/>
          <w:lang w:eastAsia="en-NZ"/>
        </w:rPr>
        <w:t>Te Hiringa Mahara is</w:t>
      </w:r>
      <w:r w:rsidR="00FB3FF8" w:rsidRPr="00FB3FF8">
        <w:rPr>
          <w:rFonts w:ascii="Basic Sans Light" w:eastAsia="Times New Roman" w:hAnsi="Basic Sans Light" w:cs="Arial"/>
          <w:color w:val="000000" w:themeColor="text1"/>
          <w:szCs w:val="24"/>
          <w:lang w:eastAsia="en-NZ"/>
        </w:rPr>
        <w:t xml:space="preserve"> </w:t>
      </w:r>
      <w:r w:rsidR="00FB3FF8">
        <w:rPr>
          <w:rFonts w:ascii="Basic Sans Light" w:eastAsia="Times New Roman" w:hAnsi="Basic Sans Light" w:cs="Arial"/>
          <w:color w:val="000000" w:themeColor="text1"/>
          <w:szCs w:val="24"/>
          <w:lang w:eastAsia="en-NZ"/>
        </w:rPr>
        <w:t xml:space="preserve">also </w:t>
      </w:r>
      <w:r w:rsidR="00FB3FF8" w:rsidRPr="00FB3FF8">
        <w:rPr>
          <w:rFonts w:ascii="Basic Sans Light" w:eastAsia="Times New Roman" w:hAnsi="Basic Sans Light" w:cs="Arial"/>
          <w:color w:val="000000" w:themeColor="text1"/>
          <w:szCs w:val="24"/>
          <w:lang w:eastAsia="en-NZ"/>
        </w:rPr>
        <w:t xml:space="preserve">committed to </w:t>
      </w:r>
      <w:r w:rsidR="00B249E5" w:rsidRPr="00B249E5">
        <w:rPr>
          <w:rFonts w:ascii="Basic Sans Light" w:eastAsia="Times New Roman" w:hAnsi="Basic Sans Light" w:cs="Arial"/>
          <w:color w:val="000000" w:themeColor="text1"/>
          <w:szCs w:val="24"/>
          <w:lang w:eastAsia="en-NZ"/>
        </w:rPr>
        <w:t>prioritis</w:t>
      </w:r>
      <w:r w:rsidR="00B249E5">
        <w:rPr>
          <w:rFonts w:ascii="Basic Sans Light" w:eastAsia="Times New Roman" w:hAnsi="Basic Sans Light" w:cs="Arial"/>
          <w:color w:val="000000" w:themeColor="text1"/>
          <w:szCs w:val="24"/>
          <w:lang w:eastAsia="en-NZ"/>
        </w:rPr>
        <w:t>ing</w:t>
      </w:r>
      <w:r w:rsidR="00B249E5" w:rsidRPr="00B249E5">
        <w:rPr>
          <w:rFonts w:ascii="Basic Sans Light" w:eastAsia="Times New Roman" w:hAnsi="Basic Sans Light" w:cs="Arial"/>
          <w:color w:val="000000" w:themeColor="text1"/>
          <w:szCs w:val="24"/>
          <w:lang w:eastAsia="en-NZ"/>
        </w:rPr>
        <w:t xml:space="preserve"> the voices and interests of people who experience mental distress, substance harm, gambling harm or addiction</w:t>
      </w:r>
      <w:r w:rsidR="00FB3FF8" w:rsidRPr="00FB3FF8">
        <w:rPr>
          <w:rFonts w:ascii="Basic Sans Light" w:eastAsia="Times New Roman" w:hAnsi="Basic Sans Light" w:cs="Arial"/>
          <w:color w:val="000000" w:themeColor="text1"/>
          <w:szCs w:val="24"/>
          <w:lang w:eastAsia="en-NZ"/>
        </w:rPr>
        <w:t>.</w:t>
      </w:r>
      <w:r w:rsidR="00FB3FF8">
        <w:rPr>
          <w:rFonts w:ascii="Basic Sans Light" w:eastAsia="Times New Roman" w:hAnsi="Basic Sans Light" w:cs="Arial"/>
          <w:color w:val="000000" w:themeColor="text1"/>
          <w:szCs w:val="24"/>
          <w:lang w:eastAsia="en-NZ"/>
        </w:rPr>
        <w:t xml:space="preserve"> </w:t>
      </w:r>
      <w:r w:rsidR="004A4D46">
        <w:rPr>
          <w:rFonts w:ascii="Basic Sans Light" w:eastAsia="Times New Roman" w:hAnsi="Basic Sans Light" w:cs="Arial"/>
          <w:color w:val="000000" w:themeColor="text1"/>
          <w:szCs w:val="24"/>
          <w:lang w:val="mi-NZ" w:eastAsia="en-NZ"/>
        </w:rPr>
        <w:t xml:space="preserve">The </w:t>
      </w:r>
      <w:r w:rsidR="0000263A">
        <w:rPr>
          <w:rFonts w:ascii="Basic Sans Light" w:eastAsia="Times New Roman" w:hAnsi="Basic Sans Light" w:cs="Arial"/>
          <w:color w:val="000000" w:themeColor="text1"/>
          <w:szCs w:val="24"/>
          <w:lang w:val="mi-NZ" w:eastAsia="en-NZ"/>
        </w:rPr>
        <w:t>TAN</w:t>
      </w:r>
      <w:r w:rsidR="00251244">
        <w:rPr>
          <w:rFonts w:ascii="Basic Sans Light" w:eastAsia="Times New Roman" w:hAnsi="Basic Sans Light" w:cs="Arial"/>
          <w:color w:val="000000" w:themeColor="text1"/>
          <w:szCs w:val="24"/>
          <w:lang w:val="mi-NZ" w:eastAsia="en-NZ"/>
        </w:rPr>
        <w:t xml:space="preserve"> approach</w:t>
      </w:r>
      <w:r w:rsidR="004A4D46">
        <w:rPr>
          <w:rFonts w:ascii="Basic Sans Light" w:eastAsia="Times New Roman" w:hAnsi="Basic Sans Light" w:cs="Arial"/>
          <w:color w:val="000000" w:themeColor="text1"/>
          <w:szCs w:val="24"/>
          <w:lang w:val="mi-NZ" w:eastAsia="en-NZ"/>
        </w:rPr>
        <w:t xml:space="preserve"> </w:t>
      </w:r>
      <w:r w:rsidR="009770F6">
        <w:rPr>
          <w:rFonts w:ascii="Basic Sans Light" w:eastAsia="Times New Roman" w:hAnsi="Basic Sans Light" w:cs="Arial"/>
          <w:color w:val="000000" w:themeColor="text1"/>
          <w:szCs w:val="24"/>
          <w:lang w:val="mi-NZ" w:eastAsia="en-NZ"/>
        </w:rPr>
        <w:t>enables</w:t>
      </w:r>
      <w:r w:rsidR="004A4D46">
        <w:rPr>
          <w:rFonts w:ascii="Basic Sans Light" w:eastAsia="Times New Roman" w:hAnsi="Basic Sans Light" w:cs="Arial"/>
          <w:color w:val="000000" w:themeColor="text1"/>
          <w:szCs w:val="24"/>
          <w:lang w:val="mi-NZ" w:eastAsia="en-NZ"/>
        </w:rPr>
        <w:t xml:space="preserve"> a </w:t>
      </w:r>
      <w:r w:rsidR="00251244">
        <w:rPr>
          <w:rFonts w:ascii="Basic Sans Light" w:eastAsia="Times New Roman" w:hAnsi="Basic Sans Light" w:cs="Arial"/>
          <w:color w:val="000000" w:themeColor="text1"/>
          <w:szCs w:val="24"/>
          <w:lang w:val="mi-NZ" w:eastAsia="en-NZ"/>
        </w:rPr>
        <w:t>l</w:t>
      </w:r>
      <w:r w:rsidR="004A4D46">
        <w:rPr>
          <w:rFonts w:ascii="Basic Sans Light" w:eastAsia="Times New Roman" w:hAnsi="Basic Sans Light" w:cs="Arial"/>
          <w:color w:val="000000" w:themeColor="text1"/>
          <w:szCs w:val="24"/>
          <w:lang w:val="mi-NZ" w:eastAsia="en-NZ"/>
        </w:rPr>
        <w:t>ived experience group to meet and focus on what’s important for people with lived experience.</w:t>
      </w:r>
    </w:p>
    <w:p w14:paraId="1FD30ED9" w14:textId="77777777" w:rsidR="00DF23E6" w:rsidRDefault="00DF23E6">
      <w:pPr>
        <w:spacing w:line="259" w:lineRule="auto"/>
        <w:rPr>
          <w:rFonts w:ascii="Basic Sans" w:eastAsiaTheme="majorEastAsia" w:hAnsi="Basic Sans" w:cstheme="majorBidi"/>
          <w:color w:val="005E85"/>
          <w:sz w:val="32"/>
          <w:szCs w:val="26"/>
        </w:rPr>
      </w:pPr>
      <w:bookmarkStart w:id="6" w:name="_Creating_a_common"/>
      <w:bookmarkEnd w:id="6"/>
      <w:r>
        <w:br w:type="page"/>
      </w:r>
    </w:p>
    <w:p w14:paraId="60B2457C" w14:textId="022E8F38" w:rsidR="00436BFD" w:rsidRPr="000627C6" w:rsidRDefault="0022448C" w:rsidP="000627C6">
      <w:pPr>
        <w:pStyle w:val="Heading1"/>
        <w:rPr>
          <w:sz w:val="56"/>
          <w:szCs w:val="56"/>
        </w:rPr>
      </w:pPr>
      <w:bookmarkStart w:id="7" w:name="_Toc135392319"/>
      <w:r w:rsidRPr="000627C6">
        <w:rPr>
          <w:sz w:val="56"/>
          <w:szCs w:val="56"/>
        </w:rPr>
        <w:lastRenderedPageBreak/>
        <w:t xml:space="preserve">Phase 1 shortlist </w:t>
      </w:r>
      <w:r w:rsidR="008F14C1">
        <w:rPr>
          <w:sz w:val="56"/>
          <w:szCs w:val="56"/>
        </w:rPr>
        <w:t>process</w:t>
      </w:r>
      <w:bookmarkEnd w:id="7"/>
    </w:p>
    <w:p w14:paraId="3FEBFFC8" w14:textId="77777777" w:rsidR="00B17380" w:rsidRPr="00F04695" w:rsidRDefault="00B17380" w:rsidP="00B17380">
      <w:pPr>
        <w:pStyle w:val="Heading2"/>
        <w:rPr>
          <w:bCs/>
          <w:lang w:val="en-US"/>
        </w:rPr>
      </w:pPr>
      <w:bookmarkStart w:id="8" w:name="_Toc54257966"/>
      <w:bookmarkStart w:id="9" w:name="_Toc62801253"/>
      <w:bookmarkStart w:id="10" w:name="_Toc72771654"/>
      <w:r w:rsidRPr="00F04695">
        <w:rPr>
          <w:bCs/>
          <w:lang w:val="en-US"/>
        </w:rPr>
        <w:t>Overarching approach</w:t>
      </w:r>
      <w:bookmarkEnd w:id="8"/>
      <w:bookmarkEnd w:id="9"/>
      <w:bookmarkEnd w:id="10"/>
    </w:p>
    <w:p w14:paraId="174144F3" w14:textId="7C8AADCA" w:rsidR="005B448A" w:rsidRDefault="00B17380" w:rsidP="00B17380">
      <w:pPr>
        <w:rPr>
          <w:lang w:val="en-US"/>
        </w:rPr>
      </w:pPr>
      <w:r w:rsidRPr="00B17380">
        <w:rPr>
          <w:lang w:val="en-US"/>
        </w:rPr>
        <w:t>A stepped</w:t>
      </w:r>
      <w:r w:rsidR="00400752">
        <w:rPr>
          <w:rStyle w:val="FootnoteReference"/>
          <w:lang w:val="en-US"/>
        </w:rPr>
        <w:footnoteReference w:id="4"/>
      </w:r>
      <w:r w:rsidRPr="00B17380">
        <w:rPr>
          <w:lang w:val="en-US"/>
        </w:rPr>
        <w:t xml:space="preserve"> approach was used to develop the data suite </w:t>
      </w:r>
      <w:r w:rsidR="003B573A">
        <w:rPr>
          <w:lang w:val="en-US"/>
        </w:rPr>
        <w:t>for Phase 1</w:t>
      </w:r>
      <w:r w:rsidR="00007D0A">
        <w:rPr>
          <w:lang w:val="en-US"/>
        </w:rPr>
        <w:t xml:space="preserve"> of He Ara </w:t>
      </w:r>
      <w:r w:rsidR="00007D0A">
        <w:rPr>
          <w:lang w:val="mi-NZ"/>
        </w:rPr>
        <w:t>Āwhina</w:t>
      </w:r>
      <w:r w:rsidR="00757996">
        <w:rPr>
          <w:lang w:val="mi-NZ"/>
        </w:rPr>
        <w:t xml:space="preserve"> methods and measures</w:t>
      </w:r>
      <w:r w:rsidR="003B573A">
        <w:rPr>
          <w:lang w:val="en-US"/>
        </w:rPr>
        <w:t>.</w:t>
      </w:r>
      <w:r w:rsidR="0032264B">
        <w:rPr>
          <w:lang w:val="en-US"/>
        </w:rPr>
        <w:t xml:space="preserve"> These steps are fully explained in </w:t>
      </w:r>
      <w:hyperlink w:anchor="_Appendix_1:_Phase" w:history="1">
        <w:r w:rsidR="0032264B" w:rsidRPr="00FC1937">
          <w:rPr>
            <w:rStyle w:val="Hyperlink"/>
            <w:u w:val="none"/>
            <w:lang w:val="en-US"/>
          </w:rPr>
          <w:t xml:space="preserve">Appendix </w:t>
        </w:r>
        <w:r w:rsidR="00F05BC5" w:rsidRPr="00FC1937">
          <w:rPr>
            <w:rStyle w:val="Hyperlink"/>
            <w:u w:val="none"/>
            <w:lang w:val="en-US"/>
          </w:rPr>
          <w:t>1</w:t>
        </w:r>
      </w:hyperlink>
      <w:r w:rsidR="0032264B" w:rsidRPr="00FC1937">
        <w:rPr>
          <w:lang w:val="en-US"/>
        </w:rPr>
        <w:t>.</w:t>
      </w:r>
    </w:p>
    <w:p w14:paraId="4A21CFEF" w14:textId="6A425662" w:rsidR="003B573A" w:rsidRDefault="00E11ECD" w:rsidP="00B17380">
      <w:r w:rsidRPr="00E11ECD">
        <w:rPr>
          <w:noProof/>
        </w:rPr>
        <w:drawing>
          <wp:inline distT="0" distB="0" distL="0" distR="0" wp14:anchorId="0DF8E5B7" wp14:editId="7DF22D3C">
            <wp:extent cx="6338888" cy="3829050"/>
            <wp:effectExtent l="0" t="0" r="0" b="38100"/>
            <wp:docPr id="5" name="Diagram 5">
              <a:extLst xmlns:a="http://schemas.openxmlformats.org/drawingml/2006/main">
                <a:ext uri="{FF2B5EF4-FFF2-40B4-BE49-F238E27FC236}">
                  <a16:creationId xmlns:a16="http://schemas.microsoft.com/office/drawing/2014/main" id="{AD7729F2-5E64-4D05-AECD-034DECF63BD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00951FC" w14:textId="6BA8CA35" w:rsidR="00350D89" w:rsidRDefault="00BB46CA" w:rsidP="00890064">
      <w:pPr>
        <w:pStyle w:val="Heading2"/>
      </w:pPr>
      <w:r>
        <w:t>What we have now</w:t>
      </w:r>
    </w:p>
    <w:p w14:paraId="133DA8A8" w14:textId="6B4C319A" w:rsidR="00737A0A" w:rsidRDefault="00F4140B" w:rsidP="00737A0A">
      <w:pPr>
        <w:pStyle w:val="Heading3"/>
      </w:pPr>
      <w:r>
        <w:t>Longlist</w:t>
      </w:r>
    </w:p>
    <w:p w14:paraId="59841AAB" w14:textId="5EBB10D8" w:rsidR="00262F7F" w:rsidRDefault="00236A80" w:rsidP="00262F7F">
      <w:r>
        <w:t>The result of this process is that we have a</w:t>
      </w:r>
      <w:r w:rsidRPr="00236A80">
        <w:t xml:space="preserve"> </w:t>
      </w:r>
      <w:r w:rsidR="002A4D7A">
        <w:t xml:space="preserve">rich </w:t>
      </w:r>
      <w:r w:rsidRPr="00236A80">
        <w:t>measures library of information – a living file (including secondary qualitative sources) for future reporting purposes.</w:t>
      </w:r>
      <w:r w:rsidR="00720BDB">
        <w:t xml:space="preserve"> A</w:t>
      </w:r>
      <w:r w:rsidR="00F676D6">
        <w:t>s of December 2022</w:t>
      </w:r>
      <w:r w:rsidR="00893993">
        <w:t>,</w:t>
      </w:r>
      <w:r w:rsidR="00F676D6">
        <w:t xml:space="preserve"> there are </w:t>
      </w:r>
      <w:r w:rsidR="00354AA6">
        <w:t>951</w:t>
      </w:r>
      <w:r w:rsidR="00F676D6">
        <w:t xml:space="preserve"> measures</w:t>
      </w:r>
      <w:r w:rsidR="00354AA6">
        <w:t xml:space="preserve"> </w:t>
      </w:r>
      <w:r w:rsidR="00893993">
        <w:t>in the ‘</w:t>
      </w:r>
      <w:r w:rsidR="00F4140B">
        <w:t>longlist</w:t>
      </w:r>
      <w:r w:rsidR="00893993">
        <w:t xml:space="preserve">’ </w:t>
      </w:r>
      <w:r w:rsidR="00354AA6">
        <w:t>(118 qualitative and 833 quantitative)</w:t>
      </w:r>
      <w:r w:rsidR="007B62E1">
        <w:t>, including</w:t>
      </w:r>
      <w:r w:rsidR="007B62E1" w:rsidRPr="007B62E1">
        <w:rPr>
          <w:rFonts w:ascii="Segoe UI" w:hAnsi="Segoe UI" w:cs="Segoe UI"/>
          <w:color w:val="242424"/>
          <w:sz w:val="21"/>
          <w:szCs w:val="21"/>
          <w:shd w:val="clear" w:color="auto" w:fill="FFFFFF"/>
        </w:rPr>
        <w:t xml:space="preserve"> </w:t>
      </w:r>
      <w:r w:rsidR="007B62E1" w:rsidRPr="007B62E1">
        <w:t xml:space="preserve">58 possible </w:t>
      </w:r>
      <w:r w:rsidR="007B62E1">
        <w:t>tāngata whaiora outcome measures</w:t>
      </w:r>
      <w:r w:rsidR="007B62E1" w:rsidRPr="007B62E1">
        <w:t xml:space="preserve"> aligned to H</w:t>
      </w:r>
      <w:r w:rsidR="00E41AB8">
        <w:t xml:space="preserve">e </w:t>
      </w:r>
      <w:r w:rsidR="007B62E1" w:rsidRPr="007B62E1">
        <w:t>A</w:t>
      </w:r>
      <w:r w:rsidR="00E41AB8">
        <w:t>ra Āwhina</w:t>
      </w:r>
      <w:r w:rsidR="007B62E1" w:rsidRPr="007B62E1">
        <w:t xml:space="preserve"> and a further 51 aligned to H</w:t>
      </w:r>
      <w:r w:rsidR="00E41AB8">
        <w:t xml:space="preserve">e </w:t>
      </w:r>
      <w:r w:rsidR="007B62E1" w:rsidRPr="007B62E1">
        <w:t>A</w:t>
      </w:r>
      <w:r w:rsidR="00E41AB8">
        <w:t xml:space="preserve">ra </w:t>
      </w:r>
      <w:r w:rsidR="007B62E1" w:rsidRPr="007B62E1">
        <w:t>O</w:t>
      </w:r>
      <w:r w:rsidR="00E41AB8">
        <w:t>ranga</w:t>
      </w:r>
      <w:r w:rsidR="00EA55D3">
        <w:t>,</w:t>
      </w:r>
      <w:r w:rsidR="00354AA6">
        <w:t xml:space="preserve"> from over 170 data sources.</w:t>
      </w:r>
    </w:p>
    <w:p w14:paraId="1F6A3CC6" w14:textId="4F391502" w:rsidR="00737A0A" w:rsidRDefault="00737A0A" w:rsidP="00737A0A">
      <w:pPr>
        <w:pStyle w:val="Heading3"/>
      </w:pPr>
      <w:r>
        <w:t>Shortlist</w:t>
      </w:r>
    </w:p>
    <w:p w14:paraId="0C4EB98A" w14:textId="537AFEA7" w:rsidR="00350D89" w:rsidRPr="002F380B" w:rsidRDefault="00116FBE" w:rsidP="007155A4">
      <w:r>
        <w:t>Through</w:t>
      </w:r>
      <w:r w:rsidR="00E60A8F">
        <w:t xml:space="preserve"> applying</w:t>
      </w:r>
      <w:r>
        <w:t xml:space="preserve"> the prioritisation and evaluation criteria </w:t>
      </w:r>
      <w:r w:rsidR="00C6669D">
        <w:t>there are</w:t>
      </w:r>
      <w:r>
        <w:t xml:space="preserve"> now 133 unique shortlisted measures</w:t>
      </w:r>
      <w:r w:rsidR="00D11E06">
        <w:t xml:space="preserve"> from over 30 data sources</w:t>
      </w:r>
      <w:r w:rsidR="009138E9">
        <w:t>.</w:t>
      </w:r>
      <w:r w:rsidR="00AC1F18">
        <w:t xml:space="preserve"> These are shown in</w:t>
      </w:r>
      <w:r w:rsidR="004574EF">
        <w:t xml:space="preserve"> </w:t>
      </w:r>
      <w:r w:rsidR="004574EF">
        <w:fldChar w:fldCharType="begin"/>
      </w:r>
      <w:r w:rsidR="004574EF">
        <w:instrText xml:space="preserve"> REF _Ref135222374 \h </w:instrText>
      </w:r>
      <w:r w:rsidR="00AE1B81">
        <w:instrText xml:space="preserve"> \* MERGEFORMAT </w:instrText>
      </w:r>
      <w:r w:rsidR="004574EF">
        <w:fldChar w:fldCharType="separate"/>
      </w:r>
      <w:r w:rsidR="006468AF" w:rsidRPr="006468AF">
        <w:t>Appendix 4</w:t>
      </w:r>
      <w:r w:rsidR="004574EF">
        <w:fldChar w:fldCharType="end"/>
      </w:r>
      <w:r w:rsidR="00AC1F18">
        <w:t>.</w:t>
      </w:r>
      <w:r w:rsidR="004B3B98">
        <w:t xml:space="preserve"> Note that the 133 includes </w:t>
      </w:r>
      <w:r w:rsidR="00224AE1">
        <w:t>all Te Huringa and Access and Choice</w:t>
      </w:r>
      <w:r w:rsidR="00D11E06">
        <w:t xml:space="preserve"> programme</w:t>
      </w:r>
      <w:r w:rsidR="00224AE1">
        <w:t xml:space="preserve"> measures previously reported by Te Hiringa Mahara for continuity. </w:t>
      </w:r>
      <w:r w:rsidR="001D17E1">
        <w:t xml:space="preserve">(Note that </w:t>
      </w:r>
      <w:r w:rsidR="00224AE1">
        <w:t xml:space="preserve">20 of </w:t>
      </w:r>
      <w:r w:rsidR="00224AE1">
        <w:lastRenderedPageBreak/>
        <w:t>these</w:t>
      </w:r>
      <w:r w:rsidR="00D11E06">
        <w:t xml:space="preserve"> measures</w:t>
      </w:r>
      <w:r w:rsidR="00224AE1">
        <w:t xml:space="preserve"> </w:t>
      </w:r>
      <w:r w:rsidR="001D17E1">
        <w:t xml:space="preserve">are in the shortlist because they have been reported in Access and Choice 2022 or will be reported for continuity purposes in Te Huringa </w:t>
      </w:r>
      <w:r w:rsidR="00771550">
        <w:t xml:space="preserve">Tuarua </w:t>
      </w:r>
      <w:r w:rsidR="001D17E1">
        <w:t>2023.)</w:t>
      </w:r>
    </w:p>
    <w:p w14:paraId="14B78301" w14:textId="294CCEED" w:rsidR="00350D89" w:rsidRPr="002F380B" w:rsidRDefault="00350D89" w:rsidP="002F380B">
      <w:r w:rsidRPr="002F380B">
        <w:t xml:space="preserve">Across all the domains we have </w:t>
      </w:r>
      <w:r w:rsidR="00A73327">
        <w:t>202</w:t>
      </w:r>
      <w:r w:rsidRPr="002F380B">
        <w:t xml:space="preserve"> measures as many measures have been mapped to more than one domain outcome.</w:t>
      </w:r>
    </w:p>
    <w:p w14:paraId="220760FD" w14:textId="77777777" w:rsidR="00C314C9" w:rsidRDefault="00C314C9">
      <w:pPr>
        <w:spacing w:line="259" w:lineRule="auto"/>
        <w:rPr>
          <w:rFonts w:ascii="Basic Sans" w:eastAsiaTheme="majorEastAsia" w:hAnsi="Basic Sans" w:cstheme="majorBidi"/>
          <w:color w:val="005E85"/>
          <w:sz w:val="56"/>
          <w:szCs w:val="56"/>
        </w:rPr>
      </w:pPr>
      <w:r>
        <w:rPr>
          <w:sz w:val="56"/>
          <w:szCs w:val="56"/>
        </w:rPr>
        <w:br w:type="page"/>
      </w:r>
    </w:p>
    <w:p w14:paraId="0F0EA4EA" w14:textId="1CD7E8B6" w:rsidR="00436BFD" w:rsidRPr="003746F8" w:rsidRDefault="00436BFD" w:rsidP="003746F8">
      <w:pPr>
        <w:pStyle w:val="Heading1"/>
        <w:rPr>
          <w:sz w:val="56"/>
          <w:szCs w:val="56"/>
        </w:rPr>
      </w:pPr>
      <w:bookmarkStart w:id="11" w:name="_Toc135392320"/>
      <w:r w:rsidRPr="003746F8">
        <w:rPr>
          <w:sz w:val="56"/>
          <w:szCs w:val="56"/>
        </w:rPr>
        <w:lastRenderedPageBreak/>
        <w:t>Understanding the data gaps</w:t>
      </w:r>
      <w:bookmarkEnd w:id="11"/>
    </w:p>
    <w:p w14:paraId="4E28E969" w14:textId="1A30AFF5" w:rsidR="008D1AB0" w:rsidRPr="008D1AB0" w:rsidRDefault="008D1AB0" w:rsidP="008D1AB0">
      <w:pPr>
        <w:rPr>
          <w:bCs/>
        </w:rPr>
      </w:pPr>
      <w:r>
        <w:rPr>
          <w:lang w:val="en-US"/>
        </w:rPr>
        <w:t xml:space="preserve">Our understanding of the data gaps is a work in progress given </w:t>
      </w:r>
      <w:r w:rsidR="00002D68">
        <w:rPr>
          <w:lang w:val="en-US"/>
        </w:rPr>
        <w:t xml:space="preserve">that </w:t>
      </w:r>
      <w:r>
        <w:rPr>
          <w:lang w:val="en-US"/>
        </w:rPr>
        <w:t>we have focused on only some of</w:t>
      </w:r>
      <w:r w:rsidR="008C63D3">
        <w:rPr>
          <w:lang w:val="en-US"/>
        </w:rPr>
        <w:t xml:space="preserve"> He Ara Āwhina system aspirations for Phase 1. </w:t>
      </w:r>
      <w:r w:rsidRPr="008D1AB0">
        <w:rPr>
          <w:lang w:val="en-US"/>
        </w:rPr>
        <w:t xml:space="preserve">As we worked our way through assessing the data sources and potential measures, </w:t>
      </w:r>
      <w:bookmarkStart w:id="12" w:name="_Toc54257977"/>
      <w:r w:rsidRPr="008D1AB0">
        <w:rPr>
          <w:bCs/>
        </w:rPr>
        <w:t xml:space="preserve">we have </w:t>
      </w:r>
      <w:r w:rsidR="00A67039">
        <w:rPr>
          <w:bCs/>
        </w:rPr>
        <w:t>identified</w:t>
      </w:r>
      <w:r w:rsidRPr="008D1AB0">
        <w:rPr>
          <w:bCs/>
        </w:rPr>
        <w:t xml:space="preserve"> data gaps and work needed.</w:t>
      </w:r>
      <w:r w:rsidR="000C2301">
        <w:rPr>
          <w:bCs/>
        </w:rPr>
        <w:t xml:space="preserve"> Much of this is consistent with </w:t>
      </w:r>
      <w:r w:rsidR="001D3C7A">
        <w:rPr>
          <w:bCs/>
        </w:rPr>
        <w:t>what we found during the He Ara Oranga wellbeing outcomes framework data phase.</w:t>
      </w:r>
    </w:p>
    <w:p w14:paraId="1CB11D64" w14:textId="522C6312" w:rsidR="008D1AB0" w:rsidRPr="008D1AB0" w:rsidRDefault="008D1AB0" w:rsidP="008C63D3">
      <w:pPr>
        <w:pStyle w:val="Heading2"/>
        <w:rPr>
          <w:lang w:val="en-US"/>
        </w:rPr>
      </w:pPr>
      <w:r w:rsidRPr="008D1AB0">
        <w:rPr>
          <w:lang w:val="en-US"/>
        </w:rPr>
        <w:t xml:space="preserve">Te </w:t>
      </w:r>
      <w:r w:rsidR="00D71ED7">
        <w:rPr>
          <w:lang w:val="en-US"/>
        </w:rPr>
        <w:t>A</w:t>
      </w:r>
      <w:r w:rsidR="001D17E1" w:rsidRPr="008D1AB0">
        <w:rPr>
          <w:lang w:val="en-US"/>
        </w:rPr>
        <w:t xml:space="preserve">o </w:t>
      </w:r>
      <w:r w:rsidRPr="008D1AB0">
        <w:rPr>
          <w:lang w:val="en-US"/>
        </w:rPr>
        <w:t xml:space="preserve">Māori </w:t>
      </w:r>
      <w:r w:rsidR="00F069E0">
        <w:rPr>
          <w:lang w:val="en-US"/>
        </w:rPr>
        <w:t>data</w:t>
      </w:r>
    </w:p>
    <w:p w14:paraId="51C1586C" w14:textId="67B6FA12" w:rsidR="008D1AB0" w:rsidRPr="008D1AB0" w:rsidRDefault="008D1AB0" w:rsidP="008D1AB0">
      <w:r w:rsidRPr="008D1AB0">
        <w:rPr>
          <w:bCs/>
          <w:lang w:val="en-US"/>
        </w:rPr>
        <w:t xml:space="preserve">Across the indicators and measures there are significantly fewer potential data sources for </w:t>
      </w:r>
      <w:r w:rsidR="00D71ED7">
        <w:rPr>
          <w:lang w:val="en-US"/>
        </w:rPr>
        <w:t>Te Ao M</w:t>
      </w:r>
      <w:r w:rsidRPr="008D1AB0">
        <w:rPr>
          <w:lang w:val="en-US"/>
        </w:rPr>
        <w:t xml:space="preserve">āori outcomes. </w:t>
      </w:r>
      <w:r w:rsidRPr="008D1AB0">
        <w:t xml:space="preserve">While we can ‘slice’ measures in the ‘shared perspective layer’ for Māori using the ethnicity data field, this does not tell us enough from a </w:t>
      </w:r>
      <w:r w:rsidR="00D71ED7">
        <w:rPr>
          <w:lang w:val="en-US"/>
        </w:rPr>
        <w:t>Te Ao M</w:t>
      </w:r>
      <w:r w:rsidRPr="008D1AB0">
        <w:rPr>
          <w:lang w:val="en-US"/>
        </w:rPr>
        <w:t xml:space="preserve">āori perspective of </w:t>
      </w:r>
      <w:r w:rsidR="00A6043F">
        <w:rPr>
          <w:lang w:val="en-US"/>
        </w:rPr>
        <w:t xml:space="preserve">services or </w:t>
      </w:r>
      <w:r w:rsidRPr="008D1AB0">
        <w:rPr>
          <w:lang w:val="en-US"/>
        </w:rPr>
        <w:t>wellbeing</w:t>
      </w:r>
      <w:r w:rsidRPr="008D1AB0">
        <w:t>.</w:t>
      </w:r>
    </w:p>
    <w:p w14:paraId="016A11F0" w14:textId="182DD63A" w:rsidR="008D1AB0" w:rsidRPr="008D1AB0" w:rsidRDefault="008D1AB0" w:rsidP="008D1AB0">
      <w:r w:rsidRPr="008D1AB0">
        <w:rPr>
          <w:lang w:val="en-US"/>
        </w:rPr>
        <w:t xml:space="preserve">The lack of </w:t>
      </w:r>
      <w:r w:rsidR="00D71ED7">
        <w:rPr>
          <w:lang w:val="en-US"/>
        </w:rPr>
        <w:t>Te Ao M</w:t>
      </w:r>
      <w:r w:rsidRPr="008D1AB0">
        <w:rPr>
          <w:lang w:val="en-US"/>
        </w:rPr>
        <w:t xml:space="preserve">āori data is a concern given </w:t>
      </w:r>
      <w:r w:rsidRPr="008D1AB0">
        <w:t xml:space="preserve">persistent inequities in the prevalence of mental health conditions, addiction, and treatment for Māori and the place of Māori as tangata whenua (partners </w:t>
      </w:r>
      <w:r w:rsidR="001300DC">
        <w:t>with</w:t>
      </w:r>
      <w:r w:rsidRPr="008D1AB0">
        <w:t xml:space="preserve"> the Crown). </w:t>
      </w:r>
    </w:p>
    <w:p w14:paraId="4CEA7D31" w14:textId="3ADF8719" w:rsidR="008D1AB0" w:rsidRPr="008D1AB0" w:rsidRDefault="008D1AB0" w:rsidP="008D1AB0">
      <w:r w:rsidRPr="008D1AB0">
        <w:t xml:space="preserve">Māori data refers to data produced by Māori or data that is about Māori and the environments </w:t>
      </w:r>
      <w:r w:rsidR="00FA59CB">
        <w:t xml:space="preserve">with which </w:t>
      </w:r>
      <w:r w:rsidRPr="008D1AB0">
        <w:t xml:space="preserve">Māori have relationships </w:t>
      </w:r>
      <w:r w:rsidR="00FD426E">
        <w:t xml:space="preserve">(Te Mana </w:t>
      </w:r>
      <w:r w:rsidR="00FD426E" w:rsidRPr="00CC6326">
        <w:t>Ra</w:t>
      </w:r>
      <w:r w:rsidR="00A11A7A" w:rsidRPr="00CC6326">
        <w:t>ra</w:t>
      </w:r>
      <w:r w:rsidR="00304528" w:rsidRPr="00CC6326">
        <w:t>unga</w:t>
      </w:r>
      <w:r w:rsidR="009E043E" w:rsidRPr="00CC6326">
        <w:t xml:space="preserve">, </w:t>
      </w:r>
      <w:r w:rsidR="00CC6326" w:rsidRPr="00CC6326">
        <w:t>nd</w:t>
      </w:r>
      <w:r w:rsidR="00C81D20" w:rsidRPr="00CC6326">
        <w:t>)</w:t>
      </w:r>
      <w:r w:rsidRPr="00CC6326">
        <w:t>. There is a</w:t>
      </w:r>
      <w:r w:rsidRPr="008D1AB0">
        <w:t xml:space="preserve"> difference between measuring the wellbeing of Māori (as a population) and measuring Māori wellbeing through a Māori values approach. While there is an abundance of research in the former space, there is far less in the latter</w:t>
      </w:r>
      <w:r w:rsidR="00881167">
        <w:t xml:space="preserve"> (Indep</w:t>
      </w:r>
      <w:r w:rsidR="006720BE">
        <w:t xml:space="preserve">endent </w:t>
      </w:r>
      <w:r w:rsidR="00F11F35">
        <w:t>Māori</w:t>
      </w:r>
      <w:r w:rsidR="00290350">
        <w:t xml:space="preserve"> Statutory Board</w:t>
      </w:r>
      <w:r w:rsidR="00F11F35">
        <w:t>, 2019)</w:t>
      </w:r>
      <w:r w:rsidRPr="008D1AB0">
        <w:t xml:space="preserve">. </w:t>
      </w:r>
    </w:p>
    <w:p w14:paraId="5AD1A20E" w14:textId="6CB717BE" w:rsidR="008D1AB0" w:rsidRPr="008D1AB0" w:rsidRDefault="008D1AB0" w:rsidP="008D1AB0">
      <w:r w:rsidRPr="008D1AB0">
        <w:t>There are major structural challenges to measuring and monitoring Māori wellbeing. Many of the agencies and organisations that collect</w:t>
      </w:r>
      <w:r w:rsidR="00525635">
        <w:t>,</w:t>
      </w:r>
      <w:r w:rsidRPr="008D1AB0">
        <w:t xml:space="preserve"> or steward Māori data lack the capability or capacity to apply a </w:t>
      </w:r>
      <w:r w:rsidR="00D71ED7">
        <w:t>Te Ao M</w:t>
      </w:r>
      <w:r w:rsidRPr="008D1AB0">
        <w:t xml:space="preserve">āori lens to their data collection or analysis. More fundamentally, they </w:t>
      </w:r>
      <w:r w:rsidR="008E0634">
        <w:t>do not have</w:t>
      </w:r>
      <w:r w:rsidRPr="008D1AB0">
        <w:t xml:space="preserve"> active Māori data governance mechanisms and, thus, lack a transparent mechanism for Māori influence.</w:t>
      </w:r>
    </w:p>
    <w:p w14:paraId="3742EA73" w14:textId="01013E82" w:rsidR="008D1AB0" w:rsidRPr="008D1AB0" w:rsidRDefault="008D1AB0" w:rsidP="008D1AB0">
      <w:r w:rsidRPr="008D1AB0">
        <w:t xml:space="preserve">Overall, this is a significant barrier and risk for </w:t>
      </w:r>
      <w:r w:rsidR="00F069E0">
        <w:t>Te Hiringa Mahara</w:t>
      </w:r>
      <w:r w:rsidRPr="008D1AB0">
        <w:t xml:space="preserve">; it is also an issue that affects multiple government agencies. </w:t>
      </w:r>
      <w:r w:rsidR="00F069E0">
        <w:t>Te Hiringa Mahara</w:t>
      </w:r>
      <w:r w:rsidRPr="008D1AB0">
        <w:t xml:space="preserve"> can champion better data collection for Māori and play a key leadership role moving forward. This is, in our view, a significant opportunity. </w:t>
      </w:r>
    </w:p>
    <w:p w14:paraId="1D28FED1" w14:textId="77777777" w:rsidR="008D1AB0" w:rsidRPr="008D1AB0" w:rsidRDefault="008D1AB0" w:rsidP="00F069E0">
      <w:pPr>
        <w:pStyle w:val="Heading2"/>
        <w:rPr>
          <w:lang w:val="en-US"/>
        </w:rPr>
      </w:pPr>
      <w:r w:rsidRPr="008D1AB0">
        <w:rPr>
          <w:lang w:val="en-US"/>
        </w:rPr>
        <w:t>Whānau-level data</w:t>
      </w:r>
    </w:p>
    <w:p w14:paraId="1DFC6E93" w14:textId="1895F528" w:rsidR="008D1AB0" w:rsidRPr="008D1AB0" w:rsidRDefault="008D1AB0" w:rsidP="008D1AB0">
      <w:pPr>
        <w:rPr>
          <w:bCs/>
        </w:rPr>
      </w:pPr>
      <w:r w:rsidRPr="008D1AB0">
        <w:rPr>
          <w:bCs/>
        </w:rPr>
        <w:t xml:space="preserve">Consistent with the lack of </w:t>
      </w:r>
      <w:r w:rsidR="00D71ED7">
        <w:rPr>
          <w:lang w:val="en-US"/>
        </w:rPr>
        <w:t>Te Ao M</w:t>
      </w:r>
      <w:r w:rsidRPr="008D1AB0">
        <w:rPr>
          <w:lang w:val="en-US"/>
        </w:rPr>
        <w:t>āori data</w:t>
      </w:r>
      <w:r w:rsidR="00F069E0">
        <w:rPr>
          <w:lang w:val="en-US"/>
        </w:rPr>
        <w:t xml:space="preserve"> overall</w:t>
      </w:r>
      <w:r w:rsidRPr="008D1AB0">
        <w:rPr>
          <w:lang w:val="en-US"/>
        </w:rPr>
        <w:t>,</w:t>
      </w:r>
      <w:r w:rsidRPr="008D1AB0">
        <w:rPr>
          <w:bCs/>
        </w:rPr>
        <w:t xml:space="preserve"> whānau-level data is rare at the </w:t>
      </w:r>
      <w:r w:rsidR="00882C2C">
        <w:rPr>
          <w:bCs/>
        </w:rPr>
        <w:t>mental health and addiction</w:t>
      </w:r>
      <w:r w:rsidR="00882C2C" w:rsidRPr="008D1AB0">
        <w:rPr>
          <w:bCs/>
        </w:rPr>
        <w:t xml:space="preserve"> </w:t>
      </w:r>
      <w:r w:rsidRPr="008D1AB0">
        <w:rPr>
          <w:bCs/>
        </w:rPr>
        <w:t>service level for measures.</w:t>
      </w:r>
      <w:r w:rsidR="00725A5A">
        <w:rPr>
          <w:bCs/>
        </w:rPr>
        <w:t xml:space="preserve"> </w:t>
      </w:r>
      <w:r w:rsidRPr="008D1AB0">
        <w:rPr>
          <w:bCs/>
        </w:rPr>
        <w:t>The New Zealand household is frequently adopted as a unit of measurement, and there is virtually no quantitative data available about whānau (particularly, as defined by tangata whaiora or ethnic groups). In the absence of whānau-level data, evidence based on New Zealand households and families is used to inform strategy development, planning, priority-</w:t>
      </w:r>
      <w:r w:rsidRPr="008D1AB0">
        <w:rPr>
          <w:bCs/>
        </w:rPr>
        <w:lastRenderedPageBreak/>
        <w:t>setting, decision-making, policy, and delivery.</w:t>
      </w:r>
      <w:r w:rsidR="00725A5A">
        <w:rPr>
          <w:bCs/>
        </w:rPr>
        <w:t xml:space="preserve"> </w:t>
      </w:r>
      <w:r w:rsidRPr="008D1AB0">
        <w:rPr>
          <w:bCs/>
        </w:rPr>
        <w:t>While there is data available on Māori families at the household level, this does not provide data about ‘whānau’, as ‘family’ and ‘whānau’ are not interchangeable</w:t>
      </w:r>
      <w:r w:rsidR="009E043E">
        <w:rPr>
          <w:bCs/>
        </w:rPr>
        <w:t xml:space="preserve"> (</w:t>
      </w:r>
      <w:r w:rsidR="00CC6326">
        <w:t>Social Policy Evaluation and Research Unit</w:t>
      </w:r>
      <w:r w:rsidR="009E043E">
        <w:rPr>
          <w:bCs/>
        </w:rPr>
        <w:t>, 20</w:t>
      </w:r>
      <w:r w:rsidR="00CC6326">
        <w:rPr>
          <w:bCs/>
        </w:rPr>
        <w:t>14</w:t>
      </w:r>
      <w:r w:rsidR="009E043E">
        <w:rPr>
          <w:bCs/>
        </w:rPr>
        <w:t>)</w:t>
      </w:r>
      <w:r w:rsidRPr="008D1AB0">
        <w:rPr>
          <w:bCs/>
        </w:rPr>
        <w:t>.</w:t>
      </w:r>
    </w:p>
    <w:p w14:paraId="782AB18D" w14:textId="77777777" w:rsidR="008D1AB0" w:rsidRPr="008D1AB0" w:rsidRDefault="008D1AB0" w:rsidP="0089667A">
      <w:pPr>
        <w:pStyle w:val="Heading2"/>
        <w:rPr>
          <w:lang w:val="en-US"/>
        </w:rPr>
      </w:pPr>
      <w:r w:rsidRPr="008D1AB0">
        <w:rPr>
          <w:lang w:val="en-US"/>
        </w:rPr>
        <w:t>Priority groups</w:t>
      </w:r>
    </w:p>
    <w:p w14:paraId="18EA5840" w14:textId="2E24199D" w:rsidR="008D1AB0" w:rsidRDefault="009D46E9" w:rsidP="008D1AB0">
      <w:pPr>
        <w:rPr>
          <w:bCs/>
          <w:lang w:val="en-US"/>
        </w:rPr>
      </w:pPr>
      <w:r>
        <w:rPr>
          <w:bCs/>
          <w:lang w:val="en-US"/>
        </w:rPr>
        <w:t xml:space="preserve">Our data evaluation </w:t>
      </w:r>
      <w:r w:rsidR="008D1AB0" w:rsidRPr="008D1AB0">
        <w:rPr>
          <w:bCs/>
          <w:lang w:val="en-US"/>
        </w:rPr>
        <w:t xml:space="preserve">criteria applied to the potential measures consider whether they can monitor </w:t>
      </w:r>
      <w:r>
        <w:rPr>
          <w:bCs/>
          <w:lang w:val="en-US"/>
        </w:rPr>
        <w:t>services</w:t>
      </w:r>
      <w:r w:rsidR="008D1AB0" w:rsidRPr="008D1AB0">
        <w:rPr>
          <w:bCs/>
          <w:lang w:val="en-US"/>
        </w:rPr>
        <w:t xml:space="preserve"> for priority groups of people. There are gaps in terms of our ability </w:t>
      </w:r>
      <w:r w:rsidR="001D17E1">
        <w:rPr>
          <w:bCs/>
          <w:lang w:val="en-US"/>
        </w:rPr>
        <w:t xml:space="preserve">to </w:t>
      </w:r>
      <w:r w:rsidR="008D1AB0" w:rsidRPr="008D1AB0">
        <w:rPr>
          <w:bCs/>
          <w:lang w:val="en-US"/>
        </w:rPr>
        <w:t xml:space="preserve">monitor </w:t>
      </w:r>
      <w:r w:rsidR="007015B4">
        <w:rPr>
          <w:bCs/>
          <w:lang w:val="en-US"/>
        </w:rPr>
        <w:t>services</w:t>
      </w:r>
      <w:r w:rsidR="008D1AB0" w:rsidRPr="008D1AB0">
        <w:rPr>
          <w:bCs/>
          <w:lang w:val="en-US"/>
        </w:rPr>
        <w:t xml:space="preserve"> across many of the priority groups as either identifying data is not collected, or priority group specific data is collected in a limited and ad hoc manner. </w:t>
      </w:r>
      <w:r w:rsidR="00BA0250">
        <w:rPr>
          <w:bCs/>
          <w:lang w:val="en-US"/>
        </w:rPr>
        <w:t>Demographic information such as e</w:t>
      </w:r>
      <w:r w:rsidR="008D1AB0" w:rsidRPr="008D1AB0">
        <w:rPr>
          <w:bCs/>
          <w:lang w:val="en-US"/>
        </w:rPr>
        <w:t>thnicity</w:t>
      </w:r>
      <w:r w:rsidR="00BA0250">
        <w:rPr>
          <w:bCs/>
          <w:lang w:val="en-US"/>
        </w:rPr>
        <w:t>, gender</w:t>
      </w:r>
      <w:r w:rsidR="00C23F00">
        <w:rPr>
          <w:bCs/>
          <w:lang w:val="en-US"/>
        </w:rPr>
        <w:t>,</w:t>
      </w:r>
      <w:r w:rsidR="00BA0250">
        <w:rPr>
          <w:bCs/>
          <w:lang w:val="en-US"/>
        </w:rPr>
        <w:t xml:space="preserve"> and age</w:t>
      </w:r>
      <w:r w:rsidR="008D1AB0" w:rsidRPr="008D1AB0">
        <w:rPr>
          <w:bCs/>
          <w:lang w:val="en-US"/>
        </w:rPr>
        <w:t xml:space="preserve"> </w:t>
      </w:r>
      <w:r w:rsidR="00BA0250">
        <w:rPr>
          <w:bCs/>
          <w:lang w:val="en-US"/>
        </w:rPr>
        <w:t>are</w:t>
      </w:r>
      <w:r w:rsidR="008D1AB0" w:rsidRPr="008D1AB0">
        <w:rPr>
          <w:bCs/>
          <w:lang w:val="en-US"/>
        </w:rPr>
        <w:t xml:space="preserve"> the only reliable, routinely collected identifier</w:t>
      </w:r>
      <w:r w:rsidR="00BA0250">
        <w:rPr>
          <w:bCs/>
          <w:lang w:val="en-US"/>
        </w:rPr>
        <w:t>s</w:t>
      </w:r>
      <w:r w:rsidR="008D1AB0" w:rsidRPr="008D1AB0">
        <w:rPr>
          <w:bCs/>
          <w:lang w:val="en-US"/>
        </w:rPr>
        <w:t>.</w:t>
      </w:r>
    </w:p>
    <w:p w14:paraId="5F413C95" w14:textId="121A2859" w:rsidR="009E5356" w:rsidRDefault="006D1B7F" w:rsidP="009E5AC8">
      <w:pPr>
        <w:pStyle w:val="Heading2"/>
        <w:rPr>
          <w:lang w:val="en-US"/>
        </w:rPr>
      </w:pPr>
      <w:r>
        <w:rPr>
          <w:lang w:val="en-US"/>
        </w:rPr>
        <w:t>Alcohol and other drugs</w:t>
      </w:r>
      <w:r w:rsidR="00C85381">
        <w:rPr>
          <w:lang w:val="en-US"/>
        </w:rPr>
        <w:t xml:space="preserve"> (AOD)</w:t>
      </w:r>
    </w:p>
    <w:p w14:paraId="3A1F118A" w14:textId="4445E626" w:rsidR="006D1B7F" w:rsidRPr="008D1AB0" w:rsidRDefault="008E2C69" w:rsidP="008D1AB0">
      <w:pPr>
        <w:rPr>
          <w:bCs/>
          <w:lang w:val="en-US"/>
        </w:rPr>
      </w:pPr>
      <w:r>
        <w:rPr>
          <w:bCs/>
          <w:lang w:val="en-US"/>
        </w:rPr>
        <w:t>F</w:t>
      </w:r>
      <w:r w:rsidR="00C85381">
        <w:rPr>
          <w:bCs/>
          <w:lang w:val="en-US"/>
        </w:rPr>
        <w:t xml:space="preserve">ew AOD </w:t>
      </w:r>
      <w:r w:rsidR="00A5669B">
        <w:rPr>
          <w:bCs/>
          <w:lang w:val="en-US"/>
        </w:rPr>
        <w:t xml:space="preserve">specific measures have been identified through our </w:t>
      </w:r>
      <w:r w:rsidR="009E1D66">
        <w:rPr>
          <w:bCs/>
          <w:lang w:val="en-US"/>
        </w:rPr>
        <w:t>shortlisting</w:t>
      </w:r>
      <w:r w:rsidR="00A5669B">
        <w:rPr>
          <w:bCs/>
          <w:lang w:val="en-US"/>
        </w:rPr>
        <w:t xml:space="preserve"> process.</w:t>
      </w:r>
      <w:r w:rsidR="005A1E5A">
        <w:rPr>
          <w:bCs/>
          <w:lang w:val="en-US"/>
        </w:rPr>
        <w:t xml:space="preserve"> Once we are working with the Phase 1 measure data</w:t>
      </w:r>
      <w:r w:rsidR="009E1D66">
        <w:rPr>
          <w:bCs/>
          <w:lang w:val="en-US"/>
        </w:rPr>
        <w:t xml:space="preserve"> we will look to disaggregate, where possible, AOD specific services</w:t>
      </w:r>
      <w:r w:rsidR="00F47F67">
        <w:rPr>
          <w:bCs/>
          <w:lang w:val="en-US"/>
        </w:rPr>
        <w:t xml:space="preserve"> for monitoring purposes</w:t>
      </w:r>
      <w:r w:rsidR="009E1D66">
        <w:rPr>
          <w:bCs/>
          <w:lang w:val="en-US"/>
        </w:rPr>
        <w:t xml:space="preserve">. The result of this process will help identify priorities for our Phase 2 </w:t>
      </w:r>
      <w:r w:rsidR="00750EB8">
        <w:rPr>
          <w:bCs/>
          <w:lang w:val="en-US"/>
        </w:rPr>
        <w:t>work</w:t>
      </w:r>
      <w:r w:rsidR="00131208">
        <w:rPr>
          <w:bCs/>
          <w:lang w:val="en-US"/>
        </w:rPr>
        <w:t>.</w:t>
      </w:r>
    </w:p>
    <w:p w14:paraId="7148439F" w14:textId="37F2C299" w:rsidR="008D1AB0" w:rsidRPr="008D1AB0" w:rsidRDefault="0004025B" w:rsidP="00BA0250">
      <w:pPr>
        <w:pStyle w:val="Heading2"/>
      </w:pPr>
      <w:r>
        <w:t xml:space="preserve">Outcome measures - </w:t>
      </w:r>
      <w:r w:rsidR="008D1AB0" w:rsidRPr="008D1AB0">
        <w:t>service level data sources limited and narrow in scope</w:t>
      </w:r>
    </w:p>
    <w:p w14:paraId="7C5729B0" w14:textId="2E92ADBF" w:rsidR="008D1AB0" w:rsidRPr="008D1AB0" w:rsidRDefault="008D1AB0" w:rsidP="008D1AB0">
      <w:pPr>
        <w:rPr>
          <w:bCs/>
          <w:lang w:val="en-US"/>
        </w:rPr>
      </w:pPr>
      <w:r w:rsidRPr="008D1AB0">
        <w:t>There are significantly more population</w:t>
      </w:r>
      <w:r w:rsidR="00B4389B">
        <w:t>-</w:t>
      </w:r>
      <w:r w:rsidRPr="008D1AB0">
        <w:t xml:space="preserve">level data sources suitable for measuring wellbeing outcomes than </w:t>
      </w:r>
      <w:r w:rsidR="00C61FBF">
        <w:t>mental health and addiction</w:t>
      </w:r>
      <w:r w:rsidR="00C61FBF" w:rsidRPr="008D1AB0">
        <w:t xml:space="preserve"> </w:t>
      </w:r>
      <w:r w:rsidRPr="008D1AB0">
        <w:t>service</w:t>
      </w:r>
      <w:r w:rsidR="00625809">
        <w:t>-</w:t>
      </w:r>
      <w:r w:rsidRPr="008D1AB0">
        <w:t xml:space="preserve">level data sources. In addition, the </w:t>
      </w:r>
      <w:r w:rsidR="00C61FBF">
        <w:rPr>
          <w:bCs/>
          <w:lang w:val="en-US"/>
        </w:rPr>
        <w:t>mental health and addiction</w:t>
      </w:r>
      <w:r w:rsidR="00C61FBF" w:rsidRPr="008D1AB0">
        <w:rPr>
          <w:bCs/>
          <w:lang w:val="en-US"/>
        </w:rPr>
        <w:t xml:space="preserve"> </w:t>
      </w:r>
      <w:r w:rsidRPr="008D1AB0">
        <w:rPr>
          <w:bCs/>
          <w:lang w:val="en-US"/>
        </w:rPr>
        <w:t xml:space="preserve">service measures mainly focus on specialist services. They are fit for the purpose they were developed and intended but less suitable for monitoring wellbeing outcomes. Also, many </w:t>
      </w:r>
      <w:r w:rsidR="00C61FBF">
        <w:rPr>
          <w:bCs/>
          <w:lang w:val="en-US"/>
        </w:rPr>
        <w:t>mental health and addiction</w:t>
      </w:r>
      <w:r w:rsidR="00C61FBF" w:rsidRPr="008D1AB0">
        <w:rPr>
          <w:bCs/>
          <w:lang w:val="en-US"/>
        </w:rPr>
        <w:t xml:space="preserve"> </w:t>
      </w:r>
      <w:r w:rsidRPr="008D1AB0">
        <w:rPr>
          <w:bCs/>
          <w:lang w:val="en-US"/>
        </w:rPr>
        <w:t>service level tools are clinically oriented assessment or screening tools, and some are adapted for individual needs.</w:t>
      </w:r>
    </w:p>
    <w:p w14:paraId="36E739C0" w14:textId="551E87AF" w:rsidR="008D1AB0" w:rsidRDefault="008D1AB0" w:rsidP="008D1AB0">
      <w:pPr>
        <w:rPr>
          <w:bCs/>
          <w:lang w:val="en-US"/>
        </w:rPr>
      </w:pPr>
      <w:r w:rsidRPr="008D1AB0">
        <w:rPr>
          <w:bCs/>
          <w:lang w:val="en-US"/>
        </w:rPr>
        <w:t xml:space="preserve">While </w:t>
      </w:r>
      <w:r w:rsidR="00C61FBF">
        <w:rPr>
          <w:bCs/>
          <w:lang w:val="en-US"/>
        </w:rPr>
        <w:t>mental health and addiction</w:t>
      </w:r>
      <w:r w:rsidR="00C61FBF" w:rsidRPr="008D1AB0">
        <w:rPr>
          <w:bCs/>
          <w:lang w:val="en-US"/>
        </w:rPr>
        <w:t xml:space="preserve"> </w:t>
      </w:r>
      <w:r w:rsidRPr="008D1AB0">
        <w:rPr>
          <w:bCs/>
          <w:lang w:val="en-US"/>
        </w:rPr>
        <w:t>service level tools such as the Alcohol and Drug Outcome Measure (ADOM) or Health of the Nation Outcome Scales (HoNOS) are intended to measure outcomes this is reliant, like many other tools, on their use in accordance with their guidelines. For example, if data is only collected when a person enters a service and not collected at subsequent intervals, we cannot determine their change in wellbeing and, therefore, the outcome. Also, not all potential data is available in national collections.</w:t>
      </w:r>
    </w:p>
    <w:p w14:paraId="16AA4DBC" w14:textId="489B0A5C" w:rsidR="00091C8E" w:rsidRPr="008D1AB0" w:rsidRDefault="00DB5491" w:rsidP="008D1AB0">
      <w:pPr>
        <w:rPr>
          <w:bCs/>
          <w:lang w:val="en-US"/>
        </w:rPr>
      </w:pPr>
      <w:r>
        <w:rPr>
          <w:bCs/>
          <w:lang w:val="en-US"/>
        </w:rPr>
        <w:t xml:space="preserve">Our TAN </w:t>
      </w:r>
      <w:r w:rsidR="0049745C">
        <w:rPr>
          <w:bCs/>
          <w:lang w:val="en-US"/>
        </w:rPr>
        <w:t>l</w:t>
      </w:r>
      <w:r>
        <w:rPr>
          <w:bCs/>
          <w:lang w:val="en-US"/>
        </w:rPr>
        <w:t>ived experience group advised that HoNOS out</w:t>
      </w:r>
      <w:r w:rsidR="00D71FFF">
        <w:rPr>
          <w:bCs/>
          <w:lang w:val="en-US"/>
        </w:rPr>
        <w:t xml:space="preserve">come measures should not be shortlisted and </w:t>
      </w:r>
      <w:r w:rsidR="001D17E1">
        <w:rPr>
          <w:bCs/>
          <w:lang w:val="en-US"/>
        </w:rPr>
        <w:t xml:space="preserve">consequently these </w:t>
      </w:r>
      <w:r w:rsidR="00D71FFF">
        <w:rPr>
          <w:bCs/>
          <w:lang w:val="en-US"/>
        </w:rPr>
        <w:t>have not been included in our 2023 measures.</w:t>
      </w:r>
    </w:p>
    <w:p w14:paraId="3C588060" w14:textId="77777777" w:rsidR="008D1AB0" w:rsidRPr="008D1AB0" w:rsidRDefault="008D1AB0" w:rsidP="00753FC3">
      <w:pPr>
        <w:pStyle w:val="Heading2"/>
      </w:pPr>
      <w:r w:rsidRPr="008D1AB0">
        <w:lastRenderedPageBreak/>
        <w:t>Timeliness</w:t>
      </w:r>
    </w:p>
    <w:p w14:paraId="2A41AD48" w14:textId="77777777" w:rsidR="008D1AB0" w:rsidRPr="008D1AB0" w:rsidRDefault="008D1AB0" w:rsidP="008D1AB0">
      <w:pPr>
        <w:rPr>
          <w:bCs/>
        </w:rPr>
      </w:pPr>
      <w:r w:rsidRPr="008D1AB0">
        <w:rPr>
          <w:bCs/>
        </w:rPr>
        <w:t xml:space="preserve">There are two key issues related to timeliness across the potential data sources – timeliness of collection and timeliness of access. </w:t>
      </w:r>
    </w:p>
    <w:p w14:paraId="34A164CB" w14:textId="72277669" w:rsidR="008D1AB0" w:rsidRPr="008D1AB0" w:rsidRDefault="008D1AB0" w:rsidP="008D1AB0">
      <w:pPr>
        <w:rPr>
          <w:bCs/>
        </w:rPr>
      </w:pPr>
      <w:r w:rsidRPr="008D1AB0">
        <w:rPr>
          <w:b/>
        </w:rPr>
        <w:t>Collection</w:t>
      </w:r>
      <w:r w:rsidRPr="008D1AB0">
        <w:rPr>
          <w:bCs/>
        </w:rPr>
        <w:t xml:space="preserve"> - very useful data is captured on a</w:t>
      </w:r>
      <w:r w:rsidR="00852E17">
        <w:rPr>
          <w:bCs/>
        </w:rPr>
        <w:t>n</w:t>
      </w:r>
      <w:r w:rsidRPr="008D1AB0">
        <w:rPr>
          <w:bCs/>
        </w:rPr>
        <w:t xml:space="preserve"> infrequent basis (e.g.</w:t>
      </w:r>
      <w:r w:rsidR="00852E17">
        <w:rPr>
          <w:bCs/>
        </w:rPr>
        <w:t>,</w:t>
      </w:r>
      <w:r w:rsidRPr="008D1AB0">
        <w:rPr>
          <w:bCs/>
        </w:rPr>
        <w:t xml:space="preserve"> Te Kupenga). </w:t>
      </w:r>
      <w:r w:rsidR="005A610E">
        <w:rPr>
          <w:bCs/>
        </w:rPr>
        <w:t>Some</w:t>
      </w:r>
      <w:r w:rsidRPr="008D1AB0">
        <w:rPr>
          <w:bCs/>
        </w:rPr>
        <w:t xml:space="preserve"> indicators and measures rate highly against our criteria but are collected too infrequently </w:t>
      </w:r>
      <w:r w:rsidR="006E23A1">
        <w:rPr>
          <w:bCs/>
        </w:rPr>
        <w:t>which limits their</w:t>
      </w:r>
      <w:r w:rsidRPr="008D1AB0">
        <w:rPr>
          <w:bCs/>
        </w:rPr>
        <w:t xml:space="preserve"> value for a monitoring framework.</w:t>
      </w:r>
    </w:p>
    <w:p w14:paraId="2EA49E15" w14:textId="464D449C" w:rsidR="008D1AB0" w:rsidRPr="008D1AB0" w:rsidRDefault="008D1AB0" w:rsidP="008D1AB0">
      <w:pPr>
        <w:rPr>
          <w:bCs/>
        </w:rPr>
      </w:pPr>
      <w:r w:rsidRPr="008D1AB0">
        <w:rPr>
          <w:b/>
        </w:rPr>
        <w:t>Access</w:t>
      </w:r>
      <w:r w:rsidRPr="008D1AB0">
        <w:rPr>
          <w:bCs/>
        </w:rPr>
        <w:t xml:space="preserve"> - while some data is collected frequently, access is a challenge. Data may not be stored nationally, or there is a significant delay before it is available for national use and considered to have adequate data quality, or it is not an easy process to request the data from the national source. </w:t>
      </w:r>
      <w:r w:rsidR="00F41A5B" w:rsidRPr="008D1AB0">
        <w:rPr>
          <w:bCs/>
        </w:rPr>
        <w:t>Now</w:t>
      </w:r>
      <w:r w:rsidRPr="008D1AB0">
        <w:rPr>
          <w:bCs/>
        </w:rPr>
        <w:t xml:space="preserve">, in any given year, data </w:t>
      </w:r>
      <w:r w:rsidR="00F41A5B">
        <w:rPr>
          <w:bCs/>
        </w:rPr>
        <w:t>may</w:t>
      </w:r>
      <w:r w:rsidRPr="008D1AB0">
        <w:rPr>
          <w:bCs/>
        </w:rPr>
        <w:t xml:space="preserve"> be six to 12 months old before it is complete, able to be analysed, and considered accurate.</w:t>
      </w:r>
      <w:r w:rsidR="00F41A5B">
        <w:rPr>
          <w:bCs/>
        </w:rPr>
        <w:t xml:space="preserve"> </w:t>
      </w:r>
    </w:p>
    <w:p w14:paraId="7C515967" w14:textId="6E33420C" w:rsidR="008D1AB0" w:rsidRPr="008D1AB0" w:rsidRDefault="008D1AB0" w:rsidP="008D1AB0">
      <w:pPr>
        <w:rPr>
          <w:bCs/>
        </w:rPr>
      </w:pPr>
      <w:r w:rsidRPr="008D1AB0">
        <w:rPr>
          <w:bCs/>
        </w:rPr>
        <w:t>We acknowledge that online tools to access nationally stored data are growing in availability across government agencies, which could significantly improve access.</w:t>
      </w:r>
    </w:p>
    <w:p w14:paraId="57DFB316" w14:textId="77777777" w:rsidR="008D1AB0" w:rsidRPr="008D1AB0" w:rsidRDefault="008D1AB0" w:rsidP="003A7BF6">
      <w:pPr>
        <w:pStyle w:val="Heading2"/>
      </w:pPr>
      <w:r w:rsidRPr="008D1AB0">
        <w:t>Primary care</w:t>
      </w:r>
    </w:p>
    <w:p w14:paraId="3BE637C5" w14:textId="0D1AB19D" w:rsidR="008D1AB0" w:rsidRPr="008D1AB0" w:rsidRDefault="008D1AB0" w:rsidP="008D1AB0">
      <w:pPr>
        <w:rPr>
          <w:bCs/>
        </w:rPr>
      </w:pPr>
      <w:r w:rsidRPr="008D1AB0">
        <w:rPr>
          <w:bCs/>
        </w:rPr>
        <w:t xml:space="preserve">Primary care </w:t>
      </w:r>
      <w:r w:rsidR="008031CE">
        <w:rPr>
          <w:bCs/>
        </w:rPr>
        <w:t xml:space="preserve">mental health and addiction </w:t>
      </w:r>
      <w:r w:rsidR="004F4BDF">
        <w:rPr>
          <w:bCs/>
        </w:rPr>
        <w:t xml:space="preserve">service and </w:t>
      </w:r>
      <w:r w:rsidRPr="008D1AB0">
        <w:rPr>
          <w:bCs/>
        </w:rPr>
        <w:t>wellbeing outcome data is a gap at this point</w:t>
      </w:r>
      <w:r w:rsidR="004427B1">
        <w:rPr>
          <w:bCs/>
        </w:rPr>
        <w:t>, although we expect to see data improvements over the next two years</w:t>
      </w:r>
      <w:r w:rsidRPr="008D1AB0">
        <w:rPr>
          <w:bCs/>
        </w:rPr>
        <w:t xml:space="preserve">. As </w:t>
      </w:r>
      <w:r w:rsidR="003A7BF6">
        <w:rPr>
          <w:bCs/>
        </w:rPr>
        <w:t>Te Whatu Ora</w:t>
      </w:r>
      <w:r w:rsidRPr="008D1AB0">
        <w:rPr>
          <w:bCs/>
        </w:rPr>
        <w:t xml:space="preserve"> continues to invest significant amounts to deliver mental health and addiction services </w:t>
      </w:r>
      <w:r w:rsidR="00A64E27">
        <w:rPr>
          <w:bCs/>
        </w:rPr>
        <w:t xml:space="preserve">such as </w:t>
      </w:r>
      <w:r w:rsidRPr="008D1AB0">
        <w:rPr>
          <w:bCs/>
        </w:rPr>
        <w:t>IPMHAS</w:t>
      </w:r>
      <w:r w:rsidR="00A64E27">
        <w:rPr>
          <w:bCs/>
        </w:rPr>
        <w:t xml:space="preserve"> in primary and community settings,</w:t>
      </w:r>
      <w:r w:rsidRPr="008D1AB0">
        <w:rPr>
          <w:bCs/>
        </w:rPr>
        <w:t xml:space="preserve"> it is important that suitable </w:t>
      </w:r>
      <w:r w:rsidR="00DC5C39">
        <w:rPr>
          <w:bCs/>
        </w:rPr>
        <w:t xml:space="preserve">process, structure and </w:t>
      </w:r>
      <w:r w:rsidRPr="008D1AB0">
        <w:rPr>
          <w:bCs/>
        </w:rPr>
        <w:t xml:space="preserve">outcome measures that enable measurement across the priority groups are in place, and data is collected and accessible in a timely manner. </w:t>
      </w:r>
      <w:r w:rsidR="00BC6C7D">
        <w:rPr>
          <w:bCs/>
        </w:rPr>
        <w:t xml:space="preserve">See </w:t>
      </w:r>
      <w:r w:rsidR="00C20EA9">
        <w:rPr>
          <w:bCs/>
        </w:rPr>
        <w:t xml:space="preserve">our </w:t>
      </w:r>
      <w:hyperlink r:id="rId36" w:history="1">
        <w:r w:rsidR="00C20EA9" w:rsidRPr="00F04695">
          <w:rPr>
            <w:rStyle w:val="Hyperlink"/>
            <w:bCs/>
            <w:u w:val="none"/>
          </w:rPr>
          <w:t>Access and Choice Programme: Report on the first three years</w:t>
        </w:r>
      </w:hyperlink>
      <w:r w:rsidR="00C20EA9">
        <w:rPr>
          <w:bCs/>
        </w:rPr>
        <w:t xml:space="preserve"> for further information.</w:t>
      </w:r>
    </w:p>
    <w:bookmarkEnd w:id="12"/>
    <w:p w14:paraId="4DC251FD" w14:textId="31A182AD" w:rsidR="00D77696" w:rsidRDefault="00D77696" w:rsidP="00806432">
      <w:pPr>
        <w:pStyle w:val="Heading2"/>
      </w:pPr>
      <w:r>
        <w:t>Tāngata whaiora and whānau feedback</w:t>
      </w:r>
    </w:p>
    <w:p w14:paraId="5080FCFD" w14:textId="2951159D" w:rsidR="00C16AB1" w:rsidRDefault="00602FAA" w:rsidP="00D77696">
      <w:r>
        <w:t>T</w:t>
      </w:r>
      <w:r w:rsidR="00D77696" w:rsidRPr="009E5AC8">
        <w:t xml:space="preserve">here is a clear measurement gap with how supports and services </w:t>
      </w:r>
      <w:r w:rsidR="00A61AB4">
        <w:t xml:space="preserve">engage with, and </w:t>
      </w:r>
      <w:r w:rsidR="00D77696" w:rsidRPr="009E5AC8">
        <w:t>incorporate tāngata whaiora and wh</w:t>
      </w:r>
      <w:r w:rsidR="004939A8">
        <w:t>ā</w:t>
      </w:r>
      <w:r w:rsidR="00D77696" w:rsidRPr="009E5AC8">
        <w:t xml:space="preserve">nau </w:t>
      </w:r>
      <w:r w:rsidR="00A61AB4">
        <w:t>feedback</w:t>
      </w:r>
      <w:r w:rsidR="00D77696" w:rsidRPr="009E5AC8">
        <w:t>, as well as clinical evidence, and innovation. Related to this, we don’t have visibility of the processes in place to restore relationships when harm occurs and how the lessons from such events are incorporated into practice.</w:t>
      </w:r>
    </w:p>
    <w:p w14:paraId="7AB5B536" w14:textId="60995637" w:rsidR="00C16AB1" w:rsidRDefault="00D1126E" w:rsidP="00D1126E">
      <w:pPr>
        <w:pStyle w:val="Heading2"/>
      </w:pPr>
      <w:r>
        <w:t>Outcome concept gaps</w:t>
      </w:r>
    </w:p>
    <w:p w14:paraId="5DD07047" w14:textId="77DAAB9E" w:rsidR="00E20E8B" w:rsidRDefault="00E20E8B" w:rsidP="00D77696">
      <w:r>
        <w:t xml:space="preserve">Our work so far </w:t>
      </w:r>
      <w:r w:rsidR="00570E8B">
        <w:t>has highlighted the following measurement gaps</w:t>
      </w:r>
      <w:r w:rsidR="006876FF">
        <w:t xml:space="preserve"> that we need to revisit in Phase 2:</w:t>
      </w:r>
    </w:p>
    <w:p w14:paraId="32D02B5B" w14:textId="07C7EF8C" w:rsidR="00D77696" w:rsidRDefault="00D77696" w:rsidP="00C8416D">
      <w:pPr>
        <w:pStyle w:val="ListParagraph"/>
        <w:numPr>
          <w:ilvl w:val="0"/>
          <w:numId w:val="17"/>
        </w:numPr>
      </w:pPr>
      <w:r w:rsidRPr="009E5AC8">
        <w:t xml:space="preserve">There are many measurement gaps relevant to </w:t>
      </w:r>
      <w:r w:rsidR="00D71ED7">
        <w:t>Te Ao M</w:t>
      </w:r>
      <w:r w:rsidRPr="009E5AC8">
        <w:t xml:space="preserve">āori </w:t>
      </w:r>
      <w:r w:rsidR="006876FF">
        <w:t>perspective</w:t>
      </w:r>
      <w:r w:rsidRPr="009E5AC8">
        <w:t xml:space="preserve">, particularly (but not only) relating to </w:t>
      </w:r>
      <w:r w:rsidR="003F0333">
        <w:t>M</w:t>
      </w:r>
      <w:r w:rsidRPr="009E5AC8">
        <w:t xml:space="preserve">ana </w:t>
      </w:r>
      <w:r w:rsidR="003F0333">
        <w:t>W</w:t>
      </w:r>
      <w:r w:rsidRPr="009E5AC8">
        <w:t>hānau</w:t>
      </w:r>
      <w:r w:rsidR="003F0333">
        <w:t xml:space="preserve"> </w:t>
      </w:r>
      <w:r w:rsidRPr="009E5AC8">
        <w:t>/</w:t>
      </w:r>
      <w:r w:rsidR="003F0333">
        <w:t xml:space="preserve"> W</w:t>
      </w:r>
      <w:r w:rsidRPr="009E5AC8">
        <w:t>hanaungatanga</w:t>
      </w:r>
      <w:r w:rsidRPr="00806432">
        <w:t>.</w:t>
      </w:r>
    </w:p>
    <w:p w14:paraId="430FECA8" w14:textId="773A2168" w:rsidR="00E20E8B" w:rsidRPr="00E20E8B" w:rsidRDefault="00E20E8B" w:rsidP="00C8416D">
      <w:pPr>
        <w:pStyle w:val="ListParagraph"/>
        <w:numPr>
          <w:ilvl w:val="0"/>
          <w:numId w:val="17"/>
        </w:numPr>
      </w:pPr>
      <w:r w:rsidRPr="00E20E8B">
        <w:t xml:space="preserve">Participation &amp; leadership - </w:t>
      </w:r>
      <w:r w:rsidR="000E4D2F">
        <w:t>t</w:t>
      </w:r>
      <w:r w:rsidRPr="00E20E8B">
        <w:t>āngata whaiora and whānau lead and co-produce policies, supports and services, responses, models of care, research, and training.</w:t>
      </w:r>
    </w:p>
    <w:p w14:paraId="54F6C4AB" w14:textId="58A54004" w:rsidR="00E20E8B" w:rsidRPr="00E20E8B" w:rsidRDefault="00E20E8B" w:rsidP="00C8416D">
      <w:pPr>
        <w:pStyle w:val="ListParagraph"/>
        <w:numPr>
          <w:ilvl w:val="0"/>
          <w:numId w:val="17"/>
        </w:numPr>
      </w:pPr>
      <w:r w:rsidRPr="00E20E8B">
        <w:lastRenderedPageBreak/>
        <w:t xml:space="preserve">Connected care - </w:t>
      </w:r>
      <w:r w:rsidR="000E4D2F">
        <w:t>e</w:t>
      </w:r>
      <w:r w:rsidRPr="00E20E8B">
        <w:t xml:space="preserve">ffective connections between mental health services, addiction services and physical healthcare help us stay physically well. </w:t>
      </w:r>
    </w:p>
    <w:p w14:paraId="19E3B395" w14:textId="47683D4A" w:rsidR="00E20E8B" w:rsidRPr="00E20E8B" w:rsidRDefault="00E20E8B" w:rsidP="00C8416D">
      <w:pPr>
        <w:pStyle w:val="ListParagraph"/>
        <w:numPr>
          <w:ilvl w:val="0"/>
          <w:numId w:val="17"/>
        </w:numPr>
      </w:pPr>
      <w:r w:rsidRPr="00E20E8B">
        <w:t xml:space="preserve">Effectiveness - </w:t>
      </w:r>
      <w:r w:rsidR="000E4D2F">
        <w:t>o</w:t>
      </w:r>
      <w:r w:rsidRPr="00E20E8B">
        <w:t xml:space="preserve">ur strengths and recovery stories are recognised and celebrated. </w:t>
      </w:r>
    </w:p>
    <w:p w14:paraId="2831C6D3" w14:textId="09FF7883" w:rsidR="00E20E8B" w:rsidRPr="00E20E8B" w:rsidRDefault="009B6485" w:rsidP="00C8416D">
      <w:pPr>
        <w:pStyle w:val="ListParagraph"/>
        <w:numPr>
          <w:ilvl w:val="0"/>
          <w:numId w:val="17"/>
        </w:numPr>
      </w:pPr>
      <w:r>
        <w:t xml:space="preserve">Equity - </w:t>
      </w:r>
      <w:r w:rsidR="000E4D2F">
        <w:t>w</w:t>
      </w:r>
      <w:r w:rsidR="00E20E8B" w:rsidRPr="00E20E8B">
        <w:t>e benefit from timely mental health, alcohol, gambling, and drug law reform that puts human rights, wellbeing and equity at the heart</w:t>
      </w:r>
      <w:r w:rsidR="00880B4B">
        <w:t>.</w:t>
      </w:r>
      <w:r w:rsidR="00E20E8B" w:rsidRPr="006876FF">
        <w:rPr>
          <w:b/>
          <w:bCs/>
        </w:rPr>
        <w:t xml:space="preserve"> </w:t>
      </w:r>
    </w:p>
    <w:p w14:paraId="4F634DD1" w14:textId="77777777" w:rsidR="00B1356E" w:rsidRDefault="00B1356E" w:rsidP="00B303FC">
      <w:pPr>
        <w:pStyle w:val="Heading2"/>
      </w:pPr>
      <w:r>
        <w:t>Health promotion and prevention</w:t>
      </w:r>
    </w:p>
    <w:p w14:paraId="2FAD2032" w14:textId="618986B2" w:rsidR="00B1356E" w:rsidRDefault="00CB0263" w:rsidP="006876FF">
      <w:pPr>
        <w:rPr>
          <w:szCs w:val="24"/>
        </w:rPr>
      </w:pPr>
      <w:r w:rsidRPr="00D91EB0">
        <w:rPr>
          <w:szCs w:val="24"/>
        </w:rPr>
        <w:t>H</w:t>
      </w:r>
      <w:r>
        <w:rPr>
          <w:szCs w:val="24"/>
        </w:rPr>
        <w:t xml:space="preserve">e </w:t>
      </w:r>
      <w:r w:rsidRPr="00D91EB0">
        <w:rPr>
          <w:szCs w:val="24"/>
        </w:rPr>
        <w:t>A</w:t>
      </w:r>
      <w:r>
        <w:rPr>
          <w:szCs w:val="24"/>
        </w:rPr>
        <w:t xml:space="preserve">ra </w:t>
      </w:r>
      <w:r w:rsidRPr="00D91EB0">
        <w:rPr>
          <w:szCs w:val="24"/>
        </w:rPr>
        <w:t>Ā</w:t>
      </w:r>
      <w:r>
        <w:rPr>
          <w:szCs w:val="24"/>
        </w:rPr>
        <w:t>whina</w:t>
      </w:r>
      <w:r w:rsidRPr="00D91EB0">
        <w:rPr>
          <w:szCs w:val="24"/>
        </w:rPr>
        <w:t xml:space="preserve"> contains outcome statements relating to health promotion and prevention. This </w:t>
      </w:r>
      <w:r>
        <w:rPr>
          <w:szCs w:val="24"/>
        </w:rPr>
        <w:t xml:space="preserve">is an </w:t>
      </w:r>
      <w:r w:rsidRPr="00D91EB0">
        <w:rPr>
          <w:szCs w:val="24"/>
        </w:rPr>
        <w:t>aspect of health service</w:t>
      </w:r>
      <w:r>
        <w:rPr>
          <w:szCs w:val="24"/>
        </w:rPr>
        <w:t xml:space="preserve"> delivery and i</w:t>
      </w:r>
      <w:r w:rsidRPr="00D91EB0">
        <w:rPr>
          <w:szCs w:val="24"/>
        </w:rPr>
        <w:t xml:space="preserve">s </w:t>
      </w:r>
      <w:r>
        <w:rPr>
          <w:szCs w:val="24"/>
        </w:rPr>
        <w:t>within scope for Phase 1 of methods and measures. Health promotion also has a</w:t>
      </w:r>
      <w:r w:rsidRPr="00D91EB0">
        <w:rPr>
          <w:szCs w:val="24"/>
        </w:rPr>
        <w:t xml:space="preserve"> line of sight to the population indicators in He Ara Oranga. However, measures in this space are limited </w:t>
      </w:r>
      <w:r>
        <w:rPr>
          <w:szCs w:val="24"/>
        </w:rPr>
        <w:t xml:space="preserve">both </w:t>
      </w:r>
      <w:r w:rsidRPr="00D91EB0">
        <w:rPr>
          <w:szCs w:val="24"/>
        </w:rPr>
        <w:t>in New Zealand and internationally.</w:t>
      </w:r>
    </w:p>
    <w:p w14:paraId="07716FB8" w14:textId="209341B0" w:rsidR="00D20313" w:rsidRDefault="00D20313" w:rsidP="006876FF">
      <w:pPr>
        <w:rPr>
          <w:rFonts w:eastAsiaTheme="minorEastAsia"/>
          <w:szCs w:val="24"/>
        </w:rPr>
      </w:pPr>
      <w:r>
        <w:rPr>
          <w:szCs w:val="24"/>
        </w:rPr>
        <w:t xml:space="preserve">We have looked more closely at potential </w:t>
      </w:r>
      <w:r w:rsidR="00FA48A0">
        <w:rPr>
          <w:szCs w:val="24"/>
        </w:rPr>
        <w:t>measures</w:t>
      </w:r>
      <w:r w:rsidR="0056580A">
        <w:rPr>
          <w:szCs w:val="24"/>
        </w:rPr>
        <w:t xml:space="preserve"> in our </w:t>
      </w:r>
      <w:r w:rsidR="00F4140B">
        <w:rPr>
          <w:szCs w:val="24"/>
        </w:rPr>
        <w:t>longlist</w:t>
      </w:r>
      <w:r w:rsidR="009E3E9B">
        <w:rPr>
          <w:szCs w:val="24"/>
        </w:rPr>
        <w:t xml:space="preserve"> however n</w:t>
      </w:r>
      <w:r w:rsidR="009E3E9B" w:rsidRPr="33600921">
        <w:rPr>
          <w:rFonts w:eastAsiaTheme="minorEastAsia"/>
          <w:szCs w:val="24"/>
        </w:rPr>
        <w:t>one of the suggested measures have been fully developed. This means the data is not available, is one off, not nationally consistent, or requires assembling from several sources</w:t>
      </w:r>
      <w:r w:rsidR="009E3E9B">
        <w:rPr>
          <w:rFonts w:eastAsiaTheme="minorEastAsia"/>
          <w:szCs w:val="24"/>
        </w:rPr>
        <w:t>. This will need to be a development focus in Phase 2.</w:t>
      </w:r>
    </w:p>
    <w:p w14:paraId="26967927" w14:textId="48C6BA9E" w:rsidR="00690030" w:rsidRPr="00690030" w:rsidRDefault="000D2596" w:rsidP="00690030">
      <w:pPr>
        <w:rPr>
          <w:rFonts w:eastAsiaTheme="minorEastAsia"/>
          <w:szCs w:val="24"/>
        </w:rPr>
      </w:pPr>
      <w:r>
        <w:rPr>
          <w:rFonts w:eastAsiaTheme="minorEastAsia"/>
          <w:szCs w:val="24"/>
        </w:rPr>
        <w:t>An example of this</w:t>
      </w:r>
      <w:r w:rsidR="00690030">
        <w:rPr>
          <w:rFonts w:eastAsiaTheme="minorEastAsia"/>
          <w:szCs w:val="24"/>
        </w:rPr>
        <w:t xml:space="preserve"> is </w:t>
      </w:r>
      <w:r w:rsidR="00690030" w:rsidRPr="00690030">
        <w:rPr>
          <w:rFonts w:eastAsiaTheme="minorEastAsia"/>
          <w:szCs w:val="24"/>
        </w:rPr>
        <w:t>access to Māori mama pēpi parenting programmes</w:t>
      </w:r>
      <w:r w:rsidR="007D4980">
        <w:rPr>
          <w:rFonts w:eastAsiaTheme="minorEastAsia"/>
          <w:szCs w:val="24"/>
        </w:rPr>
        <w:t xml:space="preserve"> (Tūpuna parenting). </w:t>
      </w:r>
      <w:r w:rsidR="00690030" w:rsidRPr="00690030">
        <w:rPr>
          <w:rFonts w:eastAsiaTheme="minorEastAsia"/>
          <w:szCs w:val="24"/>
        </w:rPr>
        <w:t>There are a few great programmes around</w:t>
      </w:r>
      <w:r w:rsidR="00C802DA">
        <w:rPr>
          <w:rFonts w:eastAsiaTheme="minorEastAsia"/>
          <w:szCs w:val="24"/>
        </w:rPr>
        <w:t>,</w:t>
      </w:r>
      <w:r w:rsidR="00690030" w:rsidRPr="00690030">
        <w:rPr>
          <w:rFonts w:eastAsiaTheme="minorEastAsia"/>
          <w:szCs w:val="24"/>
        </w:rPr>
        <w:t xml:space="preserve"> but they are typically small and not widely available.</w:t>
      </w:r>
    </w:p>
    <w:p w14:paraId="100612E9" w14:textId="77777777" w:rsidR="00F960AA" w:rsidRDefault="00F960AA">
      <w:pPr>
        <w:spacing w:line="259" w:lineRule="auto"/>
        <w:rPr>
          <w:rFonts w:ascii="Basic Sans" w:eastAsiaTheme="majorEastAsia" w:hAnsi="Basic Sans" w:cstheme="majorBidi"/>
          <w:color w:val="005E85"/>
          <w:sz w:val="40"/>
          <w:szCs w:val="32"/>
        </w:rPr>
      </w:pPr>
      <w:r>
        <w:br w:type="page"/>
      </w:r>
    </w:p>
    <w:p w14:paraId="7C79E04E" w14:textId="125CDFE5" w:rsidR="00436BFD" w:rsidRPr="00F960AA" w:rsidRDefault="00436BFD" w:rsidP="00436BFD">
      <w:pPr>
        <w:pStyle w:val="Heading1"/>
        <w:rPr>
          <w:sz w:val="56"/>
          <w:szCs w:val="56"/>
        </w:rPr>
      </w:pPr>
      <w:bookmarkStart w:id="13" w:name="_Implementation_and_future"/>
      <w:bookmarkStart w:id="14" w:name="_Toc135392321"/>
      <w:bookmarkEnd w:id="13"/>
      <w:r w:rsidRPr="009E5AC8">
        <w:rPr>
          <w:sz w:val="56"/>
          <w:szCs w:val="56"/>
        </w:rPr>
        <w:lastRenderedPageBreak/>
        <w:t>Implementation and future expectations</w:t>
      </w:r>
      <w:bookmarkEnd w:id="14"/>
    </w:p>
    <w:p w14:paraId="70D877E0" w14:textId="50D637AD" w:rsidR="008F309F" w:rsidRDefault="008F309F" w:rsidP="000D68A9">
      <w:r w:rsidRPr="00692C63">
        <w:t xml:space="preserve">The purpose of this section is to outline a range of opportunities identified by </w:t>
      </w:r>
      <w:r w:rsidR="00B353E6">
        <w:t>our external advisors</w:t>
      </w:r>
      <w:r w:rsidR="00570DDE">
        <w:t xml:space="preserve"> to address data gaps and</w:t>
      </w:r>
      <w:r w:rsidRPr="00692C63">
        <w:t xml:space="preserve"> about how to implement the framework. It reflects the combined commitment of the advisory groups to support the </w:t>
      </w:r>
      <w:r w:rsidR="000D68A9">
        <w:t xml:space="preserve">role of Te Hiringa Mahara </w:t>
      </w:r>
      <w:r w:rsidRPr="00692C63">
        <w:t>and desire to implement the framework</w:t>
      </w:r>
      <w:r w:rsidR="000D68A9">
        <w:t>s</w:t>
      </w:r>
      <w:r w:rsidRPr="00692C63">
        <w:t xml:space="preserve"> in a sustainable and effective way.</w:t>
      </w:r>
    </w:p>
    <w:p w14:paraId="25996F61" w14:textId="18A438D9" w:rsidR="006509B8" w:rsidRPr="006509B8" w:rsidRDefault="006509B8" w:rsidP="006509B8">
      <w:pPr>
        <w:pStyle w:val="Heading2"/>
        <w:rPr>
          <w:lang w:val="en-US"/>
        </w:rPr>
      </w:pPr>
      <w:r w:rsidRPr="006509B8">
        <w:t>Whānau</w:t>
      </w:r>
      <w:r w:rsidRPr="006509B8">
        <w:rPr>
          <w:lang w:val="en-US"/>
        </w:rPr>
        <w:t xml:space="preserve"> and tāngata whaiora are their own agents of change</w:t>
      </w:r>
    </w:p>
    <w:p w14:paraId="0A52B46F" w14:textId="7B85597D" w:rsidR="006509B8" w:rsidRPr="006509B8" w:rsidRDefault="006509B8" w:rsidP="009E5AC8">
      <w:pPr>
        <w:rPr>
          <w:lang w:val="en-US"/>
        </w:rPr>
      </w:pPr>
      <w:r w:rsidRPr="006509B8">
        <w:rPr>
          <w:lang w:val="en-US"/>
        </w:rPr>
        <w:t xml:space="preserve">The advisory groups agreed that agency and strengths of people must be recognised as part of this </w:t>
      </w:r>
      <w:r w:rsidR="00750EB8">
        <w:rPr>
          <w:lang w:val="en-US"/>
        </w:rPr>
        <w:t>work</w:t>
      </w:r>
      <w:r w:rsidRPr="006509B8">
        <w:rPr>
          <w:lang w:val="en-US"/>
        </w:rPr>
        <w:t xml:space="preserve">. This means that while providers have a positive role to play, supporting people to achieve their self-determined outcomes, people are leaders and experts in their own health and wellbeing. Providers should not detract from, reduce, or override agency. More discussion is required about respecting </w:t>
      </w:r>
      <w:r w:rsidRPr="006509B8">
        <w:t>whānau</w:t>
      </w:r>
      <w:r w:rsidRPr="006509B8">
        <w:rPr>
          <w:lang w:val="en-US"/>
        </w:rPr>
        <w:t xml:space="preserve"> agency and provider roles.</w:t>
      </w:r>
    </w:p>
    <w:p w14:paraId="552DBFDC" w14:textId="104CEBF1" w:rsidR="00F42F16" w:rsidRPr="00F42F16" w:rsidRDefault="00F42F16" w:rsidP="009E5AC8">
      <w:pPr>
        <w:pStyle w:val="Heading2"/>
        <w:rPr>
          <w:lang w:val="en-US"/>
        </w:rPr>
      </w:pPr>
      <w:r w:rsidRPr="00F42F16">
        <w:rPr>
          <w:lang w:val="en-US"/>
        </w:rPr>
        <w:t>Courage and commitment to “hold the kaupapa line”</w:t>
      </w:r>
    </w:p>
    <w:p w14:paraId="57263A9B" w14:textId="7BAFD38C" w:rsidR="00F42F16" w:rsidRPr="00F42F16" w:rsidRDefault="00F42F16" w:rsidP="00F42F16">
      <w:pPr>
        <w:rPr>
          <w:lang w:val="en-US"/>
        </w:rPr>
      </w:pPr>
      <w:r w:rsidRPr="00F42F16">
        <w:rPr>
          <w:lang w:val="en-US"/>
        </w:rPr>
        <w:t>New Zealand’s public sector and health system is acknowledged as having great intent with poor implementation</w:t>
      </w:r>
      <w:r w:rsidR="00084CC0">
        <w:rPr>
          <w:lang w:val="en-US"/>
        </w:rPr>
        <w:t xml:space="preserve"> (Health and Disability System Review, 2020)</w:t>
      </w:r>
      <w:r w:rsidRPr="00F42F16">
        <w:rPr>
          <w:lang w:val="en-US"/>
        </w:rPr>
        <w:t xml:space="preserve">. </w:t>
      </w:r>
      <w:r w:rsidRPr="00F42F16">
        <w:t>Some of the existing measures would be more useful with better implementation and / or adherence to guidelines. Implementation (and ongoing utility) of new frameworks, tools, or measures is usually challenging. We can develop the best framework possible but if implementation isn’t accurate, widespread, or accepted by users, data quality issues will remain.</w:t>
      </w:r>
    </w:p>
    <w:p w14:paraId="0116725B" w14:textId="3428E886" w:rsidR="00F42F16" w:rsidRDefault="00F42F16" w:rsidP="00F42F16">
      <w:pPr>
        <w:rPr>
          <w:lang w:val="en-US"/>
        </w:rPr>
      </w:pPr>
      <w:r w:rsidRPr="00F42F16">
        <w:rPr>
          <w:lang w:val="en-US"/>
        </w:rPr>
        <w:t>Working within complex systems, it is often hard work to bring multiple partners together, over a sustained period to implement an outcome-focused approach and to ‘flip the script</w:t>
      </w:r>
      <w:r w:rsidR="00EC2297">
        <w:rPr>
          <w:lang w:val="en-US"/>
        </w:rPr>
        <w:t>.</w:t>
      </w:r>
      <w:r w:rsidRPr="00F42F16">
        <w:rPr>
          <w:lang w:val="en-US"/>
        </w:rPr>
        <w:t>’ He Ara Oranga advised that “i</w:t>
      </w:r>
      <w:r w:rsidRPr="00F42F16">
        <w:t>nvesting in change itself is important. The speed and consistency of uptake of innovation or change is greatly improved by having implementation support</w:t>
      </w:r>
      <w:r w:rsidRPr="00F42F16">
        <w:rPr>
          <w:lang w:val="en-US"/>
        </w:rPr>
        <w:t>”</w:t>
      </w:r>
      <w:r w:rsidR="00255A2B">
        <w:rPr>
          <w:lang w:val="en-US"/>
        </w:rPr>
        <w:t xml:space="preserve"> (</w:t>
      </w:r>
      <w:r w:rsidR="00C32671">
        <w:rPr>
          <w:lang w:val="en-US"/>
        </w:rPr>
        <w:t>Paterson et al, 2018</w:t>
      </w:r>
      <w:r w:rsidR="009A6199">
        <w:rPr>
          <w:lang w:val="en-US"/>
        </w:rPr>
        <w:t>, p.119)</w:t>
      </w:r>
      <w:r w:rsidRPr="00F42F16">
        <w:rPr>
          <w:lang w:val="en-US"/>
        </w:rPr>
        <w:t xml:space="preserve">. </w:t>
      </w:r>
      <w:r w:rsidR="00A52025">
        <w:rPr>
          <w:lang w:val="en-US"/>
        </w:rPr>
        <w:t>We</w:t>
      </w:r>
      <w:r w:rsidRPr="00F42F16">
        <w:rPr>
          <w:lang w:val="en-US"/>
        </w:rPr>
        <w:t xml:space="preserve"> encourage </w:t>
      </w:r>
      <w:r w:rsidR="00A52025">
        <w:rPr>
          <w:lang w:val="en-US"/>
        </w:rPr>
        <w:t>Te Hiringa Mahara</w:t>
      </w:r>
      <w:r w:rsidRPr="00F42F16">
        <w:rPr>
          <w:lang w:val="en-US"/>
        </w:rPr>
        <w:t xml:space="preserve"> to maintain its </w:t>
      </w:r>
      <w:r w:rsidR="00A839C5">
        <w:rPr>
          <w:lang w:val="en-US"/>
        </w:rPr>
        <w:t xml:space="preserve">māia </w:t>
      </w:r>
      <w:r w:rsidR="00D0636B">
        <w:rPr>
          <w:lang w:val="en-US"/>
        </w:rPr>
        <w:t>(</w:t>
      </w:r>
      <w:r w:rsidRPr="00F42F16">
        <w:rPr>
          <w:lang w:val="en-US"/>
        </w:rPr>
        <w:t>courage and commitment</w:t>
      </w:r>
      <w:r w:rsidR="00D0636B">
        <w:rPr>
          <w:lang w:val="en-US"/>
        </w:rPr>
        <w:t>)</w:t>
      </w:r>
      <w:r w:rsidRPr="00F42F16">
        <w:rPr>
          <w:lang w:val="en-US"/>
        </w:rPr>
        <w:t xml:space="preserve"> to shift the system from transactional to outcomes-focused within the kaupapa of Wellbeing.</w:t>
      </w:r>
    </w:p>
    <w:p w14:paraId="6BBC1D15" w14:textId="77777777" w:rsidR="00D772FA" w:rsidRPr="00D772FA" w:rsidRDefault="00D772FA" w:rsidP="009E5AC8">
      <w:pPr>
        <w:pStyle w:val="Heading2"/>
        <w:rPr>
          <w:lang w:val="en-US"/>
        </w:rPr>
      </w:pPr>
      <w:r w:rsidRPr="00D772FA">
        <w:rPr>
          <w:lang w:val="en-US"/>
        </w:rPr>
        <w:t>It’s about agile change management - within the kaupapa</w:t>
      </w:r>
    </w:p>
    <w:p w14:paraId="2AB48CAA" w14:textId="77777777" w:rsidR="00D772FA" w:rsidRPr="00D772FA" w:rsidRDefault="00D772FA" w:rsidP="00D772FA">
      <w:pPr>
        <w:rPr>
          <w:lang w:val="en-US"/>
        </w:rPr>
      </w:pPr>
      <w:r w:rsidRPr="00D772FA">
        <w:rPr>
          <w:lang w:val="en-US"/>
        </w:rPr>
        <w:t xml:space="preserve">Agility is the ability to assess, reassess, move, and adapt based on evidence and reliable advice. It also means that a ‘speed bump’ is a learning experience, not a reason for wholesale change or an absolute failure per se. Change management is about partnering with others to effect multiple means to make a change that is jointly agreed is important. </w:t>
      </w:r>
    </w:p>
    <w:p w14:paraId="5F386FB4" w14:textId="5C8FB46F" w:rsidR="00CC4BD7" w:rsidRDefault="00D772FA" w:rsidP="00D772FA">
      <w:pPr>
        <w:rPr>
          <w:lang w:val="en-US"/>
        </w:rPr>
      </w:pPr>
      <w:r w:rsidRPr="00D772FA">
        <w:rPr>
          <w:lang w:val="en-US"/>
        </w:rPr>
        <w:lastRenderedPageBreak/>
        <w:t>Learning, adapting, and partnering are all great change management techniques and will be important in the future to “hold the kaupapa line”. The TA</w:t>
      </w:r>
      <w:r w:rsidR="008C6815">
        <w:rPr>
          <w:lang w:val="en-US"/>
        </w:rPr>
        <w:t>N</w:t>
      </w:r>
      <w:r w:rsidRPr="00D772FA">
        <w:rPr>
          <w:lang w:val="en-US"/>
        </w:rPr>
        <w:t xml:space="preserve"> Chair suggests that the outcome framework is much more than outcomes; it is a guide which enables </w:t>
      </w:r>
      <w:r w:rsidR="009816AC">
        <w:rPr>
          <w:lang w:val="en-US"/>
        </w:rPr>
        <w:t>Te Hiringa Mahara</w:t>
      </w:r>
      <w:r w:rsidRPr="00D772FA">
        <w:rPr>
          <w:lang w:val="en-US"/>
        </w:rPr>
        <w:t xml:space="preserve"> to shift the way the whole system can work better for </w:t>
      </w:r>
      <w:r w:rsidRPr="00D772FA">
        <w:t>whānau</w:t>
      </w:r>
      <w:r w:rsidRPr="00D772FA">
        <w:rPr>
          <w:lang w:val="en-US"/>
        </w:rPr>
        <w:t xml:space="preserve"> and t</w:t>
      </w:r>
      <w:r w:rsidR="009816AC">
        <w:rPr>
          <w:lang w:val="en-US"/>
        </w:rPr>
        <w:t>ā</w:t>
      </w:r>
      <w:r w:rsidRPr="00D772FA">
        <w:rPr>
          <w:lang w:val="en-US"/>
        </w:rPr>
        <w:t>ngata whaiora.</w:t>
      </w:r>
    </w:p>
    <w:p w14:paraId="28A5AC95" w14:textId="77777777" w:rsidR="00F8673F" w:rsidRPr="00F8673F" w:rsidRDefault="00F8673F" w:rsidP="009E5AC8">
      <w:pPr>
        <w:pStyle w:val="Heading2"/>
        <w:rPr>
          <w:lang w:val="en-US"/>
        </w:rPr>
      </w:pPr>
      <w:r w:rsidRPr="00F8673F">
        <w:rPr>
          <w:lang w:val="en-US"/>
        </w:rPr>
        <w:t>Understand and support clear accountability</w:t>
      </w:r>
    </w:p>
    <w:p w14:paraId="76DAA924" w14:textId="2F26BCE7" w:rsidR="00F8673F" w:rsidRPr="00F8673F" w:rsidRDefault="00F8673F" w:rsidP="00F8673F">
      <w:pPr>
        <w:rPr>
          <w:lang w:val="en-US"/>
        </w:rPr>
      </w:pPr>
      <w:r w:rsidRPr="00F8673F">
        <w:rPr>
          <w:lang w:val="en-US"/>
        </w:rPr>
        <w:t>Implementation requires clarity about who is accountable for what, at multiple levels</w:t>
      </w:r>
      <w:r w:rsidR="000F0C06">
        <w:rPr>
          <w:lang w:val="en-US"/>
        </w:rPr>
        <w:t>,</w:t>
      </w:r>
      <w:r w:rsidRPr="00F8673F">
        <w:rPr>
          <w:lang w:val="en-US"/>
        </w:rPr>
        <w:t xml:space="preserve"> e.g., from population to system and services. It also requires clarity about shared accountability versus sole. In this regard, it is suggested that if systems are to change for the better, accountability must be shared across multiple partners for population and system level outcomes. In addition, ‘sole’ accountability must also be clarified. This complementary type of accountability supports high-performing providers, agencies, and, indeed, </w:t>
      </w:r>
      <w:r w:rsidR="009E2AD4">
        <w:rPr>
          <w:lang w:val="en-US"/>
        </w:rPr>
        <w:t>Te Hiringa Mahara</w:t>
      </w:r>
      <w:r w:rsidRPr="00F8673F">
        <w:rPr>
          <w:lang w:val="en-US"/>
        </w:rPr>
        <w:t>, holding accountability to deliver outcomes or results linked to its role, scope</w:t>
      </w:r>
      <w:r w:rsidR="008A2A93">
        <w:rPr>
          <w:lang w:val="en-US"/>
        </w:rPr>
        <w:t>,</w:t>
      </w:r>
      <w:r w:rsidRPr="00F8673F">
        <w:rPr>
          <w:lang w:val="en-US"/>
        </w:rPr>
        <w:t xml:space="preserve"> and function. Robust accountability mechanisms will include clarity about levers to influence success.</w:t>
      </w:r>
    </w:p>
    <w:p w14:paraId="0D94212C" w14:textId="61411CCD" w:rsidR="00A732FF" w:rsidRDefault="009E2AD4" w:rsidP="00DB662D">
      <w:r>
        <w:t>This is especially important</w:t>
      </w:r>
      <w:r w:rsidR="00693200">
        <w:t xml:space="preserve"> while </w:t>
      </w:r>
      <w:r w:rsidR="00693200" w:rsidRPr="00693200">
        <w:t xml:space="preserve">the health reforms </w:t>
      </w:r>
      <w:r w:rsidR="004B2399">
        <w:t xml:space="preserve">are implemented as </w:t>
      </w:r>
      <w:r w:rsidR="005111A0" w:rsidRPr="00693200">
        <w:t>functions and people have moved from one entity to another</w:t>
      </w:r>
      <w:r w:rsidR="00CE5A81">
        <w:t>, and there is a lack of clarity at this point in time</w:t>
      </w:r>
      <w:r w:rsidR="004C4F8F">
        <w:t xml:space="preserve"> </w:t>
      </w:r>
      <w:r w:rsidR="003549CE">
        <w:t>as to who is responsible for some functions</w:t>
      </w:r>
      <w:r w:rsidR="004C4F8F">
        <w:t>.</w:t>
      </w:r>
    </w:p>
    <w:p w14:paraId="06C94B3C" w14:textId="3EBFEFC4" w:rsidR="00A732FF" w:rsidRPr="00692C63" w:rsidRDefault="00A732FF" w:rsidP="009E5AC8">
      <w:pPr>
        <w:pStyle w:val="Heading2"/>
      </w:pPr>
      <w:r w:rsidRPr="00692C63">
        <w:t xml:space="preserve">An </w:t>
      </w:r>
      <w:r w:rsidR="009C1935">
        <w:t>i</w:t>
      </w:r>
      <w:r w:rsidRPr="00692C63">
        <w:t xml:space="preserve">nfluencer </w:t>
      </w:r>
      <w:r w:rsidR="009C1935">
        <w:t>not</w:t>
      </w:r>
      <w:r w:rsidRPr="00692C63">
        <w:t xml:space="preserve"> a funder</w:t>
      </w:r>
    </w:p>
    <w:p w14:paraId="735803C0" w14:textId="53BBB985" w:rsidR="00A732FF" w:rsidRPr="00692C63" w:rsidRDefault="00A732FF" w:rsidP="00A732FF">
      <w:pPr>
        <w:rPr>
          <w:rFonts w:cs="Arial"/>
        </w:rPr>
      </w:pPr>
      <w:r>
        <w:rPr>
          <w:rFonts w:cs="Arial"/>
        </w:rPr>
        <w:t>Te Hiringa Mahara</w:t>
      </w:r>
      <w:r w:rsidRPr="00692C63">
        <w:rPr>
          <w:rFonts w:cs="Arial"/>
        </w:rPr>
        <w:t xml:space="preserve"> is not a funder. However, it is expected to understand and comment upon </w:t>
      </w:r>
      <w:r w:rsidR="0082316F">
        <w:rPr>
          <w:rFonts w:cs="Arial"/>
        </w:rPr>
        <w:t>mental health and w</w:t>
      </w:r>
      <w:r w:rsidRPr="00692C63">
        <w:rPr>
          <w:rFonts w:cs="Arial"/>
        </w:rPr>
        <w:t>ellbeing</w:t>
      </w:r>
      <w:r>
        <w:rPr>
          <w:rFonts w:cs="Arial"/>
        </w:rPr>
        <w:t>,</w:t>
      </w:r>
      <w:r w:rsidRPr="00692C63">
        <w:rPr>
          <w:rFonts w:cs="Arial"/>
        </w:rPr>
        <w:t xml:space="preserve"> which is strongly influenced by multiple funder</w:t>
      </w:r>
      <w:r w:rsidR="00CD1218">
        <w:rPr>
          <w:rFonts w:cs="Arial"/>
        </w:rPr>
        <w:t>s’</w:t>
      </w:r>
      <w:r w:rsidRPr="00692C63">
        <w:rPr>
          <w:rFonts w:cs="Arial"/>
        </w:rPr>
        <w:t xml:space="preserve"> decision-making. Therefore, </w:t>
      </w:r>
      <w:r w:rsidR="0082316F">
        <w:rPr>
          <w:rFonts w:cs="Arial"/>
        </w:rPr>
        <w:t>Te Hiringa Mahara</w:t>
      </w:r>
      <w:r w:rsidRPr="00692C63">
        <w:rPr>
          <w:rFonts w:cs="Arial"/>
        </w:rPr>
        <w:t xml:space="preserve"> has a role to influence and partner with many for a common good.</w:t>
      </w:r>
    </w:p>
    <w:p w14:paraId="3A3BF152" w14:textId="74139A54" w:rsidR="00F8673F" w:rsidRPr="00A70B87" w:rsidRDefault="00A732FF" w:rsidP="009E5AC8">
      <w:pPr>
        <w:rPr>
          <w:rFonts w:cs="Arial"/>
        </w:rPr>
      </w:pPr>
      <w:r w:rsidRPr="00692C63">
        <w:rPr>
          <w:rFonts w:cs="Arial"/>
        </w:rPr>
        <w:t xml:space="preserve">The </w:t>
      </w:r>
      <w:r w:rsidR="002846C1">
        <w:rPr>
          <w:rFonts w:cs="Arial"/>
        </w:rPr>
        <w:t>advisors</w:t>
      </w:r>
      <w:r w:rsidRPr="00692C63">
        <w:rPr>
          <w:rFonts w:cs="Arial"/>
        </w:rPr>
        <w:t xml:space="preserve"> acknowledge the </w:t>
      </w:r>
      <w:r w:rsidR="004807A0">
        <w:rPr>
          <w:rFonts w:cs="Arial"/>
        </w:rPr>
        <w:t>i</w:t>
      </w:r>
      <w:r w:rsidRPr="00692C63">
        <w:rPr>
          <w:rFonts w:cs="Arial"/>
        </w:rPr>
        <w:t>nfluence</w:t>
      </w:r>
      <w:r w:rsidR="004807A0">
        <w:rPr>
          <w:rFonts w:cs="Arial"/>
        </w:rPr>
        <w:t>r</w:t>
      </w:r>
      <w:r w:rsidRPr="00692C63">
        <w:rPr>
          <w:rFonts w:cs="Arial"/>
        </w:rPr>
        <w:t xml:space="preserve"> role and support the ability </w:t>
      </w:r>
      <w:r w:rsidR="0080524E">
        <w:rPr>
          <w:rFonts w:cs="Arial"/>
        </w:rPr>
        <w:t xml:space="preserve">of Te Hiringa Mahara </w:t>
      </w:r>
      <w:r w:rsidRPr="00692C63">
        <w:rPr>
          <w:rFonts w:cs="Arial"/>
        </w:rPr>
        <w:t xml:space="preserve">to articulate what good looks like and measure the same. Advanced negotiation and partnering skills will be required to ensure multiple partners work together to achieve </w:t>
      </w:r>
      <w:r w:rsidR="0080524E">
        <w:rPr>
          <w:rFonts w:cs="Arial"/>
        </w:rPr>
        <w:t>improved and equitable w</w:t>
      </w:r>
      <w:r w:rsidRPr="00692C63">
        <w:rPr>
          <w:rFonts w:cs="Arial"/>
        </w:rPr>
        <w:t>ellbeing.</w:t>
      </w:r>
    </w:p>
    <w:p w14:paraId="31B3BC7E" w14:textId="76031F66" w:rsidR="001331EF" w:rsidRDefault="001331EF" w:rsidP="009E5AC8">
      <w:pPr>
        <w:pStyle w:val="Heading2"/>
      </w:pPr>
      <w:r>
        <w:t>Full application of He Ara Āwhina</w:t>
      </w:r>
    </w:p>
    <w:p w14:paraId="1C0CCA25" w14:textId="35FEE440" w:rsidR="001331EF" w:rsidRDefault="001331EF" w:rsidP="009E5AC8">
      <w:r>
        <w:t>It is expected that as the methods and measures phases progress, Te Hiringa Mahara will work towards all system aspirations described in He Ara Āwhina being measured in some way. This may be achieved through quantitative or qualitative methods in accordance with the Monitoring Strategy. However, we need to ensure a better balance of qualitative information and quantitative information given Phase 1 and 2023 monitoring reporting will predominantly be quantitative due to availability and timing.</w:t>
      </w:r>
    </w:p>
    <w:p w14:paraId="74F3E2FC" w14:textId="753ACBE5" w:rsidR="004F6064" w:rsidRDefault="00FD5236" w:rsidP="004F6064">
      <w:pPr>
        <w:pStyle w:val="Heading2"/>
      </w:pPr>
      <w:r>
        <w:lastRenderedPageBreak/>
        <w:t>Te</w:t>
      </w:r>
      <w:r w:rsidR="004F6064">
        <w:t xml:space="preserve"> </w:t>
      </w:r>
      <w:r w:rsidR="00D71ED7">
        <w:t>A</w:t>
      </w:r>
      <w:r w:rsidR="004F6064">
        <w:t>o Māori perspective</w:t>
      </w:r>
    </w:p>
    <w:p w14:paraId="38E705DF" w14:textId="7EE93AFE" w:rsidR="00315054" w:rsidRDefault="00862221" w:rsidP="00875955">
      <w:r w:rsidRPr="00875955">
        <w:t xml:space="preserve">The TAN Māori roopū noted that </w:t>
      </w:r>
      <w:r w:rsidR="00D83972">
        <w:t xml:space="preserve">many of </w:t>
      </w:r>
      <w:r w:rsidRPr="00875955">
        <w:t xml:space="preserve">the </w:t>
      </w:r>
      <w:r w:rsidR="008A3345">
        <w:t>s</w:t>
      </w:r>
      <w:r w:rsidR="008A3345" w:rsidRPr="00875955">
        <w:t>hort</w:t>
      </w:r>
      <w:r w:rsidR="008A3345">
        <w:t>listed</w:t>
      </w:r>
      <w:r w:rsidR="002E3ACC" w:rsidRPr="00875955">
        <w:t xml:space="preserve"> </w:t>
      </w:r>
      <w:r w:rsidRPr="00875955">
        <w:t>measures</w:t>
      </w:r>
      <w:r w:rsidR="00D83972">
        <w:t xml:space="preserve"> for 2023 monitoring</w:t>
      </w:r>
      <w:r w:rsidRPr="00875955">
        <w:t xml:space="preserve"> have been</w:t>
      </w:r>
      <w:r w:rsidR="00A739F3">
        <w:t xml:space="preserve"> produced by</w:t>
      </w:r>
      <w:r w:rsidRPr="00875955">
        <w:t xml:space="preserve"> their relevant sources for some time. The TAN Māori roopū expectation of Te Hiringa Mahara </w:t>
      </w:r>
      <w:r w:rsidR="009C5C5F">
        <w:t>is</w:t>
      </w:r>
      <w:r w:rsidR="009C5C5F" w:rsidRPr="00875955">
        <w:t xml:space="preserve"> </w:t>
      </w:r>
      <w:r w:rsidRPr="00875955">
        <w:t>that an effective monitoring process meets Māori aspirations articulated through the foundation measures.</w:t>
      </w:r>
    </w:p>
    <w:p w14:paraId="6E6FFE36" w14:textId="77777777" w:rsidR="001932A6" w:rsidRPr="001932A6" w:rsidRDefault="001932A6" w:rsidP="009E5AC8">
      <w:pPr>
        <w:pStyle w:val="Heading2"/>
        <w:rPr>
          <w:lang w:val="en-US"/>
        </w:rPr>
      </w:pPr>
      <w:r w:rsidRPr="001932A6">
        <w:rPr>
          <w:lang w:val="en-US"/>
        </w:rPr>
        <w:t>Data is key – but there are many gaps and opportunities</w:t>
      </w:r>
    </w:p>
    <w:p w14:paraId="59785D5E" w14:textId="31EB97F2" w:rsidR="001932A6" w:rsidRPr="001932A6" w:rsidRDefault="001932A6" w:rsidP="001932A6">
      <w:pPr>
        <w:rPr>
          <w:lang w:val="en-US"/>
        </w:rPr>
      </w:pPr>
      <w:r w:rsidRPr="001932A6">
        <w:rPr>
          <w:lang w:val="en-US"/>
        </w:rPr>
        <w:t xml:space="preserve">Monocultural data design, collection and use is an unacceptable barrier to progress. It is generally accepted in the public sector that a monocultural lens does not serve this country well; especially when it comes to tackling persistent and unacceptable inequities for Māori as tangata whenua and for all </w:t>
      </w:r>
      <w:r w:rsidR="00812D9B">
        <w:rPr>
          <w:lang w:val="en-US"/>
        </w:rPr>
        <w:t>Aotearoa</w:t>
      </w:r>
      <w:r w:rsidRPr="001932A6">
        <w:rPr>
          <w:lang w:val="en-US"/>
        </w:rPr>
        <w:t xml:space="preserve"> citizens. As a result of </w:t>
      </w:r>
      <w:r w:rsidR="006003C2">
        <w:rPr>
          <w:lang w:val="en-US"/>
        </w:rPr>
        <w:t xml:space="preserve">our </w:t>
      </w:r>
      <w:r w:rsidR="00750EB8">
        <w:rPr>
          <w:lang w:val="en-US"/>
        </w:rPr>
        <w:t>work</w:t>
      </w:r>
      <w:r w:rsidR="006003C2">
        <w:rPr>
          <w:lang w:val="en-US"/>
        </w:rPr>
        <w:t xml:space="preserve"> on the frameworks</w:t>
      </w:r>
      <w:r w:rsidRPr="001932A6">
        <w:rPr>
          <w:lang w:val="en-US"/>
        </w:rPr>
        <w:t>, it was obvious that, overall, data sets have been prioritised, developed, collected, and analysed from a predominantly monocultural (western) perspective. Most readily available data is not collective</w:t>
      </w:r>
      <w:r w:rsidR="00DC4DB6">
        <w:rPr>
          <w:lang w:val="en-US"/>
        </w:rPr>
        <w:t xml:space="preserve"> (</w:t>
      </w:r>
      <w:r w:rsidRPr="001932A6">
        <w:rPr>
          <w:lang w:val="en-US"/>
        </w:rPr>
        <w:t xml:space="preserve">such as outcomes </w:t>
      </w:r>
      <w:r w:rsidR="005D6E5C">
        <w:rPr>
          <w:lang w:val="en-US"/>
        </w:rPr>
        <w:t>for</w:t>
      </w:r>
      <w:r w:rsidRPr="001932A6">
        <w:rPr>
          <w:lang w:val="en-US"/>
        </w:rPr>
        <w:t xml:space="preserve"> </w:t>
      </w:r>
      <w:r w:rsidR="00192353">
        <w:rPr>
          <w:lang w:val="en-US"/>
        </w:rPr>
        <w:t>wh</w:t>
      </w:r>
      <w:r w:rsidR="00DC4DB6">
        <w:rPr>
          <w:lang w:val="en-US"/>
        </w:rPr>
        <w:t>ā</w:t>
      </w:r>
      <w:r w:rsidR="00192353">
        <w:rPr>
          <w:lang w:val="en-US"/>
        </w:rPr>
        <w:t>nau</w:t>
      </w:r>
      <w:r w:rsidR="00DC4DB6">
        <w:rPr>
          <w:lang w:val="en-US"/>
        </w:rPr>
        <w:t>)</w:t>
      </w:r>
      <w:r w:rsidR="00192353">
        <w:rPr>
          <w:lang w:val="en-US"/>
        </w:rPr>
        <w:t>,</w:t>
      </w:r>
      <w:r w:rsidRPr="001932A6">
        <w:rPr>
          <w:lang w:val="en-US"/>
        </w:rPr>
        <w:t xml:space="preserve"> it does not readily reflect an equity perspective across the life course; and it reflects a monocultural view of what is important.</w:t>
      </w:r>
    </w:p>
    <w:p w14:paraId="76A4A548" w14:textId="03A13845" w:rsidR="001932A6" w:rsidRPr="001932A6" w:rsidRDefault="001932A6" w:rsidP="001932A6">
      <w:pPr>
        <w:rPr>
          <w:lang w:val="en-US"/>
        </w:rPr>
      </w:pPr>
      <w:r w:rsidRPr="001932A6">
        <w:rPr>
          <w:lang w:val="en-US"/>
        </w:rPr>
        <w:t>It is acknowledged that over the last 5</w:t>
      </w:r>
      <w:r w:rsidR="00DE06C1">
        <w:rPr>
          <w:lang w:val="en-US"/>
        </w:rPr>
        <w:t xml:space="preserve"> to </w:t>
      </w:r>
      <w:r w:rsidRPr="001932A6">
        <w:rPr>
          <w:lang w:val="en-US"/>
        </w:rPr>
        <w:t>10 years, there has been a shift in the sector’s desire to have more kaupapa Māori data, for example, and data that is specific to other ethnic groups and worldviews.</w:t>
      </w:r>
      <w:r w:rsidR="005D09E9">
        <w:rPr>
          <w:lang w:val="en-US"/>
        </w:rPr>
        <w:t xml:space="preserve"> </w:t>
      </w:r>
      <w:r w:rsidRPr="001932A6">
        <w:rPr>
          <w:lang w:val="en-US"/>
        </w:rPr>
        <w:t>However, the pace of change is slow</w:t>
      </w:r>
      <w:r w:rsidR="00D76504">
        <w:rPr>
          <w:lang w:val="en-US"/>
        </w:rPr>
        <w:t xml:space="preserve"> </w:t>
      </w:r>
      <w:r w:rsidRPr="001932A6">
        <w:rPr>
          <w:lang w:val="en-US"/>
        </w:rPr>
        <w:t>and inconsistent</w:t>
      </w:r>
      <w:r w:rsidR="003A0C5B">
        <w:rPr>
          <w:lang w:val="en-US"/>
        </w:rPr>
        <w:t>.</w:t>
      </w:r>
      <w:r w:rsidRPr="001932A6">
        <w:rPr>
          <w:lang w:val="en-US"/>
        </w:rPr>
        <w:t xml:space="preserve"> </w:t>
      </w:r>
    </w:p>
    <w:p w14:paraId="2565A961" w14:textId="7DABE4C5" w:rsidR="001932A6" w:rsidRPr="001932A6" w:rsidRDefault="001932A6" w:rsidP="001932A6">
      <w:pPr>
        <w:rPr>
          <w:lang w:val="en-US"/>
        </w:rPr>
      </w:pPr>
      <w:r w:rsidRPr="001932A6">
        <w:rPr>
          <w:lang w:val="en-US"/>
        </w:rPr>
        <w:t>The advisory groups are concerned about the lack of readily available, culturally informed and wellbeing</w:t>
      </w:r>
      <w:r w:rsidR="00D76504">
        <w:rPr>
          <w:lang w:val="en-US"/>
        </w:rPr>
        <w:t>-</w:t>
      </w:r>
      <w:r w:rsidRPr="001932A6">
        <w:rPr>
          <w:lang w:val="en-US"/>
        </w:rPr>
        <w:t>focused data in the health system and across multiple systems that influence determinants of health outcomes and wellbeing (such as health, education, Māori development, and others).</w:t>
      </w:r>
    </w:p>
    <w:p w14:paraId="7F5EAF17" w14:textId="1B8A0C05" w:rsidR="001932A6" w:rsidRDefault="001932A6" w:rsidP="001932A6">
      <w:r w:rsidRPr="001932A6">
        <w:rPr>
          <w:lang w:val="en-US"/>
        </w:rPr>
        <w:t xml:space="preserve">In sum, the ‘quick fix’ is to analyse existing data by ethnicity. It is helpful in many ways, but it is not the full solution. Considerable investment in new and regular wellbeing data sets are required (without losing the opportunity to use the best of </w:t>
      </w:r>
      <w:r w:rsidR="004445C4">
        <w:rPr>
          <w:lang w:val="en-US"/>
        </w:rPr>
        <w:t>what</w:t>
      </w:r>
      <w:r w:rsidRPr="001932A6">
        <w:rPr>
          <w:lang w:val="en-US"/>
        </w:rPr>
        <w:t xml:space="preserve"> is currently available).</w:t>
      </w:r>
    </w:p>
    <w:p w14:paraId="05DC540F" w14:textId="45E20515" w:rsidR="00387B6D" w:rsidRDefault="00387B6D" w:rsidP="009E5AC8">
      <w:pPr>
        <w:pStyle w:val="Heading3"/>
      </w:pPr>
      <w:r>
        <w:t>Balance of strength and deficit-based measures</w:t>
      </w:r>
    </w:p>
    <w:p w14:paraId="7699BF9A" w14:textId="771DA7A3" w:rsidR="00862221" w:rsidRPr="00875955" w:rsidRDefault="00862221" w:rsidP="00875955">
      <w:r w:rsidRPr="00875955">
        <w:t xml:space="preserve">While </w:t>
      </w:r>
      <w:r w:rsidR="00496860" w:rsidRPr="00875955">
        <w:t>many</w:t>
      </w:r>
      <w:r w:rsidRPr="00875955">
        <w:t xml:space="preserve"> </w:t>
      </w:r>
      <w:r w:rsidR="005B6E30">
        <w:t>measures</w:t>
      </w:r>
      <w:r w:rsidR="005B6E30" w:rsidRPr="00875955">
        <w:t xml:space="preserve"> </w:t>
      </w:r>
      <w:r w:rsidRPr="00875955">
        <w:t>are strengths-based, the TAN Māori roopū believe the inclusion of reporting on</w:t>
      </w:r>
      <w:r w:rsidR="00315054">
        <w:t xml:space="preserve"> deficit-based measures</w:t>
      </w:r>
      <w:r w:rsidR="005F3049">
        <w:t xml:space="preserve"> such as </w:t>
      </w:r>
      <w:r w:rsidRPr="00875955">
        <w:t>adverse incidents for Māori in services</w:t>
      </w:r>
      <w:r w:rsidR="00704C53">
        <w:t>,</w:t>
      </w:r>
      <w:r w:rsidR="005F3049">
        <w:t xml:space="preserve"> </w:t>
      </w:r>
      <w:r w:rsidRPr="00875955">
        <w:t>complaints process</w:t>
      </w:r>
      <w:r w:rsidR="004F01C6">
        <w:t>es</w:t>
      </w:r>
      <w:r w:rsidRPr="00875955">
        <w:t>, and</w:t>
      </w:r>
      <w:r w:rsidR="005F3049">
        <w:t xml:space="preserve"> </w:t>
      </w:r>
      <w:r w:rsidRPr="00875955">
        <w:t xml:space="preserve">review processes </w:t>
      </w:r>
      <w:r w:rsidR="004F01C6">
        <w:t>a</w:t>
      </w:r>
      <w:r w:rsidRPr="00875955">
        <w:t>re essential.</w:t>
      </w:r>
      <w:r w:rsidR="00B83E97">
        <w:t xml:space="preserve"> </w:t>
      </w:r>
      <w:r w:rsidR="00DC5ED9">
        <w:t xml:space="preserve">This view is supported </w:t>
      </w:r>
      <w:r w:rsidR="00E6690D">
        <w:t>by the earlier TAGs</w:t>
      </w:r>
      <w:r w:rsidR="00352535">
        <w:t xml:space="preserve"> and</w:t>
      </w:r>
      <w:r w:rsidR="00E6690D">
        <w:t xml:space="preserve"> our EAG</w:t>
      </w:r>
      <w:r w:rsidR="005D7174">
        <w:t>.</w:t>
      </w:r>
    </w:p>
    <w:p w14:paraId="716FFAB0" w14:textId="6D548457" w:rsidR="00862221" w:rsidRPr="003C45F7" w:rsidRDefault="00862221" w:rsidP="00F73113">
      <w:pPr>
        <w:pStyle w:val="Heading3"/>
      </w:pPr>
      <w:r w:rsidRPr="003C45F7">
        <w:t xml:space="preserve">Te Kupenga </w:t>
      </w:r>
    </w:p>
    <w:p w14:paraId="5A9C3F9D" w14:textId="5F0CCA7C" w:rsidR="008B653C" w:rsidRDefault="00862221" w:rsidP="00862221">
      <w:pPr>
        <w:rPr>
          <w:rFonts w:cs="Arial"/>
          <w:color w:val="0B0C0C"/>
          <w:szCs w:val="24"/>
          <w:shd w:val="clear" w:color="auto" w:fill="FFFFFF"/>
        </w:rPr>
      </w:pPr>
      <w:r w:rsidRPr="00CF70E6">
        <w:rPr>
          <w:rFonts w:cs="Arial"/>
          <w:color w:val="0B0C0C"/>
          <w:szCs w:val="24"/>
          <w:shd w:val="clear" w:color="auto" w:fill="FFFFFF"/>
        </w:rPr>
        <w:t>The TAN Māori roopū agree the lack of readily available, culturally informed, and wellbeing-focused data in the health system continues to be a concern. Te Kupenga provides hope and a promise to address this</w:t>
      </w:r>
      <w:r w:rsidR="000E0150" w:rsidRPr="00CF70E6">
        <w:rPr>
          <w:rFonts w:cs="Arial"/>
          <w:color w:val="0B0C0C"/>
          <w:szCs w:val="24"/>
          <w:shd w:val="clear" w:color="auto" w:fill="FFFFFF"/>
        </w:rPr>
        <w:t xml:space="preserve">, and </w:t>
      </w:r>
      <w:r w:rsidR="000E0150" w:rsidRPr="00CF70E6">
        <w:rPr>
          <w:szCs w:val="24"/>
        </w:rPr>
        <w:t>provides a picture of the social, cultural, and economic well-being of Māori in Aotearoa,</w:t>
      </w:r>
      <w:r w:rsidR="000E0150" w:rsidRPr="00CF70E6">
        <w:rPr>
          <w:rFonts w:ascii="Calibri" w:hAnsi="Calibri" w:cs="Calibri"/>
          <w:szCs w:val="24"/>
        </w:rPr>
        <w:t> </w:t>
      </w:r>
      <w:r w:rsidR="000E0150" w:rsidRPr="00CF70E6">
        <w:rPr>
          <w:szCs w:val="24"/>
        </w:rPr>
        <w:t>including information from a M</w:t>
      </w:r>
      <w:r w:rsidR="000E0150" w:rsidRPr="00CF70E6">
        <w:rPr>
          <w:rFonts w:cs="Arial"/>
          <w:szCs w:val="24"/>
        </w:rPr>
        <w:t>ā</w:t>
      </w:r>
      <w:r w:rsidR="000E0150" w:rsidRPr="00CF70E6">
        <w:rPr>
          <w:szCs w:val="24"/>
        </w:rPr>
        <w:t>ori cultural perspective</w:t>
      </w:r>
      <w:r w:rsidR="00A577C2">
        <w:rPr>
          <w:szCs w:val="24"/>
        </w:rPr>
        <w:t xml:space="preserve"> (Stats NZ, 2020)</w:t>
      </w:r>
      <w:r w:rsidR="000E0150" w:rsidRPr="00CF70E6">
        <w:rPr>
          <w:szCs w:val="24"/>
        </w:rPr>
        <w:t>.</w:t>
      </w:r>
      <w:r w:rsidR="000E0150" w:rsidRPr="00CF70E6">
        <w:rPr>
          <w:rFonts w:ascii="Calibri" w:hAnsi="Calibri" w:cs="Calibri"/>
          <w:color w:val="0B0C0C"/>
          <w:szCs w:val="24"/>
          <w:shd w:val="clear" w:color="auto" w:fill="FFFFFF"/>
        </w:rPr>
        <w:t> </w:t>
      </w:r>
      <w:r w:rsidRPr="00F73113">
        <w:rPr>
          <w:rFonts w:cs="Arial"/>
          <w:color w:val="0B0C0C"/>
          <w:szCs w:val="24"/>
          <w:shd w:val="clear" w:color="auto" w:fill="FFFFFF"/>
        </w:rPr>
        <w:t>Te Kupenga is a post</w:t>
      </w:r>
      <w:r w:rsidR="00A37308">
        <w:rPr>
          <w:rFonts w:cs="Arial"/>
          <w:color w:val="0B0C0C"/>
          <w:szCs w:val="24"/>
          <w:shd w:val="clear" w:color="auto" w:fill="FFFFFF"/>
        </w:rPr>
        <w:t>-</w:t>
      </w:r>
      <w:r w:rsidRPr="00F73113">
        <w:rPr>
          <w:rFonts w:cs="Arial"/>
          <w:color w:val="0B0C0C"/>
          <w:szCs w:val="24"/>
          <w:shd w:val="clear" w:color="auto" w:fill="FFFFFF"/>
        </w:rPr>
        <w:t>censal survey</w:t>
      </w:r>
      <w:r w:rsidR="007F7C3F">
        <w:rPr>
          <w:rFonts w:cs="Arial"/>
          <w:color w:val="0B0C0C"/>
          <w:szCs w:val="24"/>
          <w:shd w:val="clear" w:color="auto" w:fill="FFFFFF"/>
        </w:rPr>
        <w:t xml:space="preserve"> of </w:t>
      </w:r>
      <w:r w:rsidR="007F7C3F">
        <w:rPr>
          <w:rFonts w:cs="Arial"/>
          <w:color w:val="0B0C0C"/>
          <w:szCs w:val="24"/>
          <w:shd w:val="clear" w:color="auto" w:fill="FFFFFF"/>
        </w:rPr>
        <w:lastRenderedPageBreak/>
        <w:t>adults (aged 15 years and over)</w:t>
      </w:r>
      <w:r w:rsidRPr="00F73113">
        <w:rPr>
          <w:rFonts w:cs="Arial"/>
          <w:color w:val="0B0C0C"/>
          <w:szCs w:val="24"/>
          <w:shd w:val="clear" w:color="auto" w:fill="FFFFFF"/>
        </w:rPr>
        <w:t>, meaning the survey sample is selected from people who identify as having Māori ethnicity and descent on their census form, so only those who complete the census are placed to participate.</w:t>
      </w:r>
    </w:p>
    <w:p w14:paraId="0C8B2533" w14:textId="56D3CB13" w:rsidR="008B653C" w:rsidRPr="008B653C" w:rsidRDefault="008B653C" w:rsidP="008B653C">
      <w:pPr>
        <w:rPr>
          <w:shd w:val="clear" w:color="auto" w:fill="FFFFFF"/>
        </w:rPr>
      </w:pPr>
      <w:r>
        <w:rPr>
          <w:shd w:val="clear" w:color="auto" w:fill="FFFFFF"/>
        </w:rPr>
        <w:t>Te Kupenga</w:t>
      </w:r>
      <w:r w:rsidRPr="008B653C">
        <w:rPr>
          <w:shd w:val="clear" w:color="auto" w:fill="FFFFFF"/>
        </w:rPr>
        <w:t xml:space="preserve"> provides key statistics on four areas of Māori cultural wellbeing:</w:t>
      </w:r>
    </w:p>
    <w:p w14:paraId="511EBF56" w14:textId="77777777" w:rsidR="008B653C" w:rsidRPr="000E0150" w:rsidRDefault="008B653C" w:rsidP="00C8416D">
      <w:pPr>
        <w:pStyle w:val="ListParagraph"/>
        <w:numPr>
          <w:ilvl w:val="0"/>
          <w:numId w:val="16"/>
        </w:numPr>
        <w:rPr>
          <w:shd w:val="clear" w:color="auto" w:fill="FFFFFF"/>
        </w:rPr>
      </w:pPr>
      <w:r w:rsidRPr="008B653C">
        <w:rPr>
          <w:shd w:val="clear" w:color="auto" w:fill="FFFFFF"/>
        </w:rPr>
        <w:t>wairuatanga (spirituality)</w:t>
      </w:r>
    </w:p>
    <w:p w14:paraId="239F2DB8" w14:textId="77777777" w:rsidR="008B653C" w:rsidRPr="00387B6D" w:rsidRDefault="008B653C" w:rsidP="00C8416D">
      <w:pPr>
        <w:pStyle w:val="ListParagraph"/>
        <w:numPr>
          <w:ilvl w:val="0"/>
          <w:numId w:val="16"/>
        </w:numPr>
        <w:rPr>
          <w:shd w:val="clear" w:color="auto" w:fill="FFFFFF"/>
        </w:rPr>
      </w:pPr>
      <w:r w:rsidRPr="004F01C6">
        <w:rPr>
          <w:shd w:val="clear" w:color="auto" w:fill="FFFFFF"/>
        </w:rPr>
        <w:t>tikanga (Māori customs and practices)</w:t>
      </w:r>
    </w:p>
    <w:p w14:paraId="2CA9BFC4" w14:textId="77777777" w:rsidR="008B653C" w:rsidRPr="00106ED5" w:rsidRDefault="008B653C" w:rsidP="00C8416D">
      <w:pPr>
        <w:pStyle w:val="ListParagraph"/>
        <w:numPr>
          <w:ilvl w:val="0"/>
          <w:numId w:val="16"/>
        </w:numPr>
        <w:rPr>
          <w:shd w:val="clear" w:color="auto" w:fill="FFFFFF"/>
        </w:rPr>
      </w:pPr>
      <w:r w:rsidRPr="00106ED5">
        <w:rPr>
          <w:shd w:val="clear" w:color="auto" w:fill="FFFFFF"/>
        </w:rPr>
        <w:t>Te reo Māori (the Māori language)</w:t>
      </w:r>
    </w:p>
    <w:p w14:paraId="072E8677" w14:textId="77777777" w:rsidR="008B653C" w:rsidRPr="00B63993" w:rsidRDefault="008B653C" w:rsidP="00C8416D">
      <w:pPr>
        <w:pStyle w:val="ListParagraph"/>
        <w:numPr>
          <w:ilvl w:val="0"/>
          <w:numId w:val="16"/>
        </w:numPr>
        <w:rPr>
          <w:shd w:val="clear" w:color="auto" w:fill="FFFFFF"/>
        </w:rPr>
      </w:pPr>
      <w:r w:rsidRPr="00B63993">
        <w:rPr>
          <w:shd w:val="clear" w:color="auto" w:fill="FFFFFF"/>
        </w:rPr>
        <w:t>whanaungatanga (social connectedness).</w:t>
      </w:r>
    </w:p>
    <w:p w14:paraId="2A1CE52C" w14:textId="48157AB5" w:rsidR="008B3BB3" w:rsidRDefault="00862221" w:rsidP="00862221">
      <w:pPr>
        <w:rPr>
          <w:szCs w:val="24"/>
        </w:rPr>
      </w:pPr>
      <w:r w:rsidRPr="00F73113">
        <w:rPr>
          <w:rFonts w:cs="Arial"/>
          <w:color w:val="0B0C0C"/>
          <w:szCs w:val="24"/>
          <w:shd w:val="clear" w:color="auto" w:fill="FFFFFF"/>
        </w:rPr>
        <w:t>The survey's content recognises practices and wellbeing outcomes specific to Māori culture, the knowledge and use of the Māori language, connection to marae, and whānau wellbeing.</w:t>
      </w:r>
      <w:r w:rsidRPr="00F73113">
        <w:rPr>
          <w:szCs w:val="24"/>
        </w:rPr>
        <w:t xml:space="preserve"> </w:t>
      </w:r>
      <w:r w:rsidRPr="00F73113">
        <w:rPr>
          <w:rFonts w:cs="Arial"/>
        </w:rPr>
        <w:t>The survey also highlights health outcomes and wellbeing determinants, such as health, education</w:t>
      </w:r>
      <w:r w:rsidR="00832EA3">
        <w:rPr>
          <w:rFonts w:cs="Arial"/>
        </w:rPr>
        <w:t>,</w:t>
      </w:r>
      <w:r w:rsidRPr="00F73113">
        <w:rPr>
          <w:rFonts w:cs="Arial"/>
        </w:rPr>
        <w:t xml:space="preserve"> and Māori development.</w:t>
      </w:r>
    </w:p>
    <w:p w14:paraId="112C1747" w14:textId="376271B8" w:rsidR="00862221" w:rsidRPr="00F73113" w:rsidRDefault="00862221" w:rsidP="00862221">
      <w:pPr>
        <w:rPr>
          <w:i/>
          <w:szCs w:val="24"/>
        </w:rPr>
      </w:pPr>
      <w:r w:rsidRPr="00F73113">
        <w:rPr>
          <w:szCs w:val="24"/>
        </w:rPr>
        <w:t xml:space="preserve">The TAN </w:t>
      </w:r>
      <w:r w:rsidRPr="00F73113">
        <w:t>Māori roopū</w:t>
      </w:r>
      <w:r w:rsidRPr="00F73113">
        <w:rPr>
          <w:szCs w:val="24"/>
        </w:rPr>
        <w:t xml:space="preserve"> viewed </w:t>
      </w:r>
      <w:r w:rsidR="00263BFD">
        <w:rPr>
          <w:szCs w:val="24"/>
        </w:rPr>
        <w:t xml:space="preserve">more frequent and ongoing </w:t>
      </w:r>
      <w:r w:rsidRPr="00F73113">
        <w:rPr>
          <w:szCs w:val="24"/>
        </w:rPr>
        <w:t>captur</w:t>
      </w:r>
      <w:r w:rsidR="00263BFD">
        <w:rPr>
          <w:szCs w:val="24"/>
        </w:rPr>
        <w:t>e of</w:t>
      </w:r>
      <w:r w:rsidRPr="00F73113">
        <w:rPr>
          <w:szCs w:val="24"/>
        </w:rPr>
        <w:t xml:space="preserve"> this data as essential. The last </w:t>
      </w:r>
      <w:r w:rsidRPr="00F73113">
        <w:rPr>
          <w:rFonts w:cs="Arial"/>
        </w:rPr>
        <w:t xml:space="preserve">Te Kupenga survey was conducted in 2018. </w:t>
      </w:r>
    </w:p>
    <w:p w14:paraId="6385AFDF" w14:textId="0BD9328E" w:rsidR="00862221" w:rsidRPr="00FC7758" w:rsidRDefault="00862221" w:rsidP="004D26C9">
      <w:pPr>
        <w:pStyle w:val="Heading3"/>
      </w:pPr>
      <w:r w:rsidRPr="00FC7758">
        <w:t xml:space="preserve">Hua Oranga </w:t>
      </w:r>
    </w:p>
    <w:p w14:paraId="1AB8D6E1" w14:textId="5D2950DD" w:rsidR="00862221" w:rsidRPr="004D26C9" w:rsidRDefault="00862221" w:rsidP="004D26C9">
      <w:pPr>
        <w:rPr>
          <w:rStyle w:val="intro"/>
          <w:rFonts w:cs="Arial"/>
          <w:color w:val="0B0C0C"/>
          <w:shd w:val="clear" w:color="auto" w:fill="FFFFFF"/>
        </w:rPr>
      </w:pPr>
      <w:r w:rsidRPr="004D26C9">
        <w:rPr>
          <w:rStyle w:val="intro"/>
          <w:rFonts w:cs="Arial"/>
          <w:color w:val="0B0C0C"/>
          <w:shd w:val="clear" w:color="auto" w:fill="FFFFFF"/>
        </w:rPr>
        <w:t>Hua Oranga is a</w:t>
      </w:r>
      <w:r w:rsidR="00E1386A">
        <w:rPr>
          <w:rStyle w:val="intro"/>
          <w:rFonts w:cs="Arial"/>
          <w:color w:val="0B0C0C"/>
          <w:shd w:val="clear" w:color="auto" w:fill="FFFFFF"/>
        </w:rPr>
        <w:t xml:space="preserve">n </w:t>
      </w:r>
      <w:r w:rsidRPr="004D26C9">
        <w:rPr>
          <w:rStyle w:val="intro"/>
          <w:rFonts w:cs="Arial"/>
          <w:color w:val="0B0C0C"/>
          <w:shd w:val="clear" w:color="auto" w:fill="FFFFFF"/>
        </w:rPr>
        <w:t xml:space="preserve">instrument for recording </w:t>
      </w:r>
      <w:r w:rsidRPr="004D26C9">
        <w:rPr>
          <w:rStyle w:val="intro"/>
          <w:color w:val="0B0C0C"/>
          <w:shd w:val="clear" w:color="auto" w:fill="FFFFFF"/>
        </w:rPr>
        <w:t>culturally informed and wellbeing-focused data</w:t>
      </w:r>
      <w:r w:rsidR="00C47243">
        <w:rPr>
          <w:rStyle w:val="intro"/>
          <w:color w:val="0B0C0C"/>
          <w:shd w:val="clear" w:color="auto" w:fill="FFFFFF"/>
        </w:rPr>
        <w:t xml:space="preserve"> </w:t>
      </w:r>
      <w:r w:rsidR="00C47243" w:rsidRPr="00CD47C6">
        <w:rPr>
          <w:rStyle w:val="intro"/>
          <w:rFonts w:cs="Arial"/>
          <w:color w:val="0B0C0C"/>
          <w:shd w:val="clear" w:color="auto" w:fill="FFFFFF"/>
        </w:rPr>
        <w:t>(</w:t>
      </w:r>
      <w:r w:rsidR="008155F8">
        <w:rPr>
          <w:rStyle w:val="intro"/>
          <w:rFonts w:cs="Arial"/>
          <w:color w:val="0B0C0C"/>
          <w:shd w:val="clear" w:color="auto" w:fill="FFFFFF"/>
        </w:rPr>
        <w:t>www.oradatabase.co.nz</w:t>
      </w:r>
      <w:r w:rsidR="00CD47C6" w:rsidRPr="00CD47C6">
        <w:rPr>
          <w:rStyle w:val="intro"/>
          <w:rFonts w:cs="Arial"/>
          <w:color w:val="0B0C0C"/>
          <w:shd w:val="clear" w:color="auto" w:fill="FFFFFF"/>
        </w:rPr>
        <w:t>)</w:t>
      </w:r>
      <w:r w:rsidRPr="00CD47C6">
        <w:rPr>
          <w:rStyle w:val="intro"/>
          <w:rFonts w:cs="Arial"/>
          <w:color w:val="0B0C0C"/>
          <w:shd w:val="clear" w:color="auto" w:fill="FFFFFF"/>
        </w:rPr>
        <w:t>.</w:t>
      </w:r>
      <w:r w:rsidRPr="004D26C9">
        <w:rPr>
          <w:rStyle w:val="intro"/>
          <w:rFonts w:cs="Arial"/>
          <w:color w:val="0B0C0C"/>
          <w:shd w:val="clear" w:color="auto" w:fill="FFFFFF"/>
        </w:rPr>
        <w:t xml:space="preserve"> </w:t>
      </w:r>
      <w:r w:rsidR="00B767F9">
        <w:rPr>
          <w:rStyle w:val="intro"/>
          <w:rFonts w:cs="Arial"/>
          <w:color w:val="0B0C0C"/>
          <w:shd w:val="clear" w:color="auto" w:fill="FFFFFF"/>
        </w:rPr>
        <w:t>It is</w:t>
      </w:r>
      <w:r w:rsidRPr="004D26C9">
        <w:rPr>
          <w:rStyle w:val="intro"/>
          <w:rFonts w:cs="Arial"/>
          <w:color w:val="0B0C0C"/>
          <w:shd w:val="clear" w:color="auto" w:fill="FFFFFF"/>
        </w:rPr>
        <w:t xml:space="preserve"> </w:t>
      </w:r>
      <w:r w:rsidR="00B767F9" w:rsidRPr="004D26C9">
        <w:rPr>
          <w:rStyle w:val="intro"/>
          <w:rFonts w:cs="Arial"/>
          <w:color w:val="0B0C0C"/>
          <w:shd w:val="clear" w:color="auto" w:fill="FFFFFF"/>
        </w:rPr>
        <w:t>the only M</w:t>
      </w:r>
      <w:r w:rsidR="00B767F9">
        <w:rPr>
          <w:rStyle w:val="intro"/>
          <w:rFonts w:cs="Arial"/>
          <w:color w:val="0B0C0C"/>
          <w:shd w:val="clear" w:color="auto" w:fill="FFFFFF"/>
          <w:lang w:val="mi-NZ"/>
        </w:rPr>
        <w:t>ā</w:t>
      </w:r>
      <w:r w:rsidR="00B767F9" w:rsidRPr="004D26C9">
        <w:rPr>
          <w:rStyle w:val="intro"/>
          <w:rFonts w:cs="Arial"/>
          <w:color w:val="0B0C0C"/>
          <w:shd w:val="clear" w:color="auto" w:fill="FFFFFF"/>
        </w:rPr>
        <w:t xml:space="preserve">ori-specific outcomes measurement </w:t>
      </w:r>
      <w:r w:rsidR="00B767F9">
        <w:rPr>
          <w:rStyle w:val="intro"/>
          <w:rFonts w:cs="Arial"/>
          <w:color w:val="0B0C0C"/>
          <w:shd w:val="clear" w:color="auto" w:fill="FFFFFF"/>
        </w:rPr>
        <w:t xml:space="preserve">instrument </w:t>
      </w:r>
      <w:r w:rsidR="00B767F9" w:rsidRPr="004D26C9">
        <w:rPr>
          <w:rStyle w:val="intro"/>
          <w:rFonts w:cs="Arial"/>
          <w:color w:val="0B0C0C"/>
          <w:shd w:val="clear" w:color="auto" w:fill="FFFFFF"/>
        </w:rPr>
        <w:t xml:space="preserve">based on </w:t>
      </w:r>
      <w:r w:rsidR="00D84AE1">
        <w:rPr>
          <w:rStyle w:val="intro"/>
          <w:rFonts w:cs="Arial"/>
          <w:color w:val="0B0C0C"/>
          <w:shd w:val="clear" w:color="auto" w:fill="FFFFFF"/>
        </w:rPr>
        <w:t>Te</w:t>
      </w:r>
      <w:r w:rsidR="00B767F9" w:rsidRPr="004D26C9">
        <w:rPr>
          <w:rStyle w:val="intro"/>
          <w:rFonts w:cs="Arial"/>
          <w:color w:val="0B0C0C"/>
          <w:shd w:val="clear" w:color="auto" w:fill="FFFFFF"/>
        </w:rPr>
        <w:t xml:space="preserve"> Whare Tapa Whā</w:t>
      </w:r>
      <w:r w:rsidR="00B767F9">
        <w:rPr>
          <w:rStyle w:val="intro"/>
          <w:rFonts w:cs="Arial"/>
          <w:color w:val="0B0C0C"/>
          <w:shd w:val="clear" w:color="auto" w:fill="FFFFFF"/>
        </w:rPr>
        <w:t xml:space="preserve">. </w:t>
      </w:r>
      <w:r w:rsidR="000C075C">
        <w:rPr>
          <w:rStyle w:val="intro"/>
          <w:rFonts w:cs="Arial"/>
          <w:color w:val="0B0C0C"/>
          <w:shd w:val="clear" w:color="auto" w:fill="FFFFFF"/>
        </w:rPr>
        <w:t xml:space="preserve">Hua Oranga has not been included </w:t>
      </w:r>
      <w:r w:rsidR="002E3ACC">
        <w:rPr>
          <w:rStyle w:val="intro"/>
          <w:rFonts w:cs="Arial"/>
          <w:color w:val="0B0C0C"/>
          <w:shd w:val="clear" w:color="auto" w:fill="FFFFFF"/>
        </w:rPr>
        <w:t xml:space="preserve">in </w:t>
      </w:r>
      <w:r w:rsidR="000C075C">
        <w:rPr>
          <w:rStyle w:val="intro"/>
          <w:rFonts w:cs="Arial"/>
          <w:color w:val="0B0C0C"/>
          <w:shd w:val="clear" w:color="auto" w:fill="FFFFFF"/>
        </w:rPr>
        <w:t xml:space="preserve">the </w:t>
      </w:r>
      <w:r w:rsidR="00677690">
        <w:rPr>
          <w:rStyle w:val="intro"/>
          <w:rFonts w:cs="Arial"/>
          <w:color w:val="0B0C0C"/>
          <w:shd w:val="clear" w:color="auto" w:fill="FFFFFF"/>
        </w:rPr>
        <w:t>shortlisted</w:t>
      </w:r>
      <w:r w:rsidR="000C075C">
        <w:rPr>
          <w:rStyle w:val="intro"/>
          <w:rFonts w:cs="Arial"/>
          <w:color w:val="0B0C0C"/>
          <w:shd w:val="clear" w:color="auto" w:fill="FFFFFF"/>
        </w:rPr>
        <w:t xml:space="preserve"> outcome measures at this p</w:t>
      </w:r>
      <w:r w:rsidR="000E4F2F">
        <w:rPr>
          <w:rStyle w:val="intro"/>
          <w:rFonts w:cs="Arial"/>
          <w:color w:val="0B0C0C"/>
          <w:shd w:val="clear" w:color="auto" w:fill="FFFFFF"/>
        </w:rPr>
        <w:t xml:space="preserve">oint as it </w:t>
      </w:r>
      <w:r w:rsidR="00F24EB9">
        <w:rPr>
          <w:rStyle w:val="intro"/>
          <w:rFonts w:cs="Arial"/>
          <w:color w:val="0B0C0C"/>
          <w:shd w:val="clear" w:color="auto" w:fill="FFFFFF"/>
        </w:rPr>
        <w:t>is regarded</w:t>
      </w:r>
      <w:r w:rsidR="000E4F2F">
        <w:rPr>
          <w:rStyle w:val="intro"/>
          <w:rFonts w:cs="Arial"/>
          <w:color w:val="0B0C0C"/>
          <w:shd w:val="clear" w:color="auto" w:fill="FFFFFF"/>
        </w:rPr>
        <w:t xml:space="preserve"> as a Phase 2 instrument due to</w:t>
      </w:r>
      <w:r w:rsidR="007250F0">
        <w:rPr>
          <w:rStyle w:val="intro"/>
          <w:rFonts w:cs="Arial"/>
          <w:color w:val="0B0C0C"/>
          <w:shd w:val="clear" w:color="auto" w:fill="FFFFFF"/>
        </w:rPr>
        <w:t xml:space="preserve"> a</w:t>
      </w:r>
      <w:r w:rsidR="000E4F2F">
        <w:rPr>
          <w:rStyle w:val="intro"/>
          <w:rFonts w:cs="Arial"/>
          <w:color w:val="0B0C0C"/>
          <w:shd w:val="clear" w:color="auto" w:fill="FFFFFF"/>
        </w:rPr>
        <w:t xml:space="preserve"> lack of national consistency</w:t>
      </w:r>
      <w:r w:rsidR="00252969">
        <w:rPr>
          <w:rStyle w:val="intro"/>
          <w:rFonts w:cs="Arial"/>
          <w:color w:val="0B0C0C"/>
          <w:shd w:val="clear" w:color="auto" w:fill="FFFFFF"/>
        </w:rPr>
        <w:t xml:space="preserve"> and use. </w:t>
      </w:r>
      <w:r w:rsidRPr="004D26C9">
        <w:rPr>
          <w:rStyle w:val="intro"/>
          <w:rFonts w:cs="Arial"/>
          <w:color w:val="0B0C0C"/>
          <w:shd w:val="clear" w:color="auto" w:fill="FFFFFF"/>
        </w:rPr>
        <w:t xml:space="preserve">However, </w:t>
      </w:r>
      <w:r w:rsidR="00DF7A14">
        <w:rPr>
          <w:rStyle w:val="intro"/>
          <w:rFonts w:cs="Arial"/>
          <w:color w:val="0B0C0C"/>
          <w:shd w:val="clear" w:color="auto" w:fill="FFFFFF"/>
        </w:rPr>
        <w:t xml:space="preserve">the </w:t>
      </w:r>
      <w:r w:rsidR="00DF7A14" w:rsidRPr="004D26C9">
        <w:rPr>
          <w:rStyle w:val="intro"/>
          <w:rFonts w:cs="Arial"/>
          <w:color w:val="0B0C0C"/>
          <w:shd w:val="clear" w:color="auto" w:fill="FFFFFF"/>
        </w:rPr>
        <w:t xml:space="preserve">TAN Māori roopū, </w:t>
      </w:r>
      <w:r w:rsidR="00EE60C5">
        <w:rPr>
          <w:rStyle w:val="intro"/>
          <w:rFonts w:cs="Arial"/>
          <w:color w:val="0B0C0C"/>
          <w:shd w:val="clear" w:color="auto" w:fill="FFFFFF"/>
        </w:rPr>
        <w:t>particularly Professor Te Kani Kingi,</w:t>
      </w:r>
      <w:r w:rsidR="00EE60C5" w:rsidRPr="004D26C9">
        <w:rPr>
          <w:rStyle w:val="intro"/>
          <w:rFonts w:cs="Arial"/>
          <w:color w:val="0B0C0C"/>
          <w:shd w:val="clear" w:color="auto" w:fill="FFFFFF"/>
        </w:rPr>
        <w:t xml:space="preserve"> with </w:t>
      </w:r>
      <w:r w:rsidR="00EE60C5">
        <w:rPr>
          <w:rStyle w:val="intro"/>
          <w:rFonts w:cs="Arial"/>
          <w:color w:val="0B0C0C"/>
          <w:shd w:val="clear" w:color="auto" w:fill="FFFFFF"/>
        </w:rPr>
        <w:t xml:space="preserve">his and </w:t>
      </w:r>
      <w:r w:rsidR="00EE60C5" w:rsidRPr="004D26C9">
        <w:rPr>
          <w:rStyle w:val="intro"/>
          <w:rFonts w:cs="Arial"/>
          <w:color w:val="0B0C0C"/>
          <w:shd w:val="clear" w:color="auto" w:fill="FFFFFF"/>
        </w:rPr>
        <w:t>their expertise</w:t>
      </w:r>
      <w:r w:rsidR="00EE60C5">
        <w:rPr>
          <w:rStyle w:val="intro"/>
          <w:rFonts w:cs="Arial"/>
          <w:color w:val="0B0C0C"/>
          <w:shd w:val="clear" w:color="auto" w:fill="FFFFFF"/>
        </w:rPr>
        <w:t xml:space="preserve"> in</w:t>
      </w:r>
      <w:r w:rsidR="00EE60C5" w:rsidRPr="004D26C9">
        <w:rPr>
          <w:rStyle w:val="intro"/>
          <w:rFonts w:cs="Arial"/>
          <w:color w:val="0B0C0C"/>
          <w:shd w:val="clear" w:color="auto" w:fill="FFFFFF"/>
        </w:rPr>
        <w:t xml:space="preserve"> Hua Oranga, </w:t>
      </w:r>
      <w:r w:rsidR="00EE60C5">
        <w:rPr>
          <w:rStyle w:val="intro"/>
          <w:rFonts w:cs="Arial"/>
          <w:color w:val="0B0C0C"/>
          <w:shd w:val="clear" w:color="auto" w:fill="FFFFFF"/>
        </w:rPr>
        <w:t>advises that</w:t>
      </w:r>
      <w:r w:rsidR="00EE60C5" w:rsidRPr="004D26C9">
        <w:rPr>
          <w:rStyle w:val="intro"/>
          <w:rFonts w:cs="Arial"/>
          <w:color w:val="0B0C0C"/>
          <w:shd w:val="clear" w:color="auto" w:fill="FFFFFF"/>
        </w:rPr>
        <w:t xml:space="preserve"> the readiness of Hua Oranga for inclusion </w:t>
      </w:r>
      <w:r w:rsidR="00EE60C5">
        <w:rPr>
          <w:rStyle w:val="intro"/>
          <w:rFonts w:cs="Arial"/>
          <w:color w:val="0B0C0C"/>
          <w:shd w:val="clear" w:color="auto" w:fill="FFFFFF"/>
        </w:rPr>
        <w:t>should be prioritised</w:t>
      </w:r>
      <w:r w:rsidR="00376881">
        <w:rPr>
          <w:rStyle w:val="intro"/>
          <w:rFonts w:cs="Arial"/>
          <w:color w:val="0B0C0C"/>
          <w:shd w:val="clear" w:color="auto" w:fill="FFFFFF"/>
        </w:rPr>
        <w:t>.</w:t>
      </w:r>
    </w:p>
    <w:p w14:paraId="10FF5500" w14:textId="2356F6C0" w:rsidR="00F070E3" w:rsidRDefault="00F070E3" w:rsidP="00F070E3">
      <w:pPr>
        <w:pStyle w:val="Heading3"/>
        <w:rPr>
          <w:rFonts w:eastAsia="Times New Roman"/>
        </w:rPr>
      </w:pPr>
      <w:r>
        <w:rPr>
          <w:rFonts w:eastAsia="Times New Roman"/>
        </w:rPr>
        <w:t>Improving data quality</w:t>
      </w:r>
    </w:p>
    <w:p w14:paraId="053F37E8" w14:textId="77777777" w:rsidR="00570E8B" w:rsidRDefault="0017340C" w:rsidP="00570E8B">
      <w:r>
        <w:rPr>
          <w:bCs/>
          <w:lang w:val="en-US"/>
        </w:rPr>
        <w:t xml:space="preserve">To improve our </w:t>
      </w:r>
      <w:r w:rsidRPr="008D1AB0">
        <w:rPr>
          <w:bCs/>
          <w:lang w:val="en-US"/>
        </w:rPr>
        <w:t xml:space="preserve">ability </w:t>
      </w:r>
      <w:r>
        <w:rPr>
          <w:bCs/>
          <w:lang w:val="en-US"/>
        </w:rPr>
        <w:t xml:space="preserve">to </w:t>
      </w:r>
      <w:r w:rsidRPr="008D1AB0">
        <w:rPr>
          <w:bCs/>
          <w:lang w:val="en-US"/>
        </w:rPr>
        <w:t xml:space="preserve">monitor </w:t>
      </w:r>
      <w:r>
        <w:rPr>
          <w:bCs/>
          <w:lang w:val="en-US"/>
        </w:rPr>
        <w:t>services</w:t>
      </w:r>
      <w:r w:rsidRPr="008D1AB0">
        <w:rPr>
          <w:bCs/>
          <w:lang w:val="en-US"/>
        </w:rPr>
        <w:t xml:space="preserve"> across many of the priority groups</w:t>
      </w:r>
      <w:r>
        <w:rPr>
          <w:bCs/>
          <w:lang w:val="en-US"/>
        </w:rPr>
        <w:t>,</w:t>
      </w:r>
      <w:r w:rsidRPr="008D1AB0">
        <w:rPr>
          <w:bCs/>
          <w:lang w:val="en-US"/>
        </w:rPr>
        <w:t xml:space="preserve"> </w:t>
      </w:r>
      <w:r>
        <w:t>t</w:t>
      </w:r>
      <w:r w:rsidR="00F070E3">
        <w:t>here needs to be a continued focus on i</w:t>
      </w:r>
      <w:r w:rsidR="00AB1AE6">
        <w:t xml:space="preserve">mproving the quality of identity data within the National Health Index (NHI) and data submitted to National Collections, </w:t>
      </w:r>
      <w:r w:rsidR="000674F3">
        <w:t>i.e.</w:t>
      </w:r>
      <w:r w:rsidR="00AB1AE6">
        <w:t>, the quality of the Programme for the Integration of Mental Health data (PRIMHD)</w:t>
      </w:r>
      <w:r w:rsidR="000674F3">
        <w:t>.</w:t>
      </w:r>
    </w:p>
    <w:p w14:paraId="7618E037" w14:textId="51F6D466" w:rsidR="00816F9E" w:rsidRDefault="00816F9E" w:rsidP="00816F9E">
      <w:pPr>
        <w:pStyle w:val="Heading3"/>
        <w:rPr>
          <w:rFonts w:eastAsia="Times New Roman"/>
        </w:rPr>
      </w:pPr>
      <w:r>
        <w:rPr>
          <w:rFonts w:eastAsia="Times New Roman"/>
        </w:rPr>
        <w:t>Data access</w:t>
      </w:r>
    </w:p>
    <w:p w14:paraId="106ED021" w14:textId="152BAB19" w:rsidR="00B63993" w:rsidRDefault="00D964E6" w:rsidP="009E5AC8">
      <w:pPr>
        <w:pStyle w:val="Heading4"/>
        <w:rPr>
          <w:bCs/>
        </w:rPr>
      </w:pPr>
      <w:r>
        <w:t>Enabling p</w:t>
      </w:r>
      <w:r w:rsidR="003A2D54" w:rsidRPr="00B63993">
        <w:t xml:space="preserve">eople </w:t>
      </w:r>
      <w:r>
        <w:t>to</w:t>
      </w:r>
      <w:r w:rsidR="003A2D54" w:rsidRPr="00B63993">
        <w:t xml:space="preserve"> easi</w:t>
      </w:r>
      <w:r w:rsidR="003A2D54" w:rsidRPr="008F2BEB">
        <w:t>ly access their healthcare information</w:t>
      </w:r>
    </w:p>
    <w:p w14:paraId="5011279C" w14:textId="74E1D00C" w:rsidR="00106ED5" w:rsidRPr="00106ED5" w:rsidRDefault="00B63993" w:rsidP="009E5AC8">
      <w:pPr>
        <w:rPr>
          <w:bCs/>
        </w:rPr>
      </w:pPr>
      <w:r>
        <w:rPr>
          <w:bCs/>
        </w:rPr>
        <w:t>W</w:t>
      </w:r>
      <w:r w:rsidR="00D90FB6">
        <w:rPr>
          <w:bCs/>
        </w:rPr>
        <w:t>hen consulting on He Ara Āwhina people clearly told us they wanted</w:t>
      </w:r>
      <w:r w:rsidR="00D85FD3">
        <w:rPr>
          <w:bCs/>
        </w:rPr>
        <w:t xml:space="preserve"> better access to their health information.</w:t>
      </w:r>
      <w:r w:rsidR="00C660E9">
        <w:rPr>
          <w:bCs/>
        </w:rPr>
        <w:t xml:space="preserve"> </w:t>
      </w:r>
      <w:r w:rsidR="00106ED5" w:rsidRPr="00106ED5">
        <w:rPr>
          <w:bCs/>
        </w:rPr>
        <w:t>Currently, health and wellbeing information is stored in different places, in different formats, and can be difficult to access and use effectively.</w:t>
      </w:r>
    </w:p>
    <w:p w14:paraId="6EB37EF4" w14:textId="7BBC4E8F" w:rsidR="00280D82" w:rsidRDefault="008F2BEB" w:rsidP="00E10FF6">
      <w:pPr>
        <w:rPr>
          <w:bCs/>
        </w:rPr>
      </w:pPr>
      <w:r>
        <w:rPr>
          <w:bCs/>
        </w:rPr>
        <w:t xml:space="preserve">As a solution to this, </w:t>
      </w:r>
      <w:r w:rsidR="00C660E9">
        <w:rPr>
          <w:bCs/>
        </w:rPr>
        <w:t>Te Whatu Ora has the H</w:t>
      </w:r>
      <w:r w:rsidR="000473FE">
        <w:rPr>
          <w:bCs/>
        </w:rPr>
        <w:t xml:space="preserve">ira programme in progress. </w:t>
      </w:r>
      <w:r w:rsidR="000473FE" w:rsidRPr="000473FE">
        <w:rPr>
          <w:bCs/>
        </w:rPr>
        <w:t xml:space="preserve">Hira </w:t>
      </w:r>
      <w:r w:rsidR="000473FE">
        <w:rPr>
          <w:bCs/>
        </w:rPr>
        <w:t xml:space="preserve">is intended to </w:t>
      </w:r>
      <w:r w:rsidR="000473FE" w:rsidRPr="000473FE">
        <w:rPr>
          <w:bCs/>
        </w:rPr>
        <w:t>be the connector of people’s health and wellbeing information. It will enable information to be pulled from different systems to create a single view.</w:t>
      </w:r>
      <w:r w:rsidR="003E42DE">
        <w:rPr>
          <w:bCs/>
        </w:rPr>
        <w:t xml:space="preserve"> Te </w:t>
      </w:r>
      <w:r w:rsidR="003E42DE">
        <w:rPr>
          <w:bCs/>
        </w:rPr>
        <w:lastRenderedPageBreak/>
        <w:t>Hiringa Mahara will continue to engage</w:t>
      </w:r>
      <w:r w:rsidR="000D0092">
        <w:rPr>
          <w:bCs/>
        </w:rPr>
        <w:t xml:space="preserve"> with the Hira programme.</w:t>
      </w:r>
      <w:r>
        <w:rPr>
          <w:bCs/>
        </w:rPr>
        <w:t xml:space="preserve"> We see value </w:t>
      </w:r>
      <w:r w:rsidR="00FD26FA">
        <w:rPr>
          <w:bCs/>
        </w:rPr>
        <w:t>in Hira also being able to drive data improvements for people (identity, accuracy etc).</w:t>
      </w:r>
    </w:p>
    <w:p w14:paraId="70D763A4" w14:textId="77777777" w:rsidR="00FD26FA" w:rsidRDefault="004C64D3" w:rsidP="009E5AC8">
      <w:pPr>
        <w:pStyle w:val="Heading4"/>
        <w:rPr>
          <w:bCs/>
        </w:rPr>
      </w:pPr>
      <w:r w:rsidRPr="00FD26FA">
        <w:t>Te Hiring</w:t>
      </w:r>
      <w:r w:rsidRPr="007F6E02">
        <w:t>a Mahara having timely access to data</w:t>
      </w:r>
    </w:p>
    <w:p w14:paraId="380F4DFB" w14:textId="61D2FFED" w:rsidR="00B63993" w:rsidRDefault="00FD26FA" w:rsidP="00E10FF6">
      <w:pPr>
        <w:rPr>
          <w:bCs/>
        </w:rPr>
      </w:pPr>
      <w:r>
        <w:rPr>
          <w:bCs/>
        </w:rPr>
        <w:t>W</w:t>
      </w:r>
      <w:r w:rsidR="0017340C" w:rsidRPr="008D1AB0">
        <w:rPr>
          <w:bCs/>
        </w:rPr>
        <w:t xml:space="preserve">hile some data is collected frequently, access is a challenge. </w:t>
      </w:r>
      <w:r w:rsidR="00B63993" w:rsidRPr="00B63993">
        <w:rPr>
          <w:bCs/>
        </w:rPr>
        <w:t xml:space="preserve">The </w:t>
      </w:r>
      <w:hyperlink r:id="rId37" w:history="1">
        <w:r w:rsidR="00B63993" w:rsidRPr="00BD3459">
          <w:rPr>
            <w:rStyle w:val="Hyperlink"/>
            <w:bCs/>
            <w:u w:val="none"/>
          </w:rPr>
          <w:t>Mental Health and Wellbeing Commission Act 2020</w:t>
        </w:r>
      </w:hyperlink>
      <w:r w:rsidR="00B63993" w:rsidRPr="00B63993">
        <w:rPr>
          <w:bCs/>
        </w:rPr>
        <w:t xml:space="preserve"> grants us statutory powers to request information. Information is critical for us to be able to perform our functions to monitor mental health and addiction services as well as to assess and report publicly on the effectiveness, efficiency, and adequacy of approaches to mental health and wellbeing – a lack of information significantly compromises our ability to fulfil our legislative functions.</w:t>
      </w:r>
    </w:p>
    <w:p w14:paraId="42187070" w14:textId="03DB9350" w:rsidR="009A22F2" w:rsidRPr="009A22F2" w:rsidRDefault="009A22F2" w:rsidP="009A22F2">
      <w:pPr>
        <w:rPr>
          <w:bCs/>
        </w:rPr>
      </w:pPr>
      <w:r w:rsidRPr="009A22F2">
        <w:rPr>
          <w:bCs/>
        </w:rPr>
        <w:t xml:space="preserve">We </w:t>
      </w:r>
      <w:r>
        <w:rPr>
          <w:bCs/>
        </w:rPr>
        <w:t xml:space="preserve">will continue </w:t>
      </w:r>
      <w:r w:rsidRPr="009A22F2">
        <w:rPr>
          <w:bCs/>
        </w:rPr>
        <w:t xml:space="preserve">working with agencies </w:t>
      </w:r>
      <w:r>
        <w:rPr>
          <w:bCs/>
        </w:rPr>
        <w:t>t</w:t>
      </w:r>
      <w:r w:rsidRPr="009A22F2">
        <w:rPr>
          <w:bCs/>
        </w:rPr>
        <w:t>o ensure we have timely access to information to fulfil our future monitoring and reporting obligations.</w:t>
      </w:r>
    </w:p>
    <w:p w14:paraId="558ABA03" w14:textId="77777777" w:rsidR="00495E78" w:rsidRPr="00495E78" w:rsidRDefault="00495E78" w:rsidP="009E5AC8">
      <w:pPr>
        <w:pStyle w:val="Heading3"/>
        <w:rPr>
          <w:rFonts w:eastAsia="Times New Roman"/>
          <w:lang w:val="en-US"/>
        </w:rPr>
      </w:pPr>
      <w:r w:rsidRPr="00495E78">
        <w:rPr>
          <w:rFonts w:eastAsia="Times New Roman"/>
          <w:lang w:val="en-US"/>
        </w:rPr>
        <w:t>Points of difference data sets can be a rich source for all</w:t>
      </w:r>
    </w:p>
    <w:p w14:paraId="445D6C47" w14:textId="546925B1" w:rsidR="009A22F2" w:rsidRPr="00570E8B" w:rsidRDefault="00495E78" w:rsidP="00E10FF6">
      <w:pPr>
        <w:rPr>
          <w:rFonts w:eastAsia="Times New Roman"/>
          <w:szCs w:val="24"/>
          <w:lang w:val="en-US"/>
        </w:rPr>
      </w:pPr>
      <w:r w:rsidRPr="00495E78">
        <w:rPr>
          <w:rFonts w:eastAsia="Times New Roman"/>
          <w:szCs w:val="24"/>
          <w:lang w:val="en-US"/>
        </w:rPr>
        <w:t>Iwi and other stakeholders, such as NGOs, are developing rich and high-quality data sets that are not yet visible to others. It makes sense to partner with others to broaden our data reach (where appropriate and agreed) to support wellbeing analysis. More work is required to explore this opportunity and some agencies are already in this space</w:t>
      </w:r>
      <w:r w:rsidR="00AC182E">
        <w:rPr>
          <w:rFonts w:eastAsia="Times New Roman"/>
          <w:szCs w:val="24"/>
          <w:lang w:val="en-US"/>
        </w:rPr>
        <w:t xml:space="preserve">, </w:t>
      </w:r>
      <w:r w:rsidR="004214F7" w:rsidRPr="00495E78">
        <w:rPr>
          <w:rFonts w:eastAsia="Times New Roman"/>
          <w:szCs w:val="24"/>
          <w:lang w:val="en-US"/>
        </w:rPr>
        <w:t>e.g.,</w:t>
      </w:r>
      <w:r w:rsidRPr="00495E78">
        <w:rPr>
          <w:rFonts w:eastAsia="Times New Roman"/>
          <w:szCs w:val="24"/>
          <w:lang w:val="en-US"/>
        </w:rPr>
        <w:t xml:space="preserve"> Social Wellbeing Agency. Critical issues, such as Māori data sovereignty, will also need to be explored.</w:t>
      </w:r>
    </w:p>
    <w:p w14:paraId="01535902" w14:textId="3F4E00A1" w:rsidR="0000248E" w:rsidRDefault="00976169" w:rsidP="009E5AC8">
      <w:pPr>
        <w:pStyle w:val="Heading2"/>
      </w:pPr>
      <w:r>
        <w:t xml:space="preserve">Growth of the </w:t>
      </w:r>
      <w:r w:rsidR="0000248E">
        <w:t>Māori data analytics</w:t>
      </w:r>
      <w:r>
        <w:t xml:space="preserve"> workforce is needed</w:t>
      </w:r>
    </w:p>
    <w:p w14:paraId="2970ECD1" w14:textId="79F7510B" w:rsidR="004D58AF" w:rsidRPr="00E73005" w:rsidRDefault="004D58AF" w:rsidP="00E73005">
      <w:pPr>
        <w:rPr>
          <w:rFonts w:eastAsia="Times New Roman"/>
          <w:szCs w:val="24"/>
          <w:lang w:val="en-US"/>
        </w:rPr>
      </w:pPr>
      <w:r w:rsidRPr="00E73005">
        <w:rPr>
          <w:rFonts w:eastAsia="Times New Roman"/>
          <w:szCs w:val="24"/>
          <w:lang w:val="en-US"/>
        </w:rPr>
        <w:t xml:space="preserve">Given </w:t>
      </w:r>
      <w:r w:rsidR="00F715E9">
        <w:rPr>
          <w:rFonts w:eastAsia="Times New Roman"/>
          <w:szCs w:val="24"/>
          <w:lang w:val="en-US"/>
        </w:rPr>
        <w:t xml:space="preserve">that </w:t>
      </w:r>
      <w:r w:rsidRPr="00E73005">
        <w:rPr>
          <w:rFonts w:eastAsia="Times New Roman"/>
          <w:szCs w:val="24"/>
          <w:lang w:val="en-US"/>
        </w:rPr>
        <w:t xml:space="preserve">many agencies and organisations that collect or steward Māori data lack the capability or capacity to apply a </w:t>
      </w:r>
      <w:r w:rsidR="00D71ED7">
        <w:rPr>
          <w:rFonts w:eastAsia="Times New Roman"/>
          <w:szCs w:val="24"/>
          <w:lang w:val="en-US"/>
        </w:rPr>
        <w:t>Te Ao M</w:t>
      </w:r>
      <w:r w:rsidRPr="00E73005">
        <w:rPr>
          <w:rFonts w:eastAsia="Times New Roman"/>
          <w:szCs w:val="24"/>
          <w:lang w:val="en-US"/>
        </w:rPr>
        <w:t>āori lens to their data collection or analysis</w:t>
      </w:r>
      <w:r w:rsidR="00745F5B">
        <w:rPr>
          <w:rFonts w:eastAsia="Times New Roman"/>
          <w:szCs w:val="24"/>
          <w:lang w:val="en-US"/>
        </w:rPr>
        <w:t>,</w:t>
      </w:r>
      <w:r w:rsidRPr="00E73005">
        <w:rPr>
          <w:rFonts w:eastAsia="Times New Roman"/>
          <w:szCs w:val="24"/>
          <w:lang w:val="en-US"/>
        </w:rPr>
        <w:t xml:space="preserve"> </w:t>
      </w:r>
      <w:r w:rsidR="00422923" w:rsidRPr="00E73005">
        <w:rPr>
          <w:rFonts w:eastAsia="Times New Roman"/>
          <w:szCs w:val="24"/>
          <w:lang w:val="en-US"/>
        </w:rPr>
        <w:t xml:space="preserve">there needs to be </w:t>
      </w:r>
      <w:r w:rsidR="001577A1">
        <w:rPr>
          <w:rFonts w:eastAsia="Times New Roman"/>
          <w:szCs w:val="24"/>
          <w:lang w:val="en-US"/>
        </w:rPr>
        <w:t xml:space="preserve">a </w:t>
      </w:r>
      <w:r w:rsidR="00422923" w:rsidRPr="00E73005">
        <w:rPr>
          <w:rFonts w:eastAsia="Times New Roman"/>
          <w:szCs w:val="24"/>
          <w:lang w:val="en-US"/>
        </w:rPr>
        <w:t xml:space="preserve">focus on growing </w:t>
      </w:r>
      <w:r w:rsidRPr="00E73005">
        <w:rPr>
          <w:rFonts w:eastAsia="Times New Roman"/>
          <w:szCs w:val="24"/>
          <w:lang w:val="en-US"/>
        </w:rPr>
        <w:t>Māori data analytics capability and capacity</w:t>
      </w:r>
      <w:r w:rsidR="00220054" w:rsidRPr="00E73005">
        <w:rPr>
          <w:rFonts w:eastAsia="Times New Roman"/>
          <w:szCs w:val="24"/>
          <w:lang w:val="en-US"/>
        </w:rPr>
        <w:t xml:space="preserve"> from a </w:t>
      </w:r>
      <w:r w:rsidR="00D71ED7">
        <w:rPr>
          <w:rFonts w:eastAsia="Times New Roman"/>
          <w:szCs w:val="24"/>
          <w:lang w:val="en-US"/>
        </w:rPr>
        <w:t>Te Ao M</w:t>
      </w:r>
      <w:r w:rsidR="00220054" w:rsidRPr="00E73005">
        <w:rPr>
          <w:rFonts w:eastAsia="Times New Roman"/>
          <w:szCs w:val="24"/>
          <w:lang w:val="en-US"/>
        </w:rPr>
        <w:t>āori perspective</w:t>
      </w:r>
      <w:r w:rsidR="00422923" w:rsidRPr="00E73005">
        <w:rPr>
          <w:rFonts w:eastAsia="Times New Roman"/>
          <w:szCs w:val="24"/>
          <w:lang w:val="en-US"/>
        </w:rPr>
        <w:t>. This</w:t>
      </w:r>
      <w:r w:rsidR="000972E5">
        <w:rPr>
          <w:rFonts w:eastAsia="Times New Roman"/>
          <w:szCs w:val="24"/>
          <w:lang w:val="en-US"/>
        </w:rPr>
        <w:t xml:space="preserve"> development</w:t>
      </w:r>
      <w:r w:rsidR="00422923" w:rsidRPr="00E73005">
        <w:rPr>
          <w:rFonts w:eastAsia="Times New Roman"/>
          <w:szCs w:val="24"/>
          <w:lang w:val="en-US"/>
        </w:rPr>
        <w:t xml:space="preserve"> should be identified</w:t>
      </w:r>
      <w:r w:rsidR="00860078" w:rsidRPr="00E73005">
        <w:rPr>
          <w:rFonts w:eastAsia="Times New Roman"/>
          <w:szCs w:val="24"/>
          <w:lang w:val="en-US"/>
        </w:rPr>
        <w:t xml:space="preserve"> within the comprehensive workforce strategy and roadmap Te Hiringa Mahara </w:t>
      </w:r>
      <w:r w:rsidR="00BA68CD" w:rsidRPr="00E73005">
        <w:rPr>
          <w:rFonts w:eastAsia="Times New Roman"/>
          <w:szCs w:val="24"/>
          <w:lang w:val="en-US"/>
        </w:rPr>
        <w:t xml:space="preserve">considers </w:t>
      </w:r>
      <w:r w:rsidR="002E3ACC" w:rsidRPr="00E73005">
        <w:rPr>
          <w:rFonts w:eastAsia="Times New Roman"/>
          <w:szCs w:val="24"/>
          <w:lang w:val="en-US"/>
        </w:rPr>
        <w:t xml:space="preserve">is </w:t>
      </w:r>
      <w:r w:rsidR="00BA68CD" w:rsidRPr="00E73005">
        <w:rPr>
          <w:rFonts w:eastAsia="Times New Roman"/>
          <w:szCs w:val="24"/>
          <w:lang w:val="en-US"/>
        </w:rPr>
        <w:t>needed</w:t>
      </w:r>
      <w:r w:rsidR="00860078" w:rsidRPr="00E73005">
        <w:rPr>
          <w:rFonts w:eastAsia="Times New Roman"/>
          <w:szCs w:val="24"/>
          <w:lang w:val="en-US"/>
        </w:rPr>
        <w:t xml:space="preserve"> to address the persistent mental health and addiction workforce shortages.</w:t>
      </w:r>
    </w:p>
    <w:p w14:paraId="03357EBF" w14:textId="326417F5" w:rsidR="00BA68CD" w:rsidRPr="0045119C" w:rsidRDefault="00CF43C7" w:rsidP="009E5AC8">
      <w:pPr>
        <w:pStyle w:val="Heading2"/>
      </w:pPr>
      <w:r>
        <w:t>Addressing non</w:t>
      </w:r>
      <w:r w:rsidR="00A04E3D">
        <w:t>-response bias in surveys</w:t>
      </w:r>
    </w:p>
    <w:p w14:paraId="57A7A6A2" w14:textId="781612C1" w:rsidR="007B39BF" w:rsidRPr="007B39BF" w:rsidRDefault="000E2A9D" w:rsidP="007B39BF">
      <w:r>
        <w:t xml:space="preserve">The TAN noted that </w:t>
      </w:r>
      <w:r w:rsidR="00DE6CFB">
        <w:t xml:space="preserve">non-response bias in surveys for people with </w:t>
      </w:r>
      <w:r w:rsidR="00FF1683">
        <w:t xml:space="preserve">serious mental health and addiction needs </w:t>
      </w:r>
      <w:r w:rsidR="00325074">
        <w:t>is an issue,</w:t>
      </w:r>
      <w:r w:rsidR="005A6D8E">
        <w:t xml:space="preserve"> </w:t>
      </w:r>
      <w:r w:rsidR="002E3ACC">
        <w:t xml:space="preserve">as is </w:t>
      </w:r>
      <w:r w:rsidR="004F40F9">
        <w:t>the extent to which their outcomes are not adequately represented</w:t>
      </w:r>
      <w:r w:rsidR="00430257">
        <w:t xml:space="preserve">. Survey methods need to </w:t>
      </w:r>
      <w:r w:rsidR="00477131">
        <w:t>consider w</w:t>
      </w:r>
      <w:r w:rsidR="007B39BF" w:rsidRPr="00F83AB8">
        <w:t xml:space="preserve">ays to increase survey participation </w:t>
      </w:r>
      <w:r w:rsidR="00F83AB8" w:rsidRPr="00F83AB8">
        <w:t xml:space="preserve">for people with </w:t>
      </w:r>
      <w:r w:rsidR="0049745C">
        <w:t>l</w:t>
      </w:r>
      <w:r w:rsidR="007B39BF" w:rsidRPr="007B39BF">
        <w:t xml:space="preserve">ived </w:t>
      </w:r>
      <w:r w:rsidR="00F83AB8">
        <w:t>e</w:t>
      </w:r>
      <w:r w:rsidR="007B39BF" w:rsidRPr="007B39BF">
        <w:t>xperience</w:t>
      </w:r>
      <w:r w:rsidR="00F83AB8">
        <w:t xml:space="preserve"> of mental distre</w:t>
      </w:r>
      <w:r w:rsidR="00227D68">
        <w:t>ss and addiction</w:t>
      </w:r>
      <w:r w:rsidR="00F83AB8">
        <w:t>.</w:t>
      </w:r>
    </w:p>
    <w:p w14:paraId="4B2033BA" w14:textId="27FA7AA1" w:rsidR="00CF1E19" w:rsidRDefault="003E6937" w:rsidP="003F673F">
      <w:r>
        <w:t>For Māori</w:t>
      </w:r>
      <w:r w:rsidR="00E26CE5">
        <w:t>,</w:t>
      </w:r>
      <w:r>
        <w:t xml:space="preserve"> t</w:t>
      </w:r>
      <w:r w:rsidR="008E37AD" w:rsidRPr="008E37AD">
        <w:t>he pathologi</w:t>
      </w:r>
      <w:r w:rsidR="00E26CE5">
        <w:t>s</w:t>
      </w:r>
      <w:r w:rsidR="008E37AD" w:rsidRPr="008E37AD">
        <w:t>ing of tamariki, the aversion by M</w:t>
      </w:r>
      <w:r w:rsidR="008C2A79">
        <w:t>ā</w:t>
      </w:r>
      <w:r w:rsidR="008E37AD" w:rsidRPr="008E37AD">
        <w:t>ori to such a process, and the labelling of M</w:t>
      </w:r>
      <w:r w:rsidR="008C2A79">
        <w:t>ā</w:t>
      </w:r>
      <w:r w:rsidR="008E37AD" w:rsidRPr="008E37AD">
        <w:t xml:space="preserve">ori are a reality. </w:t>
      </w:r>
      <w:r w:rsidR="00CE4D5B">
        <w:t xml:space="preserve">Our kōrero </w:t>
      </w:r>
      <w:r w:rsidR="008E37AD" w:rsidRPr="008E37AD">
        <w:t>must be considerate of that fact</w:t>
      </w:r>
      <w:r w:rsidR="00CE4D5B">
        <w:t>.</w:t>
      </w:r>
    </w:p>
    <w:p w14:paraId="790A4AAA" w14:textId="2922892A" w:rsidR="00EE410C" w:rsidRPr="00EE410C" w:rsidRDefault="00EE410C" w:rsidP="009E5AC8">
      <w:pPr>
        <w:pStyle w:val="Heading2"/>
        <w:rPr>
          <w:lang w:val="en-US"/>
        </w:rPr>
      </w:pPr>
      <w:r w:rsidRPr="00EE410C">
        <w:rPr>
          <w:lang w:val="en-US"/>
        </w:rPr>
        <w:lastRenderedPageBreak/>
        <w:t>It is vital that we have a clear picture of the nature and prevalence of mental disorder, distress</w:t>
      </w:r>
      <w:r>
        <w:rPr>
          <w:lang w:val="en-US"/>
        </w:rPr>
        <w:t>,</w:t>
      </w:r>
      <w:r w:rsidRPr="00EE410C">
        <w:rPr>
          <w:lang w:val="en-US"/>
        </w:rPr>
        <w:t xml:space="preserve"> and addiction in Aotearoa</w:t>
      </w:r>
    </w:p>
    <w:p w14:paraId="6B25D206" w14:textId="3DFBF06B" w:rsidR="00614AD4" w:rsidRDefault="00EE410C" w:rsidP="003F673F">
      <w:pPr>
        <w:rPr>
          <w:lang w:val="en-US"/>
        </w:rPr>
      </w:pPr>
      <w:r w:rsidRPr="00EE410C">
        <w:rPr>
          <w:lang w:val="en-US"/>
        </w:rPr>
        <w:t>The development of an in-depth epidemiological survey (He Ara Oranga recommendation</w:t>
      </w:r>
      <w:r w:rsidR="0025326D">
        <w:rPr>
          <w:lang w:val="en-US"/>
        </w:rPr>
        <w:t xml:space="preserve"> </w:t>
      </w:r>
      <w:r w:rsidRPr="0025326D">
        <w:rPr>
          <w:lang w:val="en-US"/>
        </w:rPr>
        <w:t>11</w:t>
      </w:r>
      <w:r w:rsidRPr="00EE410C">
        <w:rPr>
          <w:lang w:val="en-US"/>
        </w:rPr>
        <w:t xml:space="preserve">) will take time and resources but should be funded and prioritised within </w:t>
      </w:r>
      <w:r w:rsidR="0025326D">
        <w:rPr>
          <w:lang w:val="en-US"/>
        </w:rPr>
        <w:t>Man</w:t>
      </w:r>
      <w:r w:rsidR="00EF640F">
        <w:rPr>
          <w:lang w:val="en-US"/>
        </w:rPr>
        <w:t xml:space="preserve">atū Hauora | </w:t>
      </w:r>
      <w:r w:rsidRPr="00EE410C">
        <w:rPr>
          <w:lang w:val="en-US"/>
        </w:rPr>
        <w:t xml:space="preserve">Ministry of Health. This </w:t>
      </w:r>
      <w:r w:rsidR="00176805">
        <w:rPr>
          <w:lang w:val="en-US"/>
        </w:rPr>
        <w:t xml:space="preserve">data </w:t>
      </w:r>
      <w:r w:rsidRPr="00EE410C">
        <w:rPr>
          <w:lang w:val="en-US"/>
        </w:rPr>
        <w:t xml:space="preserve">will help us develop preventative approaches, and planning and </w:t>
      </w:r>
      <w:r w:rsidRPr="00EE410C">
        <w:rPr>
          <w:lang w:val="en-GB"/>
        </w:rPr>
        <w:t>organising</w:t>
      </w:r>
      <w:r w:rsidRPr="00EE410C">
        <w:rPr>
          <w:lang w:val="en-US"/>
        </w:rPr>
        <w:t xml:space="preserve"> services. Without current information, we cannot adequately assess unmet need and the extent to which resources are being directed, for the greatest effect</w:t>
      </w:r>
      <w:r w:rsidR="00AC182E">
        <w:rPr>
          <w:lang w:val="en-US"/>
        </w:rPr>
        <w:t>;</w:t>
      </w:r>
      <w:r w:rsidRPr="00EE410C">
        <w:rPr>
          <w:lang w:val="en-US"/>
        </w:rPr>
        <w:t xml:space="preserve"> </w:t>
      </w:r>
      <w:r w:rsidR="00AC182E">
        <w:rPr>
          <w:lang w:val="en-US"/>
        </w:rPr>
        <w:t>f</w:t>
      </w:r>
      <w:r w:rsidRPr="00EE410C">
        <w:rPr>
          <w:lang w:val="en-US"/>
        </w:rPr>
        <w:t>unders and providers cannot plan for and organise services in a way that best meets needs</w:t>
      </w:r>
      <w:r w:rsidR="00AC182E">
        <w:rPr>
          <w:lang w:val="en-US"/>
        </w:rPr>
        <w:t xml:space="preserve">; </w:t>
      </w:r>
      <w:r w:rsidRPr="00EE410C">
        <w:rPr>
          <w:lang w:val="en-US"/>
        </w:rPr>
        <w:t>and preventative</w:t>
      </w:r>
      <w:r w:rsidR="00FD656E">
        <w:rPr>
          <w:lang w:val="en-US"/>
        </w:rPr>
        <w:t xml:space="preserve"> </w:t>
      </w:r>
      <w:r w:rsidR="00FD656E" w:rsidRPr="00FD656E">
        <w:rPr>
          <w:lang w:val="en-US"/>
        </w:rPr>
        <w:t>approaches cannot be targeted for best effect.</w:t>
      </w:r>
    </w:p>
    <w:p w14:paraId="25B111AC" w14:textId="6BAD0334" w:rsidR="00502CB3" w:rsidRDefault="00000000" w:rsidP="003F673F">
      <w:hyperlink r:id="rId38" w:history="1">
        <w:r w:rsidR="003F673F" w:rsidRPr="00946E44">
          <w:rPr>
            <w:rStyle w:val="Hyperlink"/>
            <w:u w:val="none"/>
          </w:rPr>
          <w:t xml:space="preserve">Te Rau Hinengaro: The New Zealand Mental Health Survey </w:t>
        </w:r>
      </w:hyperlink>
      <w:r w:rsidR="00452C10" w:rsidRPr="00B27177">
        <w:t>was conduc</w:t>
      </w:r>
      <w:r w:rsidR="00AF39FA" w:rsidRPr="00B27177">
        <w:t>ted in late 2003 and 2004</w:t>
      </w:r>
      <w:r w:rsidR="006C0072">
        <w:t>,</w:t>
      </w:r>
      <w:r w:rsidR="00AF39FA" w:rsidRPr="00B27177">
        <w:t xml:space="preserve"> published in 2006</w:t>
      </w:r>
      <w:r w:rsidR="006C0072">
        <w:t>,</w:t>
      </w:r>
      <w:r w:rsidR="00AF39FA" w:rsidRPr="00B27177">
        <w:t xml:space="preserve"> and remains the basis for </w:t>
      </w:r>
      <w:r w:rsidR="005A108F">
        <w:t>in-depth</w:t>
      </w:r>
      <w:r w:rsidR="00D8686E" w:rsidRPr="00B27177">
        <w:t xml:space="preserve"> </w:t>
      </w:r>
      <w:r w:rsidR="00AF39FA" w:rsidRPr="00B27177">
        <w:t>prevalence data</w:t>
      </w:r>
      <w:r w:rsidR="00B072CA">
        <w:t xml:space="preserve"> (Oakley</w:t>
      </w:r>
      <w:r w:rsidR="00607250">
        <w:t xml:space="preserve"> </w:t>
      </w:r>
      <w:r w:rsidR="00B072CA">
        <w:t>Brown et al, 2006)</w:t>
      </w:r>
      <w:r w:rsidR="00D8686E" w:rsidRPr="00B27177">
        <w:t>.</w:t>
      </w:r>
    </w:p>
    <w:p w14:paraId="4191A4D0" w14:textId="599CF880" w:rsidR="003F673F" w:rsidRDefault="00502CB3" w:rsidP="00DE48D0">
      <w:pPr>
        <w:pStyle w:val="Heading2"/>
      </w:pPr>
      <w:r>
        <w:t>Whakamaua: Māori Health Action Plan 2020-2025</w:t>
      </w:r>
      <w:r w:rsidR="003F673F">
        <w:t xml:space="preserve"> </w:t>
      </w:r>
    </w:p>
    <w:p w14:paraId="61CFA45F" w14:textId="7C4F7932" w:rsidR="003F673F" w:rsidRDefault="003F673F" w:rsidP="003F673F">
      <w:pPr>
        <w:shd w:val="clear" w:color="auto" w:fill="FFFFFF"/>
        <w:spacing w:after="0" w:line="330" w:lineRule="atLeast"/>
      </w:pPr>
      <w:r w:rsidRPr="00502CB3">
        <w:rPr>
          <w:rFonts w:eastAsia="Times New Roman" w:cs="Times New Roman"/>
          <w:szCs w:val="24"/>
          <w:lang w:eastAsia="en-NZ"/>
        </w:rPr>
        <w:t xml:space="preserve">Whakamaua: Māori Health Action Plan 2020-2025 </w:t>
      </w:r>
      <w:r w:rsidR="00D62D24">
        <w:rPr>
          <w:rFonts w:eastAsia="Times New Roman" w:cs="Times New Roman"/>
          <w:szCs w:val="24"/>
          <w:lang w:eastAsia="en-NZ"/>
        </w:rPr>
        <w:t>(Ministry of Health, 20</w:t>
      </w:r>
      <w:r w:rsidR="00E2567E">
        <w:rPr>
          <w:rFonts w:eastAsia="Times New Roman" w:cs="Times New Roman"/>
          <w:szCs w:val="24"/>
          <w:lang w:eastAsia="en-NZ"/>
        </w:rPr>
        <w:t>20</w:t>
      </w:r>
      <w:r w:rsidR="00D62D24">
        <w:rPr>
          <w:rFonts w:eastAsia="Times New Roman" w:cs="Times New Roman"/>
          <w:szCs w:val="24"/>
          <w:lang w:eastAsia="en-NZ"/>
        </w:rPr>
        <w:t xml:space="preserve">) </w:t>
      </w:r>
      <w:r w:rsidRPr="00502CB3">
        <w:rPr>
          <w:rFonts w:eastAsia="Times New Roman" w:cs="Times New Roman"/>
          <w:szCs w:val="24"/>
          <w:lang w:eastAsia="en-NZ"/>
        </w:rPr>
        <w:t>is the implementation plan for He Korowai Oranga, New Zealand's Māori Health Strategy</w:t>
      </w:r>
      <w:r w:rsidR="00FB7D57">
        <w:rPr>
          <w:rFonts w:eastAsia="Times New Roman" w:cs="Times New Roman"/>
          <w:szCs w:val="24"/>
          <w:lang w:eastAsia="en-NZ"/>
        </w:rPr>
        <w:t>.</w:t>
      </w:r>
      <w:r w:rsidRPr="00502CB3">
        <w:rPr>
          <w:rFonts w:eastAsia="Times New Roman" w:cs="Times New Roman"/>
          <w:szCs w:val="24"/>
          <w:lang w:eastAsia="en-NZ"/>
        </w:rPr>
        <w:t xml:space="preserve"> </w:t>
      </w:r>
      <w:r w:rsidR="00FB7D57">
        <w:rPr>
          <w:rFonts w:eastAsia="Times New Roman" w:cs="Times New Roman"/>
          <w:szCs w:val="24"/>
          <w:lang w:eastAsia="en-NZ"/>
        </w:rPr>
        <w:t>I</w:t>
      </w:r>
      <w:r w:rsidRPr="00502CB3">
        <w:rPr>
          <w:rFonts w:eastAsia="Times New Roman" w:cs="Times New Roman"/>
          <w:szCs w:val="24"/>
          <w:lang w:eastAsia="en-NZ"/>
        </w:rPr>
        <w:t xml:space="preserve">t will help us achieve better health outcomes. </w:t>
      </w:r>
      <w:r w:rsidRPr="00502CB3">
        <w:t xml:space="preserve">The Whakamaua Research </w:t>
      </w:r>
      <w:r w:rsidR="00FB7D57">
        <w:t>and</w:t>
      </w:r>
      <w:r w:rsidRPr="00502CB3">
        <w:t xml:space="preserve"> Evaluation is underway.</w:t>
      </w:r>
      <w:r w:rsidR="00D62D24">
        <w:t xml:space="preserve"> </w:t>
      </w:r>
      <w:hyperlink r:id="rId39" w:history="1">
        <w:r w:rsidR="00EE5DC5" w:rsidRPr="00946E44">
          <w:rPr>
            <w:rStyle w:val="Hyperlink"/>
            <w:u w:val="none"/>
          </w:rPr>
          <w:t>Whakamaua dashboard</w:t>
        </w:r>
      </w:hyperlink>
      <w:r w:rsidRPr="00502CB3">
        <w:t xml:space="preserve"> </w:t>
      </w:r>
      <w:r w:rsidR="00EE5DC5">
        <w:t>provides</w:t>
      </w:r>
      <w:r w:rsidRPr="00502CB3">
        <w:t xml:space="preserve"> an update of the data collection that will be relevant to this project.</w:t>
      </w:r>
    </w:p>
    <w:p w14:paraId="75F0FF0C" w14:textId="09760FF1" w:rsidR="00E777BC" w:rsidRPr="00E777BC" w:rsidRDefault="00E777BC" w:rsidP="00E777BC">
      <w:pPr>
        <w:pStyle w:val="Heading2"/>
      </w:pPr>
      <w:r>
        <w:t>Health promotion and prevention</w:t>
      </w:r>
    </w:p>
    <w:p w14:paraId="6838527C" w14:textId="053FA1D3" w:rsidR="00E777BC" w:rsidRPr="00342094" w:rsidRDefault="00E777BC" w:rsidP="00CF5CE4">
      <w:r>
        <w:t xml:space="preserve">Health promotion and Primary prevention are critical to maintaining wellbeing. </w:t>
      </w:r>
      <w:r w:rsidRPr="00342094">
        <w:t>Te Hiringa Hauora</w:t>
      </w:r>
      <w:r w:rsidR="00CF5CE4">
        <w:t xml:space="preserve"> | </w:t>
      </w:r>
      <w:r w:rsidRPr="00342094">
        <w:t>Health Promotion Agency (</w:t>
      </w:r>
      <w:hyperlink r:id="rId40" w:history="1">
        <w:r w:rsidR="00B34217" w:rsidRPr="00946E44">
          <w:rPr>
            <w:rStyle w:val="Hyperlink"/>
            <w:u w:val="none"/>
          </w:rPr>
          <w:t>www.hpa.org.nz</w:t>
        </w:r>
      </w:hyperlink>
      <w:r w:rsidRPr="00342094">
        <w:t>)</w:t>
      </w:r>
      <w:r w:rsidR="00CF5CE4">
        <w:t xml:space="preserve">, </w:t>
      </w:r>
      <w:r w:rsidRPr="00342094">
        <w:t xml:space="preserve">a </w:t>
      </w:r>
      <w:r w:rsidR="00CF5CE4">
        <w:t>c</w:t>
      </w:r>
      <w:r w:rsidRPr="00342094">
        <w:t>rown entity leads and supports activities for the following purposes:</w:t>
      </w:r>
    </w:p>
    <w:p w14:paraId="53C14D6A" w14:textId="12450F60" w:rsidR="00E777BC" w:rsidRPr="00342094" w:rsidRDefault="00E777BC" w:rsidP="00C8416D">
      <w:pPr>
        <w:pStyle w:val="ListParagraph"/>
        <w:numPr>
          <w:ilvl w:val="0"/>
          <w:numId w:val="21"/>
        </w:numPr>
      </w:pPr>
      <w:r w:rsidRPr="00342094">
        <w:t>promoting health and wellbeing and encouraging healthy lifestyles</w:t>
      </w:r>
    </w:p>
    <w:p w14:paraId="39C3CAB4" w14:textId="7E6B7E7C" w:rsidR="00E777BC" w:rsidRPr="00342094" w:rsidRDefault="00E777BC" w:rsidP="00C8416D">
      <w:pPr>
        <w:pStyle w:val="ListParagraph"/>
        <w:numPr>
          <w:ilvl w:val="0"/>
          <w:numId w:val="21"/>
        </w:numPr>
      </w:pPr>
      <w:r w:rsidRPr="00342094">
        <w:t>preventing disease, illness, and injury</w:t>
      </w:r>
    </w:p>
    <w:p w14:paraId="27442426" w14:textId="77777777" w:rsidR="00E777BC" w:rsidRPr="00342094" w:rsidRDefault="00E777BC" w:rsidP="00C8416D">
      <w:pPr>
        <w:pStyle w:val="ListParagraph"/>
        <w:numPr>
          <w:ilvl w:val="0"/>
          <w:numId w:val="21"/>
        </w:numPr>
      </w:pPr>
      <w:r w:rsidRPr="00342094">
        <w:t>enabling environments that support health and wellbeing and healthy lifestyles; and</w:t>
      </w:r>
    </w:p>
    <w:p w14:paraId="2CFD9821" w14:textId="2D3171C4" w:rsidR="00E777BC" w:rsidRPr="00342094" w:rsidRDefault="00E777BC" w:rsidP="00C8416D">
      <w:pPr>
        <w:pStyle w:val="ListParagraph"/>
        <w:numPr>
          <w:ilvl w:val="0"/>
          <w:numId w:val="21"/>
        </w:numPr>
      </w:pPr>
      <w:r w:rsidRPr="00342094">
        <w:t>reducing personal, social, and economic harm.</w:t>
      </w:r>
    </w:p>
    <w:p w14:paraId="17C1EF99" w14:textId="65EBEC65" w:rsidR="00E777BC" w:rsidRPr="00342094" w:rsidRDefault="00E777BC" w:rsidP="00CF5CE4">
      <w:r w:rsidRPr="00342094">
        <w:t>Nōku te Ao has been developed from the Like Minds</w:t>
      </w:r>
      <w:r w:rsidR="001D5025">
        <w:t xml:space="preserve"> </w:t>
      </w:r>
      <w:r w:rsidRPr="00342094">
        <w:t>/</w:t>
      </w:r>
      <w:r w:rsidR="001D5025">
        <w:t xml:space="preserve"> </w:t>
      </w:r>
      <w:r w:rsidRPr="00342094">
        <w:t xml:space="preserve">Like Mine Programme that was first established in 1997 by </w:t>
      </w:r>
      <w:r w:rsidR="001D5025">
        <w:t>Manat</w:t>
      </w:r>
      <w:r w:rsidR="001D5025">
        <w:rPr>
          <w:lang w:val="mi-NZ"/>
        </w:rPr>
        <w:t>ū Hauora</w:t>
      </w:r>
      <w:r w:rsidRPr="00342094">
        <w:t xml:space="preserve"> and has thrived through the ongoing partnerships with people with lived experience of mental distress, and with Māori and with Pasifika communities. Nōku te Ao aims to increase social inclusion and reduce stigma and discrimination against people with experience of mental illness and distress.</w:t>
      </w:r>
      <w:r w:rsidR="00022B3E">
        <w:t xml:space="preserve"> </w:t>
      </w:r>
    </w:p>
    <w:p w14:paraId="0611909C" w14:textId="683F509F" w:rsidR="00E777BC" w:rsidRPr="00342094" w:rsidRDefault="00E777BC" w:rsidP="0043043E">
      <w:r w:rsidRPr="00342094">
        <w:t xml:space="preserve">Te Hiringa Hauora has, with the help of </w:t>
      </w:r>
      <w:r w:rsidR="0043043E" w:rsidRPr="00342094">
        <w:t>several</w:t>
      </w:r>
      <w:r w:rsidRPr="00342094">
        <w:t xml:space="preserve"> partners, developed a new strategic direction for Nōku te Ao for 2021-2026.</w:t>
      </w:r>
      <w:r w:rsidR="00022B3E">
        <w:t xml:space="preserve"> </w:t>
      </w:r>
      <w:r w:rsidRPr="00342094">
        <w:t xml:space="preserve">This includes a greater focus on kaupapa </w:t>
      </w:r>
      <w:r w:rsidRPr="00342094">
        <w:lastRenderedPageBreak/>
        <w:t>Māori, and a shared objective of Te Hiringa Hauora and its partners to participate, collaborate, and work together to achieve the Nōku te Ao strategy. Te Hiringa Hauora has committed to develop reciprocal, equal relationships with all providers within Nōku te Ao, so all partners can contribute effectively toward the new strategic direction.</w:t>
      </w:r>
    </w:p>
    <w:p w14:paraId="6AE563D8" w14:textId="61E70963" w:rsidR="00E777BC" w:rsidRPr="00342094" w:rsidRDefault="00E777BC" w:rsidP="0043043E">
      <w:r w:rsidRPr="00342094">
        <w:t>A number of partners have been engaged to assist Te Hiringa Hauora to give effect to the Nōku te Ao strategy:</w:t>
      </w:r>
    </w:p>
    <w:p w14:paraId="7D3457FE" w14:textId="25ADEE11" w:rsidR="00E777BC" w:rsidRPr="00342094" w:rsidRDefault="00E777BC" w:rsidP="00C8416D">
      <w:pPr>
        <w:pStyle w:val="ListParagraph"/>
        <w:numPr>
          <w:ilvl w:val="0"/>
          <w:numId w:val="22"/>
        </w:numPr>
      </w:pPr>
      <w:r w:rsidRPr="00342094">
        <w:t xml:space="preserve">Social Action Grants – Mental Health Foundation </w:t>
      </w:r>
    </w:p>
    <w:p w14:paraId="5C20954C" w14:textId="1C92C52A" w:rsidR="00E777BC" w:rsidRPr="00342094" w:rsidRDefault="00E777BC" w:rsidP="00C8416D">
      <w:pPr>
        <w:pStyle w:val="ListParagraph"/>
        <w:numPr>
          <w:ilvl w:val="0"/>
          <w:numId w:val="22"/>
        </w:numPr>
      </w:pPr>
      <w:r w:rsidRPr="00342094">
        <w:t xml:space="preserve">Settings-based Education for Social Change – Te Rau Ora and Te Kete Pounamu </w:t>
      </w:r>
    </w:p>
    <w:p w14:paraId="690C5F58" w14:textId="45A29E92" w:rsidR="00E777BC" w:rsidRPr="00342094" w:rsidRDefault="00E777BC" w:rsidP="00C8416D">
      <w:pPr>
        <w:pStyle w:val="ListParagraph"/>
        <w:numPr>
          <w:ilvl w:val="0"/>
          <w:numId w:val="22"/>
        </w:numPr>
      </w:pPr>
      <w:r w:rsidRPr="00342094">
        <w:t>Social Movement Initiative – Mental Health Foundation, Ngā Hau e Whā, and Hāpai te Hauora</w:t>
      </w:r>
    </w:p>
    <w:p w14:paraId="1AB2B1E6" w14:textId="77C6DE3E" w:rsidR="00E777BC" w:rsidRPr="00342094" w:rsidRDefault="00E777BC" w:rsidP="00C8416D">
      <w:pPr>
        <w:pStyle w:val="ListParagraph"/>
        <w:numPr>
          <w:ilvl w:val="0"/>
          <w:numId w:val="22"/>
        </w:numPr>
      </w:pPr>
      <w:r w:rsidRPr="00342094">
        <w:t>Media monitoring and awards – Mental Health Foundatio</w:t>
      </w:r>
      <w:r w:rsidR="000E0DC7">
        <w:t>n</w:t>
      </w:r>
    </w:p>
    <w:p w14:paraId="545F92DB" w14:textId="3A4F19D6" w:rsidR="00E777BC" w:rsidRPr="00342094" w:rsidRDefault="00E777BC" w:rsidP="00C8416D">
      <w:pPr>
        <w:pStyle w:val="ListParagraph"/>
        <w:numPr>
          <w:ilvl w:val="0"/>
          <w:numId w:val="22"/>
        </w:numPr>
      </w:pPr>
      <w:r w:rsidRPr="00342094">
        <w:t xml:space="preserve">Programme evaluation – Te Werohau, Te Whare Wananga o Awanui a Rangi </w:t>
      </w:r>
    </w:p>
    <w:p w14:paraId="7191AE47" w14:textId="77777777" w:rsidR="00E777BC" w:rsidRPr="00342094" w:rsidRDefault="00E777BC" w:rsidP="00C8416D">
      <w:pPr>
        <w:pStyle w:val="ListParagraph"/>
        <w:numPr>
          <w:ilvl w:val="0"/>
          <w:numId w:val="22"/>
        </w:numPr>
      </w:pPr>
      <w:r w:rsidRPr="00342094">
        <w:t>Programme research - Te Whare Wananga o Te Awanui a Rangi; and</w:t>
      </w:r>
    </w:p>
    <w:p w14:paraId="7CD7C802" w14:textId="77777777" w:rsidR="00E777BC" w:rsidRPr="00342094" w:rsidRDefault="00E777BC" w:rsidP="00C8416D">
      <w:pPr>
        <w:pStyle w:val="ListParagraph"/>
        <w:numPr>
          <w:ilvl w:val="0"/>
          <w:numId w:val="22"/>
        </w:numPr>
      </w:pPr>
      <w:r w:rsidRPr="00342094">
        <w:t xml:space="preserve">Capacity building – Oi Collective </w:t>
      </w:r>
      <w:hyperlink r:id="rId41" w:history="1">
        <w:r w:rsidRPr="00946E44">
          <w:rPr>
            <w:rStyle w:val="Hyperlink"/>
            <w:szCs w:val="24"/>
            <w:u w:val="none"/>
          </w:rPr>
          <w:t>http://oicollective.co.nz/mahi/</w:t>
        </w:r>
      </w:hyperlink>
    </w:p>
    <w:p w14:paraId="099701F8" w14:textId="7A4511E3" w:rsidR="00975D59" w:rsidRPr="00E777BC" w:rsidRDefault="00E777BC" w:rsidP="0043043E">
      <w:r>
        <w:t xml:space="preserve">A significant number of </w:t>
      </w:r>
      <w:r w:rsidR="0043043E">
        <w:t xml:space="preserve">the </w:t>
      </w:r>
      <w:r>
        <w:t xml:space="preserve">TAN </w:t>
      </w:r>
      <w:r w:rsidRPr="00342094">
        <w:t>M</w:t>
      </w:r>
      <w:r w:rsidRPr="00342094">
        <w:rPr>
          <w:lang w:val="mi-NZ"/>
        </w:rPr>
        <w:t>ā</w:t>
      </w:r>
      <w:r w:rsidRPr="00342094">
        <w:t xml:space="preserve">ori </w:t>
      </w:r>
      <w:r w:rsidR="0043043E">
        <w:t>roopū</w:t>
      </w:r>
      <w:r>
        <w:t>, Professor Te Kani Kingi, Dr Jordan Waiti, Leilani Maraku and Suaree Borrell</w:t>
      </w:r>
      <w:r w:rsidR="00324B1C">
        <w:t>,</w:t>
      </w:r>
      <w:r>
        <w:t xml:space="preserve"> have working knowledge and or lead some of the Noku te Ao Strategy initiatives</w:t>
      </w:r>
      <w:r w:rsidR="00324B1C">
        <w:t>.</w:t>
      </w:r>
      <w:r w:rsidR="00536618">
        <w:t xml:space="preserve"> </w:t>
      </w:r>
      <w:r w:rsidR="00975D59">
        <w:t xml:space="preserve">This is an opportunity </w:t>
      </w:r>
      <w:r w:rsidR="00217DCC">
        <w:t xml:space="preserve">for Te Hiringa Mahara to connect with partners and work together </w:t>
      </w:r>
      <w:r w:rsidR="00036CF9">
        <w:t>to achieve improved and equitable wellbeing.</w:t>
      </w:r>
    </w:p>
    <w:p w14:paraId="3EB93353" w14:textId="47740A15" w:rsidR="001D1465" w:rsidRPr="00711E2F" w:rsidRDefault="00300FCC" w:rsidP="00DE48D0">
      <w:pPr>
        <w:pStyle w:val="Heading2"/>
        <w:rPr>
          <w:lang w:val="en-US"/>
        </w:rPr>
      </w:pPr>
      <w:r>
        <w:rPr>
          <w:lang w:val="en-US"/>
        </w:rPr>
        <w:t>K</w:t>
      </w:r>
      <w:r w:rsidR="001D1465" w:rsidRPr="00711E2F">
        <w:rPr>
          <w:lang w:val="en-US"/>
        </w:rPr>
        <w:t>nowing the ‘line of sight’ improves the probability of success</w:t>
      </w:r>
    </w:p>
    <w:p w14:paraId="0C8E19D8" w14:textId="0518D503" w:rsidR="007B6618" w:rsidRDefault="001D1465" w:rsidP="009E5AC8">
      <w:r w:rsidRPr="00711E2F">
        <w:rPr>
          <w:lang w:val="en-US"/>
        </w:rPr>
        <w:t xml:space="preserve">Sustainable and effective outcome frameworks for complex systems connect the dots between population, systems and services. They attempt to understand contribution linkages – such as an agreement that if we fund and deliver these service outcomes, we are contributing to improved system level outcomes and, in turn, population level outcomes. </w:t>
      </w:r>
      <w:r w:rsidR="00EC39B1">
        <w:rPr>
          <w:lang w:val="en-US"/>
        </w:rPr>
        <w:t>S</w:t>
      </w:r>
      <w:r w:rsidRPr="00711E2F">
        <w:rPr>
          <w:lang w:val="en-US"/>
        </w:rPr>
        <w:t>imilar to logic model “if</w:t>
      </w:r>
      <w:r w:rsidR="00EC39B1">
        <w:rPr>
          <w:lang w:val="en-US"/>
        </w:rPr>
        <w:t xml:space="preserve"> </w:t>
      </w:r>
      <w:r w:rsidR="00300FCC">
        <w:rPr>
          <w:lang w:val="en-US"/>
        </w:rPr>
        <w:t>/</w:t>
      </w:r>
      <w:r w:rsidRPr="00711E2F">
        <w:rPr>
          <w:lang w:val="en-US"/>
        </w:rPr>
        <w:t xml:space="preserve"> then</w:t>
      </w:r>
      <w:r w:rsidR="00EC39B1">
        <w:rPr>
          <w:lang w:val="en-US"/>
        </w:rPr>
        <w:t>”</w:t>
      </w:r>
      <w:r w:rsidR="00300FCC">
        <w:rPr>
          <w:lang w:val="en-US"/>
        </w:rPr>
        <w:t xml:space="preserve"> statements</w:t>
      </w:r>
      <w:r w:rsidRPr="00711E2F">
        <w:rPr>
          <w:lang w:val="en-US"/>
        </w:rPr>
        <w:t>, the opportunity is to continue to test and refine why and what we fund from a cascaded outcomes perspective (both from population to services and service to populations).</w:t>
      </w:r>
      <w:r w:rsidR="007B6618">
        <w:br w:type="page"/>
      </w:r>
    </w:p>
    <w:p w14:paraId="0F086A25" w14:textId="640AC756" w:rsidR="00436BFD" w:rsidRPr="00F960AA" w:rsidRDefault="00436BFD" w:rsidP="00436BFD">
      <w:pPr>
        <w:pStyle w:val="Heading1"/>
        <w:rPr>
          <w:sz w:val="56"/>
          <w:szCs w:val="56"/>
        </w:rPr>
      </w:pPr>
      <w:bookmarkStart w:id="15" w:name="_Next_steps"/>
      <w:bookmarkStart w:id="16" w:name="_Toc135392322"/>
      <w:bookmarkEnd w:id="15"/>
      <w:r w:rsidRPr="00F960AA">
        <w:rPr>
          <w:sz w:val="56"/>
          <w:szCs w:val="56"/>
        </w:rPr>
        <w:lastRenderedPageBreak/>
        <w:t>Next steps</w:t>
      </w:r>
      <w:bookmarkEnd w:id="16"/>
    </w:p>
    <w:p w14:paraId="66D0E8BC" w14:textId="10A66100" w:rsidR="00D91C66" w:rsidRDefault="00D91C66" w:rsidP="00D91C66">
      <w:pPr>
        <w:rPr>
          <w:lang w:val="en-US" w:eastAsia="en-NZ"/>
        </w:rPr>
      </w:pPr>
      <w:r w:rsidRPr="00D91C66">
        <w:rPr>
          <w:lang w:val="en-US" w:eastAsia="en-NZ"/>
        </w:rPr>
        <w:t>Developing the methods and measures will be an iterative process</w:t>
      </w:r>
      <w:r w:rsidR="00285697">
        <w:rPr>
          <w:lang w:val="en-US" w:eastAsia="en-NZ"/>
        </w:rPr>
        <w:t xml:space="preserve"> </w:t>
      </w:r>
      <w:r w:rsidRPr="00D91C66">
        <w:rPr>
          <w:lang w:val="en-US" w:eastAsia="en-NZ"/>
        </w:rPr>
        <w:t>– the methods and measures list will evolve over time</w:t>
      </w:r>
      <w:r w:rsidR="00E33924">
        <w:rPr>
          <w:lang w:val="en-US" w:eastAsia="en-NZ"/>
        </w:rPr>
        <w:t>,</w:t>
      </w:r>
      <w:r w:rsidRPr="00D91C66">
        <w:rPr>
          <w:lang w:val="en-US" w:eastAsia="en-NZ"/>
        </w:rPr>
        <w:t xml:space="preserve"> so it remains relevant and current.</w:t>
      </w:r>
    </w:p>
    <w:p w14:paraId="3EDD51B4" w14:textId="52E2EDFD" w:rsidR="00B727F5" w:rsidRDefault="00B727F5" w:rsidP="00697D5C">
      <w:pPr>
        <w:pStyle w:val="Heading2"/>
        <w:rPr>
          <w:rFonts w:eastAsia="Times New Roman"/>
          <w:lang w:val="mi-NZ" w:eastAsia="en-NZ"/>
        </w:rPr>
      </w:pPr>
      <w:r>
        <w:rPr>
          <w:rFonts w:eastAsia="Times New Roman"/>
          <w:lang w:val="mi-NZ" w:eastAsia="en-NZ"/>
        </w:rPr>
        <w:t>Phase 1</w:t>
      </w:r>
    </w:p>
    <w:p w14:paraId="53E9E176" w14:textId="1937F30F" w:rsidR="000B220F" w:rsidRPr="001E5833" w:rsidRDefault="000B220F" w:rsidP="00041E99">
      <w:pPr>
        <w:pStyle w:val="Heading4"/>
        <w:spacing w:after="160"/>
      </w:pPr>
      <w:r w:rsidRPr="001E5833">
        <w:t xml:space="preserve">Te Huringa </w:t>
      </w:r>
      <w:r w:rsidR="006034D8">
        <w:t xml:space="preserve">Tuarua </w:t>
      </w:r>
      <w:r w:rsidRPr="001E5833">
        <w:t xml:space="preserve">2023 </w:t>
      </w:r>
      <w:r w:rsidR="005F7FD4">
        <w:t>– Mental health and addiction services monitoring report</w:t>
      </w:r>
    </w:p>
    <w:p w14:paraId="1DA45FD0" w14:textId="77777777" w:rsidR="004B03EE" w:rsidRDefault="000B220F" w:rsidP="00041E99">
      <w:r w:rsidRPr="001E5833">
        <w:t xml:space="preserve">Te Huringa </w:t>
      </w:r>
      <w:r w:rsidR="00364E62">
        <w:t xml:space="preserve">Tuarua </w:t>
      </w:r>
      <w:r w:rsidRPr="001E5833">
        <w:t>2023 include</w:t>
      </w:r>
      <w:r w:rsidR="00364E62">
        <w:t>s</w:t>
      </w:r>
      <w:r w:rsidRPr="001E5833">
        <w:t xml:space="preserve"> a summary report</w:t>
      </w:r>
      <w:r w:rsidR="000647B3">
        <w:t xml:space="preserve"> and three</w:t>
      </w:r>
      <w:r w:rsidRPr="001E5833">
        <w:t xml:space="preserve"> focus reports</w:t>
      </w:r>
      <w:r w:rsidR="004B03EE">
        <w:t>:</w:t>
      </w:r>
    </w:p>
    <w:p w14:paraId="129E5F88" w14:textId="4FAE9ED7" w:rsidR="004B03EE" w:rsidRPr="004B03EE" w:rsidRDefault="004B03EE" w:rsidP="00550F7A">
      <w:pPr>
        <w:numPr>
          <w:ilvl w:val="0"/>
          <w:numId w:val="49"/>
        </w:numPr>
        <w:spacing w:after="60"/>
      </w:pPr>
      <w:r w:rsidRPr="004B03EE">
        <w:t>Admission of young people to adult inpatient mental health services</w:t>
      </w:r>
      <w:r w:rsidRPr="004B03EE">
        <w:rPr>
          <w:rFonts w:ascii="Calibri" w:hAnsi="Calibri" w:cs="Calibri"/>
        </w:rPr>
        <w:t> </w:t>
      </w:r>
      <w:r w:rsidRPr="004B03EE">
        <w:t>(published on 17 May 2023)</w:t>
      </w:r>
      <w:r w:rsidR="0009077E">
        <w:t>.</w:t>
      </w:r>
    </w:p>
    <w:p w14:paraId="60C3A525" w14:textId="77777777" w:rsidR="004B03EE" w:rsidRPr="004B03EE" w:rsidRDefault="004B03EE" w:rsidP="00550F7A">
      <w:pPr>
        <w:numPr>
          <w:ilvl w:val="0"/>
          <w:numId w:val="49"/>
        </w:numPr>
        <w:spacing w:after="60"/>
      </w:pPr>
      <w:r w:rsidRPr="004B03EE">
        <w:t>Kaupapa Māori services, which will be published late June 2023.</w:t>
      </w:r>
    </w:p>
    <w:p w14:paraId="4CA353E2" w14:textId="77777777" w:rsidR="004B03EE" w:rsidRPr="004B03EE" w:rsidRDefault="004B03EE" w:rsidP="00550F7A">
      <w:pPr>
        <w:numPr>
          <w:ilvl w:val="0"/>
          <w:numId w:val="49"/>
        </w:numPr>
        <w:spacing w:after="60"/>
      </w:pPr>
      <w:r w:rsidRPr="004B03EE">
        <w:t>Compulsory community treatment orders, which will be published in July 2023.</w:t>
      </w:r>
    </w:p>
    <w:p w14:paraId="17C0903F" w14:textId="04C4026E" w:rsidR="000B220F" w:rsidRDefault="000B220F" w:rsidP="009E5AC8">
      <w:pPr>
        <w:spacing w:after="60"/>
      </w:pPr>
      <w:r w:rsidRPr="001E5833">
        <w:t xml:space="preserve">The </w:t>
      </w:r>
      <w:r w:rsidR="00C80CA3">
        <w:t>summary report</w:t>
      </w:r>
      <w:r w:rsidR="00B07BBA">
        <w:t xml:space="preserve"> will sit alongside a</w:t>
      </w:r>
      <w:r w:rsidR="008E7E85">
        <w:t>n</w:t>
      </w:r>
      <w:r w:rsidRPr="001E5833">
        <w:t xml:space="preserve"> online dashboard</w:t>
      </w:r>
      <w:r w:rsidR="00041E99">
        <w:t>,</w:t>
      </w:r>
      <w:r w:rsidRPr="001E5833">
        <w:t xml:space="preserve"> </w:t>
      </w:r>
      <w:r w:rsidR="008E7E85">
        <w:t xml:space="preserve">which is currently under development. The </w:t>
      </w:r>
      <w:r w:rsidRPr="001E5833">
        <w:t>dashboard will</w:t>
      </w:r>
      <w:r>
        <w:t xml:space="preserve"> contain </w:t>
      </w:r>
      <w:r w:rsidR="00BD6FEC">
        <w:t>detailed</w:t>
      </w:r>
      <w:r>
        <w:t xml:space="preserve"> data aligned to the He Ara Āwhina framework to </w:t>
      </w:r>
      <w:r w:rsidRPr="001E5833">
        <w:t>explore, filter</w:t>
      </w:r>
      <w:r w:rsidR="00041E99">
        <w:t>,</w:t>
      </w:r>
      <w:r w:rsidRPr="001E5833">
        <w:t xml:space="preserve"> and analyse data. The online dashboard format will enable new data to be updated frequently, and </w:t>
      </w:r>
      <w:r>
        <w:t xml:space="preserve">for </w:t>
      </w:r>
      <w:r w:rsidRPr="001E5833">
        <w:t xml:space="preserve">measures </w:t>
      </w:r>
      <w:r>
        <w:t xml:space="preserve">to be </w:t>
      </w:r>
      <w:r w:rsidRPr="001E5833">
        <w:t>added as they are developed.</w:t>
      </w:r>
      <w:r>
        <w:t xml:space="preserve"> </w:t>
      </w:r>
      <w:r w:rsidRPr="001E5833">
        <w:t>It will also enable greater specificity to provide data for our priority populations (where data is available).</w:t>
      </w:r>
    </w:p>
    <w:p w14:paraId="36AABB64" w14:textId="32D49B93" w:rsidR="006B0C81" w:rsidRDefault="00697D5C" w:rsidP="00697D5C">
      <w:pPr>
        <w:pStyle w:val="Heading2"/>
        <w:rPr>
          <w:rFonts w:eastAsia="Times New Roman"/>
          <w:lang w:val="mi-NZ" w:eastAsia="en-NZ"/>
        </w:rPr>
      </w:pPr>
      <w:r>
        <w:rPr>
          <w:rFonts w:eastAsia="Times New Roman"/>
          <w:lang w:val="mi-NZ" w:eastAsia="en-NZ"/>
        </w:rPr>
        <w:t>Phase</w:t>
      </w:r>
      <w:r w:rsidR="009633A0">
        <w:rPr>
          <w:rFonts w:eastAsia="Times New Roman"/>
          <w:lang w:val="mi-NZ" w:eastAsia="en-NZ"/>
        </w:rPr>
        <w:t>s</w:t>
      </w:r>
      <w:r>
        <w:rPr>
          <w:rFonts w:eastAsia="Times New Roman"/>
          <w:lang w:val="mi-NZ" w:eastAsia="en-NZ"/>
        </w:rPr>
        <w:t xml:space="preserve"> 2 and 3</w:t>
      </w:r>
    </w:p>
    <w:p w14:paraId="5CD48521" w14:textId="4F66B2CD" w:rsidR="009918A4" w:rsidRDefault="009918A4" w:rsidP="009918A4">
      <w:pPr>
        <w:pStyle w:val="Numberedparagraphs"/>
        <w:spacing w:before="60"/>
        <w:ind w:left="0" w:firstLine="0"/>
        <w:rPr>
          <w:rFonts w:ascii="Basic Sans Light" w:eastAsia="Times New Roman" w:hAnsi="Basic Sans Light" w:cs="Arial"/>
          <w:color w:val="000000" w:themeColor="text1"/>
          <w:szCs w:val="24"/>
          <w:lang w:eastAsia="en-NZ"/>
        </w:rPr>
      </w:pPr>
      <w:r>
        <w:rPr>
          <w:rFonts w:ascii="Basic Sans Light" w:eastAsia="Times New Roman" w:hAnsi="Basic Sans Light" w:cs="Arial"/>
          <w:color w:val="000000" w:themeColor="text1"/>
          <w:szCs w:val="24"/>
          <w:lang w:eastAsia="en-NZ"/>
        </w:rPr>
        <w:t xml:space="preserve">The </w:t>
      </w:r>
      <w:r w:rsidR="00A24152">
        <w:rPr>
          <w:rFonts w:ascii="Basic Sans Light" w:eastAsia="Times New Roman" w:hAnsi="Basic Sans Light" w:cs="Arial"/>
          <w:color w:val="000000" w:themeColor="text1"/>
          <w:szCs w:val="24"/>
          <w:lang w:eastAsia="en-NZ"/>
        </w:rPr>
        <w:t xml:space="preserve">future </w:t>
      </w:r>
      <w:r>
        <w:rPr>
          <w:rFonts w:ascii="Basic Sans Light" w:eastAsia="Times New Roman" w:hAnsi="Basic Sans Light" w:cs="Arial"/>
          <w:color w:val="000000" w:themeColor="text1"/>
          <w:szCs w:val="24"/>
          <w:lang w:eastAsia="en-NZ"/>
        </w:rPr>
        <w:t xml:space="preserve">development phases </w:t>
      </w:r>
      <w:r w:rsidR="00A24152">
        <w:rPr>
          <w:rFonts w:ascii="Basic Sans Light" w:eastAsia="Times New Roman" w:hAnsi="Basic Sans Light" w:cs="Arial"/>
          <w:color w:val="000000" w:themeColor="text1"/>
          <w:szCs w:val="24"/>
          <w:lang w:eastAsia="en-NZ"/>
        </w:rPr>
        <w:t xml:space="preserve">for He Ara Āwhina methods and measures </w:t>
      </w:r>
      <w:r>
        <w:rPr>
          <w:rFonts w:ascii="Basic Sans Light" w:eastAsia="Times New Roman" w:hAnsi="Basic Sans Light" w:cs="Arial"/>
          <w:color w:val="000000" w:themeColor="text1"/>
          <w:szCs w:val="24"/>
          <w:lang w:eastAsia="en-NZ"/>
        </w:rPr>
        <w:t>are:</w:t>
      </w:r>
    </w:p>
    <w:p w14:paraId="1D7148B7" w14:textId="711CFEEA" w:rsidR="009918A4" w:rsidRPr="002A20F4" w:rsidRDefault="009918A4" w:rsidP="00C8416D">
      <w:pPr>
        <w:pStyle w:val="ListParagraph"/>
        <w:numPr>
          <w:ilvl w:val="0"/>
          <w:numId w:val="8"/>
        </w:numPr>
        <w:rPr>
          <w:lang w:eastAsia="en-NZ"/>
        </w:rPr>
      </w:pPr>
      <w:r w:rsidRPr="002A20F4">
        <w:rPr>
          <w:lang w:val="mi-NZ" w:eastAsia="en-NZ"/>
        </w:rPr>
        <w:t xml:space="preserve">Phase </w:t>
      </w:r>
      <w:r>
        <w:rPr>
          <w:lang w:val="mi-NZ" w:eastAsia="en-NZ"/>
        </w:rPr>
        <w:t>2</w:t>
      </w:r>
      <w:r w:rsidRPr="002A20F4">
        <w:rPr>
          <w:lang w:val="mi-NZ" w:eastAsia="en-NZ"/>
        </w:rPr>
        <w:t xml:space="preserve"> – service and broader system measures, including tāngata whaiora outcomes measures.</w:t>
      </w:r>
    </w:p>
    <w:p w14:paraId="1DFF4EB4" w14:textId="198B854A" w:rsidR="009918A4" w:rsidRPr="00DB2C80" w:rsidRDefault="009918A4" w:rsidP="00C8416D">
      <w:pPr>
        <w:pStyle w:val="ListParagraph"/>
        <w:numPr>
          <w:ilvl w:val="0"/>
          <w:numId w:val="8"/>
        </w:numPr>
        <w:rPr>
          <w:lang w:eastAsia="en-NZ"/>
        </w:rPr>
      </w:pPr>
      <w:r w:rsidRPr="00AC722C">
        <w:rPr>
          <w:lang w:val="mi-NZ" w:eastAsia="en-NZ"/>
        </w:rPr>
        <w:t>Phase 3 – completion of priority methods and measures that require a</w:t>
      </w:r>
      <w:r w:rsidR="005600F0">
        <w:rPr>
          <w:lang w:val="mi-NZ" w:eastAsia="en-NZ"/>
        </w:rPr>
        <w:t xml:space="preserve"> more extended</w:t>
      </w:r>
      <w:r w:rsidRPr="00AC722C">
        <w:rPr>
          <w:lang w:val="mi-NZ" w:eastAsia="en-NZ"/>
        </w:rPr>
        <w:t xml:space="preserve"> timeframe due to data gaps</w:t>
      </w:r>
      <w:r>
        <w:rPr>
          <w:lang w:val="mi-NZ" w:eastAsia="en-NZ"/>
        </w:rPr>
        <w:t xml:space="preserve">, </w:t>
      </w:r>
      <w:r w:rsidRPr="00AC722C">
        <w:rPr>
          <w:lang w:val="mi-NZ" w:eastAsia="en-NZ"/>
        </w:rPr>
        <w:t>engagement</w:t>
      </w:r>
      <w:r>
        <w:rPr>
          <w:lang w:val="mi-NZ" w:eastAsia="en-NZ"/>
        </w:rPr>
        <w:t xml:space="preserve">, and / or </w:t>
      </w:r>
      <w:r w:rsidRPr="00AC722C">
        <w:rPr>
          <w:lang w:val="mi-NZ" w:eastAsia="en-NZ"/>
        </w:rPr>
        <w:t>alignment needs.</w:t>
      </w:r>
    </w:p>
    <w:p w14:paraId="2A466927" w14:textId="3A81B034" w:rsidR="00697D5C" w:rsidRDefault="00D149E1" w:rsidP="006B0C81">
      <w:pPr>
        <w:pStyle w:val="Numberedparagraphs"/>
        <w:spacing w:before="60"/>
        <w:ind w:left="0" w:firstLine="0"/>
        <w:rPr>
          <w:rFonts w:ascii="Basic Sans Light" w:eastAsia="Times New Roman" w:hAnsi="Basic Sans Light" w:cs="Arial"/>
          <w:color w:val="000000" w:themeColor="text1"/>
          <w:szCs w:val="24"/>
          <w:lang w:val="mi-NZ" w:eastAsia="en-NZ"/>
        </w:rPr>
      </w:pPr>
      <w:r>
        <w:rPr>
          <w:rFonts w:ascii="Basic Sans Light" w:eastAsia="Times New Roman" w:hAnsi="Basic Sans Light" w:cs="Arial"/>
          <w:color w:val="000000" w:themeColor="text1"/>
          <w:szCs w:val="24"/>
          <w:lang w:val="mi-NZ" w:eastAsia="en-NZ"/>
        </w:rPr>
        <w:t>We anticipate</w:t>
      </w:r>
      <w:r w:rsidR="00A34D87">
        <w:rPr>
          <w:rFonts w:ascii="Basic Sans Light" w:eastAsia="Times New Roman" w:hAnsi="Basic Sans Light" w:cs="Arial"/>
          <w:color w:val="000000" w:themeColor="text1"/>
          <w:szCs w:val="24"/>
          <w:lang w:val="mi-NZ" w:eastAsia="en-NZ"/>
        </w:rPr>
        <w:t xml:space="preserve"> that Phase 2 </w:t>
      </w:r>
      <w:r w:rsidR="00563377">
        <w:rPr>
          <w:rFonts w:ascii="Basic Sans Light" w:eastAsia="Times New Roman" w:hAnsi="Basic Sans Light" w:cs="Arial"/>
          <w:color w:val="000000" w:themeColor="text1"/>
          <w:szCs w:val="24"/>
          <w:lang w:val="mi-NZ" w:eastAsia="en-NZ"/>
        </w:rPr>
        <w:t>work</w:t>
      </w:r>
      <w:r w:rsidR="008514DE">
        <w:rPr>
          <w:rFonts w:ascii="Basic Sans Light" w:eastAsia="Times New Roman" w:hAnsi="Basic Sans Light" w:cs="Arial"/>
          <w:color w:val="000000" w:themeColor="text1"/>
          <w:szCs w:val="24"/>
          <w:lang w:val="mi-NZ" w:eastAsia="en-NZ"/>
        </w:rPr>
        <w:t xml:space="preserve"> will begin </w:t>
      </w:r>
      <w:r w:rsidR="00F721CC">
        <w:rPr>
          <w:rFonts w:ascii="Basic Sans Light" w:eastAsia="Times New Roman" w:hAnsi="Basic Sans Light" w:cs="Arial"/>
          <w:color w:val="000000" w:themeColor="text1"/>
          <w:szCs w:val="24"/>
          <w:lang w:val="mi-NZ" w:eastAsia="en-NZ"/>
        </w:rPr>
        <w:t>in early 2024</w:t>
      </w:r>
      <w:r w:rsidR="008514DE">
        <w:rPr>
          <w:rFonts w:ascii="Basic Sans Light" w:eastAsia="Times New Roman" w:hAnsi="Basic Sans Light" w:cs="Arial"/>
          <w:color w:val="000000" w:themeColor="text1"/>
          <w:szCs w:val="24"/>
          <w:lang w:val="mi-NZ" w:eastAsia="en-NZ"/>
        </w:rPr>
        <w:t xml:space="preserve"> due to </w:t>
      </w:r>
      <w:r w:rsidR="00E20F41">
        <w:rPr>
          <w:rFonts w:ascii="Basic Sans Light" w:eastAsia="Times New Roman" w:hAnsi="Basic Sans Light" w:cs="Arial"/>
          <w:color w:val="000000" w:themeColor="text1"/>
          <w:szCs w:val="24"/>
          <w:lang w:val="mi-NZ" w:eastAsia="en-NZ"/>
        </w:rPr>
        <w:t>a significant Mental</w:t>
      </w:r>
      <w:r w:rsidR="00CA0C93">
        <w:rPr>
          <w:rFonts w:ascii="Basic Sans Light" w:eastAsia="Times New Roman" w:hAnsi="Basic Sans Light" w:cs="Arial"/>
          <w:color w:val="000000" w:themeColor="text1"/>
          <w:szCs w:val="24"/>
          <w:lang w:val="mi-NZ" w:eastAsia="en-NZ"/>
        </w:rPr>
        <w:t xml:space="preserve"> Health and Addiction team work programme</w:t>
      </w:r>
      <w:r w:rsidR="0025035D">
        <w:rPr>
          <w:rFonts w:ascii="Basic Sans Light" w:eastAsia="Times New Roman" w:hAnsi="Basic Sans Light" w:cs="Arial"/>
          <w:color w:val="000000" w:themeColor="text1"/>
          <w:szCs w:val="24"/>
          <w:lang w:val="mi-NZ" w:eastAsia="en-NZ"/>
        </w:rPr>
        <w:t xml:space="preserve"> for 2022/23. </w:t>
      </w:r>
    </w:p>
    <w:p w14:paraId="59BAC588" w14:textId="26E37CE1" w:rsidR="00DD6A36" w:rsidRDefault="00DD6A36" w:rsidP="006B0C81">
      <w:pPr>
        <w:pStyle w:val="Numberedparagraphs"/>
        <w:spacing w:before="60"/>
        <w:ind w:left="0" w:firstLine="0"/>
        <w:rPr>
          <w:rFonts w:ascii="Basic Sans Light" w:eastAsia="Times New Roman" w:hAnsi="Basic Sans Light" w:cs="Arial"/>
          <w:color w:val="000000" w:themeColor="text1"/>
          <w:szCs w:val="24"/>
          <w:lang w:val="mi-NZ" w:eastAsia="en-NZ"/>
        </w:rPr>
      </w:pPr>
      <w:r>
        <w:rPr>
          <w:rFonts w:ascii="Basic Sans Light" w:eastAsia="Times New Roman" w:hAnsi="Basic Sans Light" w:cs="Arial"/>
          <w:color w:val="000000" w:themeColor="text1"/>
          <w:szCs w:val="24"/>
          <w:lang w:val="mi-NZ" w:eastAsia="en-NZ"/>
        </w:rPr>
        <w:t>We will need to review our TAN membership</w:t>
      </w:r>
      <w:r w:rsidR="007A2F34">
        <w:rPr>
          <w:rFonts w:ascii="Basic Sans Light" w:eastAsia="Times New Roman" w:hAnsi="Basic Sans Light" w:cs="Arial"/>
          <w:color w:val="000000" w:themeColor="text1"/>
          <w:szCs w:val="24"/>
          <w:lang w:val="mi-NZ" w:eastAsia="en-NZ"/>
        </w:rPr>
        <w:t xml:space="preserve"> before we commence Phase 2 and confirm whether existing members are able to continue with the </w:t>
      </w:r>
      <w:r w:rsidR="00563377">
        <w:rPr>
          <w:rFonts w:ascii="Basic Sans Light" w:eastAsia="Times New Roman" w:hAnsi="Basic Sans Light" w:cs="Arial"/>
          <w:color w:val="000000" w:themeColor="text1"/>
          <w:szCs w:val="24"/>
          <w:lang w:val="mi-NZ" w:eastAsia="en-NZ"/>
        </w:rPr>
        <w:t>work</w:t>
      </w:r>
      <w:r w:rsidR="007A2F34">
        <w:rPr>
          <w:rFonts w:ascii="Basic Sans Light" w:eastAsia="Times New Roman" w:hAnsi="Basic Sans Light" w:cs="Arial"/>
          <w:color w:val="000000" w:themeColor="text1"/>
          <w:szCs w:val="24"/>
          <w:lang w:val="mi-NZ" w:eastAsia="en-NZ"/>
        </w:rPr>
        <w:t xml:space="preserve">, and </w:t>
      </w:r>
      <w:r w:rsidR="00723D24">
        <w:rPr>
          <w:rFonts w:ascii="Basic Sans Light" w:eastAsia="Times New Roman" w:hAnsi="Basic Sans Light" w:cs="Arial"/>
          <w:color w:val="000000" w:themeColor="text1"/>
          <w:szCs w:val="24"/>
          <w:lang w:val="mi-NZ" w:eastAsia="en-NZ"/>
        </w:rPr>
        <w:t>seek members for any new areas of expertise.</w:t>
      </w:r>
    </w:p>
    <w:p w14:paraId="6AFCA617" w14:textId="56640B3F" w:rsidR="001E1A0C" w:rsidRDefault="00112BB9" w:rsidP="009E5AC8">
      <w:pPr>
        <w:rPr>
          <w:rFonts w:eastAsia="Times New Roman" w:cs="Arial"/>
          <w:color w:val="000000" w:themeColor="text1"/>
          <w:szCs w:val="24"/>
          <w:lang w:val="mi-NZ" w:eastAsia="en-NZ"/>
        </w:rPr>
      </w:pPr>
      <w:r>
        <w:rPr>
          <w:lang w:eastAsia="en-NZ"/>
        </w:rPr>
        <w:t>These next</w:t>
      </w:r>
      <w:r w:rsidR="001E1A0C" w:rsidRPr="000209B4">
        <w:rPr>
          <w:lang w:eastAsia="en-NZ"/>
        </w:rPr>
        <w:t xml:space="preserve"> phases of methods and measures work (when there is a more complete suite of measures across the framework) will </w:t>
      </w:r>
      <w:r w:rsidR="00641253">
        <w:rPr>
          <w:lang w:eastAsia="en-NZ"/>
        </w:rPr>
        <w:t>incl</w:t>
      </w:r>
      <w:r w:rsidR="00E33FD4">
        <w:rPr>
          <w:lang w:eastAsia="en-NZ"/>
        </w:rPr>
        <w:t>ude</w:t>
      </w:r>
      <w:r w:rsidR="001E1A0C" w:rsidRPr="000209B4">
        <w:rPr>
          <w:lang w:eastAsia="en-NZ"/>
        </w:rPr>
        <w:t xml:space="preserve"> a targeted consultation process to </w:t>
      </w:r>
      <w:r w:rsidR="00E33FD4">
        <w:rPr>
          <w:lang w:eastAsia="en-NZ"/>
        </w:rPr>
        <w:t>ensure</w:t>
      </w:r>
      <w:r w:rsidR="001E1A0C" w:rsidRPr="000209B4">
        <w:rPr>
          <w:lang w:eastAsia="en-NZ"/>
        </w:rPr>
        <w:t xml:space="preserve"> we are using the measures and measures that are </w:t>
      </w:r>
      <w:r w:rsidR="004A7CAE">
        <w:rPr>
          <w:lang w:eastAsia="en-NZ"/>
        </w:rPr>
        <w:t xml:space="preserve">meaningful and </w:t>
      </w:r>
      <w:r w:rsidR="001E1A0C" w:rsidRPr="000209B4">
        <w:rPr>
          <w:lang w:eastAsia="en-NZ"/>
        </w:rPr>
        <w:t>important to people.</w:t>
      </w:r>
    </w:p>
    <w:p w14:paraId="139F8DD4" w14:textId="5E77248E" w:rsidR="006B0C81" w:rsidRDefault="006B0C81" w:rsidP="00697D5C">
      <w:pPr>
        <w:pStyle w:val="Heading2"/>
        <w:rPr>
          <w:rFonts w:eastAsia="Times New Roman"/>
          <w:lang w:val="mi-NZ" w:eastAsia="en-NZ"/>
        </w:rPr>
      </w:pPr>
      <w:r>
        <w:rPr>
          <w:rFonts w:eastAsia="Times New Roman"/>
          <w:lang w:val="mi-NZ" w:eastAsia="en-NZ"/>
        </w:rPr>
        <w:lastRenderedPageBreak/>
        <w:t>‘V</w:t>
      </w:r>
      <w:r w:rsidR="00697D5C">
        <w:rPr>
          <w:rFonts w:eastAsia="Times New Roman"/>
          <w:lang w:val="mi-NZ" w:eastAsia="en-NZ"/>
        </w:rPr>
        <w:t>ital few’ measures</w:t>
      </w:r>
    </w:p>
    <w:p w14:paraId="0BE56299" w14:textId="028E5BC6" w:rsidR="009734B8" w:rsidRDefault="003816FF" w:rsidP="002E3044">
      <w:pPr>
        <w:rPr>
          <w:lang w:val="mi-NZ" w:eastAsia="en-NZ"/>
        </w:rPr>
      </w:pPr>
      <w:r>
        <w:rPr>
          <w:lang w:val="mi-NZ" w:eastAsia="en-NZ"/>
        </w:rPr>
        <w:t>O</w:t>
      </w:r>
      <w:r w:rsidR="006B0C81" w:rsidRPr="00D04B19">
        <w:rPr>
          <w:lang w:val="mi-NZ" w:eastAsia="en-NZ"/>
        </w:rPr>
        <w:t>nce Phase</w:t>
      </w:r>
      <w:r w:rsidR="002E3044">
        <w:rPr>
          <w:lang w:val="mi-NZ" w:eastAsia="en-NZ"/>
        </w:rPr>
        <w:t xml:space="preserve"> 2</w:t>
      </w:r>
      <w:r w:rsidR="006B0C81" w:rsidRPr="00D04B19">
        <w:rPr>
          <w:lang w:val="mi-NZ" w:eastAsia="en-NZ"/>
        </w:rPr>
        <w:t xml:space="preserve"> is complete, </w:t>
      </w:r>
      <w:r w:rsidR="00925EB9">
        <w:rPr>
          <w:lang w:val="mi-NZ" w:eastAsia="en-NZ"/>
        </w:rPr>
        <w:t>o</w:t>
      </w:r>
      <w:r w:rsidRPr="00D04B19">
        <w:rPr>
          <w:lang w:val="mi-NZ" w:eastAsia="en-NZ"/>
        </w:rPr>
        <w:t xml:space="preserve">ur long-term goal </w:t>
      </w:r>
      <w:r w:rsidR="006B0C81" w:rsidRPr="00D04B19">
        <w:rPr>
          <w:lang w:val="mi-NZ" w:eastAsia="en-NZ"/>
        </w:rPr>
        <w:t xml:space="preserve">is to identify the ‘vital few’ measures (there’s no magic number for these) that we would encourage the system to focus on. </w:t>
      </w:r>
      <w:r w:rsidR="00D952AB">
        <w:rPr>
          <w:lang w:val="mi-NZ" w:eastAsia="en-NZ"/>
        </w:rPr>
        <w:t>We will need to take a matrix approach to ensure</w:t>
      </w:r>
      <w:r w:rsidR="009734B8">
        <w:rPr>
          <w:lang w:val="mi-NZ" w:eastAsia="en-NZ"/>
        </w:rPr>
        <w:t>:</w:t>
      </w:r>
    </w:p>
    <w:p w14:paraId="7F0DF0CB" w14:textId="24F099F9" w:rsidR="00F57B26" w:rsidRDefault="000E387D" w:rsidP="00C8416D">
      <w:pPr>
        <w:pStyle w:val="ListParagraph"/>
        <w:numPr>
          <w:ilvl w:val="0"/>
          <w:numId w:val="18"/>
        </w:numPr>
        <w:rPr>
          <w:lang w:val="mi-NZ" w:eastAsia="en-NZ"/>
        </w:rPr>
      </w:pPr>
      <w:r>
        <w:rPr>
          <w:lang w:val="mi-NZ" w:eastAsia="en-NZ"/>
        </w:rPr>
        <w:t>t</w:t>
      </w:r>
      <w:r w:rsidR="009734B8">
        <w:rPr>
          <w:lang w:val="mi-NZ" w:eastAsia="en-NZ"/>
        </w:rPr>
        <w:t>hese</w:t>
      </w:r>
      <w:r w:rsidR="006B0C81" w:rsidRPr="009734B8">
        <w:rPr>
          <w:lang w:val="mi-NZ" w:eastAsia="en-NZ"/>
        </w:rPr>
        <w:t xml:space="preserve"> measures will </w:t>
      </w:r>
      <w:r w:rsidR="00532441" w:rsidRPr="009734B8">
        <w:rPr>
          <w:lang w:val="mi-NZ" w:eastAsia="en-NZ"/>
        </w:rPr>
        <w:t>cover all He Ara Āwhina system aspirations</w:t>
      </w:r>
    </w:p>
    <w:p w14:paraId="0BBD5AB6" w14:textId="1F0A7B4E" w:rsidR="00255632" w:rsidRDefault="00255632" w:rsidP="00C8416D">
      <w:pPr>
        <w:pStyle w:val="ListParagraph"/>
        <w:numPr>
          <w:ilvl w:val="0"/>
          <w:numId w:val="18"/>
        </w:numPr>
        <w:rPr>
          <w:lang w:val="mi-NZ" w:eastAsia="en-NZ"/>
        </w:rPr>
      </w:pPr>
      <w:r>
        <w:rPr>
          <w:lang w:val="mi-NZ" w:eastAsia="en-NZ"/>
        </w:rPr>
        <w:t>we can monitor equity of outcomes for as many priority groups of people as possible</w:t>
      </w:r>
      <w:r w:rsidR="001459D7">
        <w:rPr>
          <w:lang w:val="mi-NZ" w:eastAsia="en-NZ"/>
        </w:rPr>
        <w:t>, prioritising where the greatest inequity is</w:t>
      </w:r>
    </w:p>
    <w:p w14:paraId="71D6585D" w14:textId="4BF2ADBB" w:rsidR="001459D7" w:rsidRDefault="00ED28CA" w:rsidP="00C8416D">
      <w:pPr>
        <w:pStyle w:val="ListParagraph"/>
        <w:numPr>
          <w:ilvl w:val="0"/>
          <w:numId w:val="18"/>
        </w:numPr>
      </w:pPr>
      <w:r>
        <w:t xml:space="preserve">we have </w:t>
      </w:r>
      <w:r w:rsidR="000E387D">
        <w:t>d</w:t>
      </w:r>
      <w:r w:rsidR="001459D7" w:rsidRPr="00825A70">
        <w:t>ata which focuses on key wellbeing markers across a life course is optimal (and likely to be a work in progress linked to people who use mental health and addiction services)</w:t>
      </w:r>
      <w:r w:rsidR="001459D7">
        <w:t>.</w:t>
      </w:r>
    </w:p>
    <w:p w14:paraId="674F6106" w14:textId="262E8293" w:rsidR="00F57B26" w:rsidRPr="00C01C61" w:rsidRDefault="00ED28CA" w:rsidP="00C8416D">
      <w:pPr>
        <w:pStyle w:val="ListParagraph"/>
        <w:numPr>
          <w:ilvl w:val="0"/>
          <w:numId w:val="18"/>
        </w:numPr>
        <w:rPr>
          <w:lang w:val="mi-NZ" w:eastAsia="en-NZ"/>
        </w:rPr>
      </w:pPr>
      <w:r>
        <w:rPr>
          <w:lang w:val="mi-NZ" w:eastAsia="en-NZ"/>
        </w:rPr>
        <w:t>there is</w:t>
      </w:r>
      <w:r w:rsidR="006B0C81" w:rsidRPr="009734B8">
        <w:rPr>
          <w:lang w:val="mi-NZ" w:eastAsia="en-NZ"/>
        </w:rPr>
        <w:t xml:space="preserve"> a ‘line of sight’ between M</w:t>
      </w:r>
      <w:r w:rsidR="00532441" w:rsidRPr="009734B8">
        <w:rPr>
          <w:lang w:val="mi-NZ" w:eastAsia="en-NZ"/>
        </w:rPr>
        <w:t xml:space="preserve">ental </w:t>
      </w:r>
      <w:r w:rsidR="006B0C81" w:rsidRPr="009734B8">
        <w:rPr>
          <w:lang w:val="mi-NZ" w:eastAsia="en-NZ"/>
        </w:rPr>
        <w:t>H</w:t>
      </w:r>
      <w:r w:rsidR="00532441" w:rsidRPr="009734B8">
        <w:rPr>
          <w:lang w:val="mi-NZ" w:eastAsia="en-NZ"/>
        </w:rPr>
        <w:t xml:space="preserve">ealth and </w:t>
      </w:r>
      <w:r w:rsidR="006B0C81" w:rsidRPr="009734B8">
        <w:rPr>
          <w:lang w:val="mi-NZ" w:eastAsia="en-NZ"/>
        </w:rPr>
        <w:t>A</w:t>
      </w:r>
      <w:r w:rsidR="00532441" w:rsidRPr="009734B8">
        <w:rPr>
          <w:lang w:val="mi-NZ" w:eastAsia="en-NZ"/>
        </w:rPr>
        <w:t>ddiction</w:t>
      </w:r>
      <w:r w:rsidR="006B0C81" w:rsidRPr="009734B8">
        <w:rPr>
          <w:lang w:val="mi-NZ" w:eastAsia="en-NZ"/>
        </w:rPr>
        <w:t xml:space="preserve"> system performance and the He Ara Oranga wellbeing outcomes framework </w:t>
      </w:r>
      <w:r w:rsidR="009802A0" w:rsidRPr="009734B8">
        <w:rPr>
          <w:lang w:val="mi-NZ" w:eastAsia="en-NZ"/>
        </w:rPr>
        <w:t xml:space="preserve">outcome </w:t>
      </w:r>
      <w:r w:rsidR="006B0C81" w:rsidRPr="009734B8">
        <w:rPr>
          <w:lang w:val="mi-NZ" w:eastAsia="en-NZ"/>
        </w:rPr>
        <w:t>indicators</w:t>
      </w:r>
      <w:r w:rsidR="009802A0" w:rsidRPr="009734B8">
        <w:rPr>
          <w:lang w:val="mi-NZ" w:eastAsia="en-NZ"/>
        </w:rPr>
        <w:t xml:space="preserve"> and measures</w:t>
      </w:r>
      <w:r w:rsidR="00C01C61">
        <w:rPr>
          <w:lang w:val="mi-NZ" w:eastAsia="en-NZ"/>
        </w:rPr>
        <w:t>.</w:t>
      </w:r>
    </w:p>
    <w:p w14:paraId="4279A7C2" w14:textId="5A92AC82" w:rsidR="00711E2F" w:rsidRPr="00946E44" w:rsidRDefault="00B20F60" w:rsidP="00946E44">
      <w:r>
        <w:rPr>
          <w:lang w:val="mi-NZ" w:eastAsia="en-NZ"/>
        </w:rPr>
        <w:t>We will</w:t>
      </w:r>
      <w:r w:rsidR="007603CF">
        <w:rPr>
          <w:lang w:val="mi-NZ" w:eastAsia="en-NZ"/>
        </w:rPr>
        <w:t xml:space="preserve"> be selective and </w:t>
      </w:r>
      <w:r w:rsidR="007603CF" w:rsidRPr="00825A70">
        <w:t>measure only what is most important and relevant; a ‘vital few’ set of indicators</w:t>
      </w:r>
      <w:r w:rsidR="004B72C8">
        <w:t xml:space="preserve"> and measures</w:t>
      </w:r>
      <w:r w:rsidR="007603CF" w:rsidRPr="00825A70">
        <w:t xml:space="preserve"> </w:t>
      </w:r>
      <w:r w:rsidR="004B72C8">
        <w:t>are</w:t>
      </w:r>
      <w:r w:rsidR="007603CF" w:rsidRPr="00825A70">
        <w:t xml:space="preserve"> preferred that are evidence</w:t>
      </w:r>
      <w:r w:rsidR="00B74595">
        <w:t>-</w:t>
      </w:r>
      <w:r w:rsidR="007603CF" w:rsidRPr="00825A70">
        <w:t>based</w:t>
      </w:r>
      <w:r w:rsidR="004B72C8">
        <w:t>.</w:t>
      </w:r>
      <w:r w:rsidR="005178D9">
        <w:t xml:space="preserve"> This </w:t>
      </w:r>
      <w:r w:rsidR="009145A4">
        <w:t xml:space="preserve">process </w:t>
      </w:r>
      <w:r w:rsidR="005178D9">
        <w:t>will enable the system, which is currently overburdened</w:t>
      </w:r>
      <w:r w:rsidR="00C502DE">
        <w:t xml:space="preserve">, to identify and focus on the most </w:t>
      </w:r>
      <w:r w:rsidR="00B13D9C">
        <w:t>critical</w:t>
      </w:r>
      <w:r w:rsidR="00C502DE">
        <w:t xml:space="preserve"> areas to address.</w:t>
      </w:r>
    </w:p>
    <w:p w14:paraId="38043AAA" w14:textId="16D9986A" w:rsidR="00AF057B" w:rsidRDefault="00AF057B">
      <w:pPr>
        <w:spacing w:line="259" w:lineRule="auto"/>
        <w:rPr>
          <w:rFonts w:ascii="Basic Sans" w:eastAsiaTheme="majorEastAsia" w:hAnsi="Basic Sans" w:cstheme="majorBidi"/>
          <w:color w:val="005E85"/>
          <w:sz w:val="40"/>
          <w:szCs w:val="40"/>
        </w:rPr>
      </w:pPr>
      <w:r>
        <w:br w:type="page"/>
      </w:r>
    </w:p>
    <w:p w14:paraId="30C4D370" w14:textId="35B1E427" w:rsidR="003341D5" w:rsidRDefault="003341D5" w:rsidP="006D3E69">
      <w:pPr>
        <w:pStyle w:val="Heading1"/>
        <w:rPr>
          <w:sz w:val="56"/>
          <w:szCs w:val="56"/>
        </w:rPr>
      </w:pPr>
      <w:bookmarkStart w:id="17" w:name="_Appendix_1"/>
      <w:bookmarkStart w:id="18" w:name="_Toc135392323"/>
      <w:bookmarkStart w:id="19" w:name="_Ref113969801"/>
      <w:bookmarkEnd w:id="17"/>
      <w:r>
        <w:rPr>
          <w:sz w:val="56"/>
          <w:szCs w:val="56"/>
        </w:rPr>
        <w:lastRenderedPageBreak/>
        <w:t>References</w:t>
      </w:r>
      <w:bookmarkEnd w:id="18"/>
    </w:p>
    <w:p w14:paraId="54CF6220" w14:textId="27705272" w:rsidR="00084CC0" w:rsidRDefault="00084CC0" w:rsidP="00084CC0">
      <w:pPr>
        <w:spacing w:before="400"/>
        <w:ind w:left="567" w:hanging="567"/>
      </w:pPr>
      <w:r>
        <w:t xml:space="preserve">Health and Disability System Review. 2020. </w:t>
      </w:r>
      <w:r w:rsidRPr="00F061F0">
        <w:rPr>
          <w:b/>
          <w:bCs/>
        </w:rPr>
        <w:t>Health and Disability System Review – Final Report – Pūrongo Whakamutunga</w:t>
      </w:r>
      <w:r>
        <w:t>. Wellington: HDSR</w:t>
      </w:r>
      <w:r w:rsidR="00B02C87">
        <w:t>.</w:t>
      </w:r>
      <w:r w:rsidR="00FF3313">
        <w:t xml:space="preserve"> </w:t>
      </w:r>
      <w:r w:rsidR="00FF3313" w:rsidRPr="00FF3313">
        <w:t>https://www.health.govt.nz/system/files/documents/publications/health-disability-system-review-final-report.pdf</w:t>
      </w:r>
    </w:p>
    <w:p w14:paraId="4683AAD6" w14:textId="6B98A0B7" w:rsidR="00997FA5" w:rsidRDefault="00997FA5" w:rsidP="00B02C87">
      <w:pPr>
        <w:ind w:left="567" w:hanging="567"/>
      </w:pPr>
      <w:r w:rsidRPr="00372A84">
        <w:t>Independent Māori Statutory Board</w:t>
      </w:r>
      <w:r>
        <w:t xml:space="preserve">. </w:t>
      </w:r>
      <w:r w:rsidRPr="00372A84">
        <w:t>2019</w:t>
      </w:r>
      <w:r>
        <w:t>.</w:t>
      </w:r>
      <w:r w:rsidRPr="00166722">
        <w:t xml:space="preserve"> </w:t>
      </w:r>
      <w:r w:rsidRPr="00F061F0">
        <w:rPr>
          <w:b/>
          <w:bCs/>
        </w:rPr>
        <w:t>Data Issues of Significance</w:t>
      </w:r>
      <w:r>
        <w:t>.</w:t>
      </w:r>
      <w:r w:rsidRPr="00372A84">
        <w:t xml:space="preserve"> </w:t>
      </w:r>
      <w:r>
        <w:t xml:space="preserve"> </w:t>
      </w:r>
      <w:hyperlink r:id="rId42" w:history="1">
        <w:r w:rsidRPr="00946E44">
          <w:rPr>
            <w:rStyle w:val="Hyperlink"/>
            <w:u w:val="none"/>
          </w:rPr>
          <w:t>https://www.imsb.maori.nz/assets/sm/upload/pa/0z/vq/ww/IMSB%20Data%20Issues%202019_d.pdf?k=f44d4d3e73</w:t>
        </w:r>
      </w:hyperlink>
    </w:p>
    <w:p w14:paraId="1265DBBC" w14:textId="3545E403" w:rsidR="006A6B48" w:rsidRPr="00946E44" w:rsidRDefault="00DB7030" w:rsidP="00DB7030">
      <w:pPr>
        <w:ind w:left="567" w:hanging="567"/>
        <w:rPr>
          <w:rStyle w:val="Hyperlink"/>
          <w:u w:val="none"/>
        </w:rPr>
      </w:pPr>
      <w:r>
        <w:t xml:space="preserve">Ministry of Health. 2020. </w:t>
      </w:r>
      <w:r w:rsidRPr="00F061F0">
        <w:rPr>
          <w:b/>
          <w:bCs/>
        </w:rPr>
        <w:t>Whakamaua: Māori Health Action Plan 2020–2025</w:t>
      </w:r>
      <w:r>
        <w:t>. Wellington: Ministry of Health.</w:t>
      </w:r>
      <w:r w:rsidR="008542B3">
        <w:t xml:space="preserve"> </w:t>
      </w:r>
      <w:hyperlink r:id="rId43">
        <w:r w:rsidR="62AFA36C" w:rsidRPr="00946E44">
          <w:rPr>
            <w:rStyle w:val="Hyperlink"/>
            <w:u w:val="none"/>
          </w:rPr>
          <w:t>https://www.health.govt.nz/publication/whakamaua-maori-health-action-plan-2020-2025</w:t>
        </w:r>
      </w:hyperlink>
    </w:p>
    <w:p w14:paraId="613760C7" w14:textId="17E06AD0" w:rsidR="00A45FD8" w:rsidRDefault="00A45FD8" w:rsidP="00DB7030">
      <w:pPr>
        <w:ind w:left="567" w:hanging="567"/>
      </w:pPr>
      <w:r>
        <w:t xml:space="preserve">Oakley Browne, M.A., Wells, J.E., Scott, K.M. (eds). 2006. </w:t>
      </w:r>
      <w:r w:rsidRPr="00F061F0">
        <w:rPr>
          <w:b/>
          <w:bCs/>
        </w:rPr>
        <w:t>Te Rau Hinengaro: The New Zealand Mental Health Survey</w:t>
      </w:r>
      <w:r>
        <w:t>. Wellington: Ministry of Health</w:t>
      </w:r>
      <w:r w:rsidR="000C2F4C">
        <w:t xml:space="preserve">. </w:t>
      </w:r>
      <w:r w:rsidR="00DD0CDC" w:rsidRPr="00DD0CDC">
        <w:t>https://www.health.govt.nz/system/files/documents/publications/mental-health-survey.pdf</w:t>
      </w:r>
    </w:p>
    <w:p w14:paraId="3DD0BB7B" w14:textId="179065AC" w:rsidR="009A6199" w:rsidRDefault="009A6199" w:rsidP="00DB7030">
      <w:pPr>
        <w:ind w:left="567" w:hanging="567"/>
      </w:pPr>
      <w:r w:rsidRPr="009A6199">
        <w:t xml:space="preserve">Paterson, R., Durie, M., Disley, B., Rangihuna, D., Tiatia-Seath, J., Tualamali’i, J. 2018. </w:t>
      </w:r>
      <w:r w:rsidRPr="00F061F0">
        <w:rPr>
          <w:b/>
          <w:bCs/>
        </w:rPr>
        <w:t>He Ara Oranga: Report of the Government Inquiry into Mental Health and Addiction. Government Inquiry into Mental Health and Addiction</w:t>
      </w:r>
      <w:r w:rsidRPr="009A6199">
        <w:t xml:space="preserve">. </w:t>
      </w:r>
      <w:r w:rsidR="00B3490A">
        <w:t xml:space="preserve"> </w:t>
      </w:r>
      <w:r w:rsidR="00B3490A" w:rsidRPr="00B3490A">
        <w:t>https://mentalhealth.inquiry.govt.nz/assets/Summary-reports/He-Ara-Oranga.pdf</w:t>
      </w:r>
    </w:p>
    <w:p w14:paraId="117B5C8E" w14:textId="4A233D4B" w:rsidR="00CC6326" w:rsidRPr="00946E44" w:rsidRDefault="008D607F" w:rsidP="00AE6AEF">
      <w:pPr>
        <w:ind w:left="567" w:hanging="567"/>
        <w:rPr>
          <w:rStyle w:val="Hyperlink"/>
          <w:u w:val="none"/>
        </w:rPr>
      </w:pPr>
      <w:r>
        <w:t xml:space="preserve">Social Policy Evaluation and Research Unit. 2016. </w:t>
      </w:r>
      <w:r w:rsidR="00AE6AEF" w:rsidRPr="00F061F0">
        <w:rPr>
          <w:b/>
          <w:bCs/>
        </w:rPr>
        <w:t>The Whānau Rangatiratanga Frameworks: Approaching whānau wellbeing from within Te Ao Māori. Research report</w:t>
      </w:r>
      <w:r w:rsidR="00AE6AEF">
        <w:t xml:space="preserve">. </w:t>
      </w:r>
      <w:hyperlink r:id="rId44" w:history="1">
        <w:r w:rsidR="00BF0F6B" w:rsidRPr="00946E44">
          <w:rPr>
            <w:rStyle w:val="Hyperlink"/>
            <w:u w:val="none"/>
          </w:rPr>
          <w:t>https://thehub.swa.govt.nz/assets/Uploads/Whanau-rangatiratanga-frameworks-summary.pdf</w:t>
        </w:r>
      </w:hyperlink>
    </w:p>
    <w:p w14:paraId="4C7982C1" w14:textId="4E2C451B" w:rsidR="001D58B6" w:rsidRDefault="001D58B6" w:rsidP="00AE6AEF">
      <w:pPr>
        <w:ind w:left="567" w:hanging="567"/>
      </w:pPr>
      <w:r w:rsidRPr="00A577C2">
        <w:t>S</w:t>
      </w:r>
      <w:r>
        <w:t>ocial Wellbeing Agency</w:t>
      </w:r>
      <w:r w:rsidR="00D77128">
        <w:t xml:space="preserve">. </w:t>
      </w:r>
      <w:r w:rsidR="00D265E9">
        <w:t>2022</w:t>
      </w:r>
      <w:r w:rsidR="00D07DD5">
        <w:t xml:space="preserve">. </w:t>
      </w:r>
      <w:r w:rsidR="00D07DD5" w:rsidRPr="00E40FC1">
        <w:rPr>
          <w:rFonts w:ascii="Basic Sans" w:hAnsi="Basic Sans"/>
        </w:rPr>
        <w:t xml:space="preserve">Data Protection </w:t>
      </w:r>
      <w:r w:rsidR="00067106" w:rsidRPr="00E40FC1">
        <w:rPr>
          <w:rFonts w:ascii="Basic Sans" w:hAnsi="Basic Sans"/>
        </w:rPr>
        <w:t>&amp; Use Policy (DPUP)</w:t>
      </w:r>
      <w:r w:rsidR="00805AD3" w:rsidRPr="00E40FC1">
        <w:rPr>
          <w:rFonts w:ascii="Basic Sans" w:hAnsi="Basic Sans"/>
        </w:rPr>
        <w:t>. Wellington: Social Wellbeing Agency.</w:t>
      </w:r>
      <w:r w:rsidR="00E40FC1" w:rsidRPr="00E40FC1">
        <w:t xml:space="preserve"> </w:t>
      </w:r>
      <w:hyperlink r:id="rId45" w:history="1">
        <w:r w:rsidR="00E40FC1" w:rsidRPr="00E40FC1">
          <w:rPr>
            <w:rStyle w:val="Hyperlink"/>
            <w:u w:val="none"/>
          </w:rPr>
          <w:t>https://www.digital.govt.nz/assets/Standards-guidance/Privacy/Data-Protection-and-Use-Policy-DPUP-January-2022-Version-1.2.pdf</w:t>
        </w:r>
      </w:hyperlink>
    </w:p>
    <w:p w14:paraId="25A97644" w14:textId="091C713B" w:rsidR="00400510" w:rsidRPr="00400510" w:rsidRDefault="00A577C2" w:rsidP="00400510">
      <w:pPr>
        <w:ind w:left="567" w:hanging="567"/>
      </w:pPr>
      <w:r w:rsidRPr="00A577C2">
        <w:t xml:space="preserve">Stats NZ. 2020. </w:t>
      </w:r>
      <w:r w:rsidR="00400510" w:rsidRPr="00F061F0">
        <w:rPr>
          <w:b/>
          <w:bCs/>
        </w:rPr>
        <w:t>Te Kupenga: 2018 (final) – English</w:t>
      </w:r>
      <w:r w:rsidR="00400510">
        <w:t>.</w:t>
      </w:r>
      <w:r w:rsidR="00C4611B">
        <w:t xml:space="preserve"> </w:t>
      </w:r>
      <w:r w:rsidR="00C4611B" w:rsidRPr="00C4611B">
        <w:t>https://www.stats.govt.nz/information-releases/te-kupenga-2018-final-english</w:t>
      </w:r>
    </w:p>
    <w:p w14:paraId="1D3B6BF7" w14:textId="79AF8DDB" w:rsidR="00BF0F6B" w:rsidRDefault="00BF0F6B" w:rsidP="00BF0F6B">
      <w:pPr>
        <w:ind w:left="567" w:hanging="567"/>
      </w:pPr>
      <w:r w:rsidRPr="00496B6A">
        <w:t>Te Mana Raraunga - the Māori Data Sovereignty Network</w:t>
      </w:r>
      <w:r w:rsidR="00D25843">
        <w:t xml:space="preserve">. </w:t>
      </w:r>
      <w:r w:rsidR="00D330D7">
        <w:t>n</w:t>
      </w:r>
      <w:r w:rsidR="00031F60">
        <w:t xml:space="preserve">d. </w:t>
      </w:r>
      <w:r w:rsidR="00416AC0" w:rsidRPr="00416AC0">
        <w:rPr>
          <w:rFonts w:ascii="Basic Sans" w:hAnsi="Basic Sans"/>
        </w:rPr>
        <w:t xml:space="preserve">Our Data, Our Sovereignty, Our Future. </w:t>
      </w:r>
      <w:hyperlink r:id="rId46" w:history="1">
        <w:r w:rsidR="00416AC0" w:rsidRPr="00946E44">
          <w:rPr>
            <w:rStyle w:val="Hyperlink"/>
            <w:u w:val="none"/>
          </w:rPr>
          <w:t>https://www.temanararaunga.maori.nz/</w:t>
        </w:r>
      </w:hyperlink>
      <w:r w:rsidRPr="00496B6A">
        <w:t xml:space="preserve"> </w:t>
      </w:r>
    </w:p>
    <w:p w14:paraId="6E4E7995" w14:textId="77777777" w:rsidR="00997FA5" w:rsidRDefault="00997FA5" w:rsidP="00997FA5">
      <w:pPr>
        <w:ind w:left="567" w:hanging="567"/>
      </w:pPr>
    </w:p>
    <w:p w14:paraId="7820D2F8" w14:textId="77777777" w:rsidR="00FB3331" w:rsidRDefault="00FB3331" w:rsidP="006D3E69">
      <w:pPr>
        <w:pStyle w:val="Heading1"/>
        <w:rPr>
          <w:sz w:val="56"/>
          <w:szCs w:val="56"/>
        </w:rPr>
        <w:sectPr w:rsidR="00FB3331" w:rsidSect="00EA396D">
          <w:footerReference w:type="even" r:id="rId47"/>
          <w:footerReference w:type="default" r:id="rId48"/>
          <w:type w:val="continuous"/>
          <w:pgSz w:w="11910" w:h="16840"/>
          <w:pgMar w:top="1440" w:right="1440" w:bottom="1440" w:left="1440" w:header="709" w:footer="397" w:gutter="0"/>
          <w:cols w:space="708"/>
          <w:titlePg/>
          <w:docGrid w:linePitch="326"/>
        </w:sectPr>
      </w:pPr>
    </w:p>
    <w:p w14:paraId="5847D89E" w14:textId="79D19592" w:rsidR="006D3E69" w:rsidRDefault="006D3E69" w:rsidP="006D3E69">
      <w:pPr>
        <w:pStyle w:val="Heading1"/>
        <w:rPr>
          <w:sz w:val="56"/>
          <w:szCs w:val="56"/>
        </w:rPr>
      </w:pPr>
      <w:bookmarkStart w:id="20" w:name="_Toc135392324"/>
      <w:r w:rsidRPr="006A202C">
        <w:rPr>
          <w:sz w:val="56"/>
          <w:szCs w:val="56"/>
        </w:rPr>
        <w:lastRenderedPageBreak/>
        <w:t xml:space="preserve">Appendix </w:t>
      </w:r>
      <w:r w:rsidR="00360440">
        <w:rPr>
          <w:sz w:val="56"/>
          <w:szCs w:val="56"/>
        </w:rPr>
        <w:t>1</w:t>
      </w:r>
      <w:r w:rsidR="0047419D">
        <w:rPr>
          <w:sz w:val="56"/>
          <w:szCs w:val="56"/>
        </w:rPr>
        <w:t>: Phase 1 shortlist process</w:t>
      </w:r>
      <w:bookmarkEnd w:id="20"/>
    </w:p>
    <w:p w14:paraId="29C21D1C" w14:textId="77777777" w:rsidR="008D5EAB" w:rsidRPr="000627C6" w:rsidRDefault="008D5EAB" w:rsidP="008D5EAB">
      <w:pPr>
        <w:pStyle w:val="Heading2"/>
      </w:pPr>
      <w:r>
        <w:t xml:space="preserve">Step 1 - </w:t>
      </w:r>
      <w:r w:rsidRPr="000627C6">
        <w:t>Our Pou Rama</w:t>
      </w:r>
    </w:p>
    <w:p w14:paraId="16E38727" w14:textId="77777777" w:rsidR="008D5EAB" w:rsidRDefault="008D5EAB" w:rsidP="008D5EAB">
      <w:r w:rsidRPr="0072191B">
        <w:t>Our Pou Rama is standing strong, grounded in Te Tiriti o Waitangi. It is supported by Whāinga Tāhuhu - our vision, Whakatakanga - our mission and Ngā uaratanga - our values. Our Pou Rama shines bright on who we are, where we focus and what we must do</w:t>
      </w:r>
      <w:r>
        <w:t>.</w:t>
      </w:r>
    </w:p>
    <w:p w14:paraId="31C49DB0" w14:textId="77777777" w:rsidR="008D5EAB" w:rsidRDefault="008D5EAB" w:rsidP="008D5EAB">
      <w:r w:rsidRPr="00BE4EE6">
        <w:t xml:space="preserve">The tikanga values of our Pou Rama define the culture of </w:t>
      </w:r>
      <w:r>
        <w:t>Te Hiringa Mahara</w:t>
      </w:r>
      <w:r w:rsidRPr="00BE4EE6">
        <w:t xml:space="preserve"> and how our people act and work.</w:t>
      </w:r>
      <w:r>
        <w:t xml:space="preserve"> These are the values that guide our work.</w:t>
      </w:r>
    </w:p>
    <w:p w14:paraId="5EE23D74" w14:textId="77777777" w:rsidR="008D5EAB" w:rsidRDefault="008D5EAB" w:rsidP="008D5EAB">
      <w:r w:rsidRPr="00BB26E0">
        <w:rPr>
          <w:b/>
          <w:bCs/>
        </w:rPr>
        <w:t>Tūhonotanga</w:t>
      </w:r>
      <w:r w:rsidRPr="00BE4EE6">
        <w:t>: we are inclusive, connected, and stronger for it.</w:t>
      </w:r>
    </w:p>
    <w:p w14:paraId="285C8726" w14:textId="77777777" w:rsidR="008D5EAB" w:rsidRDefault="008D5EAB" w:rsidP="008D5EAB">
      <w:r w:rsidRPr="00BB26E0">
        <w:rPr>
          <w:b/>
          <w:bCs/>
        </w:rPr>
        <w:t>Māia</w:t>
      </w:r>
      <w:r w:rsidRPr="00BE4EE6">
        <w:t>: we are courageous and speak up about what is important to people.</w:t>
      </w:r>
    </w:p>
    <w:p w14:paraId="00B987E3" w14:textId="77777777" w:rsidR="008D5EAB" w:rsidRDefault="008D5EAB" w:rsidP="008D5EAB">
      <w:r w:rsidRPr="00BB26E0">
        <w:rPr>
          <w:b/>
          <w:bCs/>
        </w:rPr>
        <w:t>Māramatanga</w:t>
      </w:r>
      <w:r w:rsidRPr="00BE4EE6">
        <w:t>: we learn by listening, seek knowledge, and use it for good.</w:t>
      </w:r>
    </w:p>
    <w:p w14:paraId="689EC317" w14:textId="77777777" w:rsidR="008D5EAB" w:rsidRDefault="008D5EAB" w:rsidP="008D5EAB">
      <w:r w:rsidRPr="00BB26E0">
        <w:rPr>
          <w:b/>
          <w:bCs/>
        </w:rPr>
        <w:t>Tika</w:t>
      </w:r>
      <w:r w:rsidRPr="00BE4EE6">
        <w:t>: we are fair and respectful in supporting pathways to wellbeing.</w:t>
      </w:r>
    </w:p>
    <w:p w14:paraId="2DAF28F7" w14:textId="77777777" w:rsidR="008D5EAB" w:rsidRDefault="008D5EAB" w:rsidP="008D5EAB">
      <w:r w:rsidRPr="00BB26E0">
        <w:rPr>
          <w:b/>
          <w:bCs/>
        </w:rPr>
        <w:t>Aroha</w:t>
      </w:r>
      <w:r w:rsidRPr="00BE4EE6">
        <w:t>: we work with compassion – we care about the work we do and the people of Aotearoa</w:t>
      </w:r>
      <w:r>
        <w:t>.</w:t>
      </w:r>
    </w:p>
    <w:p w14:paraId="33C36858" w14:textId="77777777" w:rsidR="008D5EAB" w:rsidRPr="00825A70" w:rsidRDefault="008D5EAB" w:rsidP="008D5EAB">
      <w:pPr>
        <w:pStyle w:val="Heading2"/>
      </w:pPr>
      <w:r>
        <w:t xml:space="preserve">Step 2 - </w:t>
      </w:r>
      <w:r w:rsidRPr="00825A70">
        <w:t>Data principles</w:t>
      </w:r>
    </w:p>
    <w:p w14:paraId="6A86BEEC" w14:textId="77777777" w:rsidR="008D5EAB" w:rsidRPr="00825A70" w:rsidRDefault="008D5EAB" w:rsidP="008D5EAB">
      <w:r w:rsidRPr="00825A70">
        <w:t xml:space="preserve">In addition to </w:t>
      </w:r>
      <w:r>
        <w:t>our Pou Rama</w:t>
      </w:r>
      <w:r w:rsidRPr="00825A70">
        <w:t>, the following sets out our approach to data</w:t>
      </w:r>
      <w:r>
        <w:t xml:space="preserve"> for this work</w:t>
      </w:r>
      <w:r w:rsidRPr="00825A70">
        <w:t>:</w:t>
      </w:r>
      <w:r w:rsidRPr="00825A70">
        <w:rPr>
          <w:b/>
        </w:rPr>
        <w:t xml:space="preserve"> </w:t>
      </w:r>
    </w:p>
    <w:p w14:paraId="4E576476" w14:textId="138B1146" w:rsidR="008D5EAB" w:rsidRPr="00825A70" w:rsidRDefault="008D5EAB" w:rsidP="00C8416D">
      <w:pPr>
        <w:numPr>
          <w:ilvl w:val="0"/>
          <w:numId w:val="9"/>
        </w:numPr>
      </w:pPr>
      <w:r w:rsidRPr="00825A70">
        <w:t>Conceptual drives the data, not data drives the conceptual (ends to means, rather than means to ends)</w:t>
      </w:r>
      <w:r w:rsidR="00FF7C18">
        <w:t>.</w:t>
      </w:r>
    </w:p>
    <w:p w14:paraId="09B5DEF5" w14:textId="59225536" w:rsidR="008D5EAB" w:rsidRPr="00825A70" w:rsidRDefault="00FF7C18" w:rsidP="00C8416D">
      <w:pPr>
        <w:numPr>
          <w:ilvl w:val="0"/>
          <w:numId w:val="9"/>
        </w:numPr>
      </w:pPr>
      <w:r>
        <w:t>M</w:t>
      </w:r>
      <w:r w:rsidR="008D5EAB" w:rsidRPr="00825A70">
        <w:t>easure only what is most important and relevant; a ‘vital few’ set of indicators is preferred (with caution to prevent a reductionist approach as wellbeing is multi-faceted) that are evidence</w:t>
      </w:r>
      <w:r w:rsidR="008D5EAB">
        <w:t>-</w:t>
      </w:r>
      <w:r w:rsidR="008D5EAB" w:rsidRPr="00825A70">
        <w:t>based</w:t>
      </w:r>
      <w:r>
        <w:t>.</w:t>
      </w:r>
    </w:p>
    <w:p w14:paraId="2137198C" w14:textId="152BEDF5" w:rsidR="008D5EAB" w:rsidRPr="00825A70" w:rsidRDefault="008D5EAB" w:rsidP="00C8416D">
      <w:pPr>
        <w:numPr>
          <w:ilvl w:val="0"/>
          <w:numId w:val="9"/>
        </w:numPr>
      </w:pPr>
      <w:r w:rsidRPr="00825A70">
        <w:t>Acknowledge that not everything important is currently measured. Seek to address data gaps going forward</w:t>
      </w:r>
      <w:r w:rsidR="00FF7C18">
        <w:t>.</w:t>
      </w:r>
      <w:r w:rsidRPr="00825A70">
        <w:rPr>
          <w:vertAlign w:val="superscript"/>
        </w:rPr>
        <w:footnoteReference w:id="5"/>
      </w:r>
    </w:p>
    <w:p w14:paraId="59DBE0B5" w14:textId="515494B6" w:rsidR="008D5EAB" w:rsidRPr="00825A70" w:rsidRDefault="008D5EAB" w:rsidP="00C8416D">
      <w:pPr>
        <w:numPr>
          <w:ilvl w:val="0"/>
          <w:numId w:val="9"/>
        </w:numPr>
      </w:pPr>
      <w:r w:rsidRPr="00825A70">
        <w:t>Honour principles and practices of data sovereignty</w:t>
      </w:r>
      <w:r w:rsidR="00FF7C18">
        <w:t>.</w:t>
      </w:r>
      <w:r w:rsidRPr="00825A70">
        <w:rPr>
          <w:vertAlign w:val="superscript"/>
        </w:rPr>
        <w:footnoteReference w:id="6"/>
      </w:r>
      <w:r w:rsidRPr="00825A70">
        <w:t xml:space="preserve"> </w:t>
      </w:r>
    </w:p>
    <w:p w14:paraId="63485937" w14:textId="34D9F99D" w:rsidR="008D5EAB" w:rsidRPr="00825A70" w:rsidRDefault="008D5EAB" w:rsidP="00C8416D">
      <w:pPr>
        <w:numPr>
          <w:ilvl w:val="0"/>
          <w:numId w:val="9"/>
        </w:numPr>
      </w:pPr>
      <w:r w:rsidRPr="00825A70">
        <w:lastRenderedPageBreak/>
        <w:t>Honour policies of data protection and use</w:t>
      </w:r>
      <w:r w:rsidR="00FF7C18">
        <w:t>.</w:t>
      </w:r>
      <w:r w:rsidRPr="00825A70">
        <w:rPr>
          <w:vertAlign w:val="superscript"/>
        </w:rPr>
        <w:footnoteReference w:id="7"/>
      </w:r>
    </w:p>
    <w:p w14:paraId="69938E89" w14:textId="1E94B475" w:rsidR="008D5EAB" w:rsidRDefault="008D5EAB" w:rsidP="00C8416D">
      <w:pPr>
        <w:numPr>
          <w:ilvl w:val="0"/>
          <w:numId w:val="9"/>
        </w:numPr>
      </w:pPr>
      <w:r w:rsidRPr="00825A70">
        <w:t>Strive to measure outcomes, across short-term to long-term</w:t>
      </w:r>
      <w:r w:rsidR="00812160">
        <w:t>.</w:t>
      </w:r>
    </w:p>
    <w:p w14:paraId="5CD00BC3" w14:textId="77777777" w:rsidR="008D5EAB" w:rsidRDefault="008D5EAB" w:rsidP="00C8416D">
      <w:pPr>
        <w:numPr>
          <w:ilvl w:val="0"/>
          <w:numId w:val="9"/>
        </w:numPr>
      </w:pPr>
      <w:r w:rsidRPr="00825A70">
        <w:t>Data which focuses on key wellbeing markers across a life course is optimal (and likely to be a work in progress linked to people who use mental health and addiction services)</w:t>
      </w:r>
      <w:r>
        <w:t>.</w:t>
      </w:r>
    </w:p>
    <w:p w14:paraId="34602A8E" w14:textId="77777777" w:rsidR="008D5EAB" w:rsidRPr="00CB1C89" w:rsidRDefault="008D5EAB" w:rsidP="008D5EAB">
      <w:r>
        <w:t>These data principles were determined during the development of the He Ara Oranga wellbeing outcomes framework and remain relevant for the He Ara Āwhina framework.</w:t>
      </w:r>
    </w:p>
    <w:p w14:paraId="684D66F2" w14:textId="77777777" w:rsidR="008D5EAB" w:rsidRDefault="008D5EAB" w:rsidP="008D5EAB">
      <w:pPr>
        <w:pStyle w:val="Heading2"/>
      </w:pPr>
      <w:r>
        <w:t xml:space="preserve">Step 3 - </w:t>
      </w:r>
      <w:r w:rsidRPr="00227AA4">
        <w:t>Creating a common language</w:t>
      </w:r>
    </w:p>
    <w:p w14:paraId="7C733830" w14:textId="77777777" w:rsidR="008D5EAB" w:rsidRDefault="008D5EAB" w:rsidP="008D5EAB">
      <w:pPr>
        <w:rPr>
          <w:lang w:val="en-US"/>
        </w:rPr>
      </w:pPr>
      <w:r>
        <w:rPr>
          <w:rStyle w:val="normaltextrun"/>
          <w:color w:val="000000"/>
          <w:shd w:val="clear" w:color="auto" w:fill="FFFFFF"/>
        </w:rPr>
        <w:t>We have</w:t>
      </w:r>
      <w:r w:rsidRPr="00DD693C">
        <w:rPr>
          <w:rStyle w:val="normaltextrun"/>
          <w:color w:val="000000"/>
          <w:shd w:val="clear" w:color="auto" w:fill="FFFFFF"/>
        </w:rPr>
        <w:t xml:space="preserve"> </w:t>
      </w:r>
      <w:r>
        <w:rPr>
          <w:rStyle w:val="normaltextrun"/>
          <w:color w:val="000000"/>
          <w:shd w:val="clear" w:color="auto" w:fill="FFFFFF"/>
        </w:rPr>
        <w:t xml:space="preserve">developed </w:t>
      </w:r>
      <w:r w:rsidRPr="00DD693C">
        <w:rPr>
          <w:rStyle w:val="normaltextrun"/>
          <w:color w:val="000000"/>
          <w:shd w:val="clear" w:color="auto" w:fill="FFFFFF"/>
        </w:rPr>
        <w:t xml:space="preserve">a common language for </w:t>
      </w:r>
      <w:r>
        <w:rPr>
          <w:rStyle w:val="normaltextrun"/>
          <w:color w:val="000000"/>
          <w:shd w:val="clear" w:color="auto" w:fill="FFFFFF"/>
        </w:rPr>
        <w:t xml:space="preserve">use when discussing the </w:t>
      </w:r>
      <w:r w:rsidRPr="00DD693C">
        <w:rPr>
          <w:rStyle w:val="normaltextrun"/>
          <w:color w:val="000000"/>
          <w:shd w:val="clear" w:color="auto" w:fill="FFFFFF"/>
        </w:rPr>
        <w:t>H</w:t>
      </w:r>
      <w:r>
        <w:rPr>
          <w:rStyle w:val="normaltextrun"/>
          <w:color w:val="000000"/>
          <w:shd w:val="clear" w:color="auto" w:fill="FFFFFF"/>
        </w:rPr>
        <w:t xml:space="preserve">e </w:t>
      </w:r>
      <w:r w:rsidRPr="00DD693C">
        <w:rPr>
          <w:rStyle w:val="normaltextrun"/>
          <w:color w:val="000000"/>
          <w:shd w:val="clear" w:color="auto" w:fill="FFFFFF"/>
        </w:rPr>
        <w:t>A</w:t>
      </w:r>
      <w:r>
        <w:rPr>
          <w:rStyle w:val="normaltextrun"/>
          <w:color w:val="000000"/>
          <w:shd w:val="clear" w:color="auto" w:fill="FFFFFF"/>
        </w:rPr>
        <w:t xml:space="preserve">ra </w:t>
      </w:r>
      <w:r w:rsidRPr="00DD693C">
        <w:rPr>
          <w:rStyle w:val="normaltextrun"/>
          <w:color w:val="000000"/>
          <w:shd w:val="clear" w:color="auto" w:fill="FFFFFF"/>
        </w:rPr>
        <w:t>O</w:t>
      </w:r>
      <w:r>
        <w:rPr>
          <w:rStyle w:val="normaltextrun"/>
          <w:color w:val="000000"/>
          <w:shd w:val="clear" w:color="auto" w:fill="FFFFFF"/>
        </w:rPr>
        <w:t>ranga</w:t>
      </w:r>
      <w:r w:rsidRPr="00DD693C">
        <w:rPr>
          <w:rStyle w:val="normaltextrun"/>
          <w:color w:val="000000"/>
          <w:shd w:val="clear" w:color="auto" w:fill="FFFFFF"/>
        </w:rPr>
        <w:t xml:space="preserve"> </w:t>
      </w:r>
      <w:r>
        <w:rPr>
          <w:rStyle w:val="normaltextrun"/>
          <w:color w:val="000000"/>
          <w:shd w:val="clear" w:color="auto" w:fill="FFFFFF"/>
        </w:rPr>
        <w:t>wellbeing outcomes framework</w:t>
      </w:r>
      <w:r w:rsidRPr="00DD693C">
        <w:rPr>
          <w:rStyle w:val="normaltextrun"/>
          <w:color w:val="000000"/>
          <w:shd w:val="clear" w:color="auto" w:fill="FFFFFF"/>
        </w:rPr>
        <w:t xml:space="preserve"> and H</w:t>
      </w:r>
      <w:r>
        <w:rPr>
          <w:rStyle w:val="normaltextrun"/>
          <w:color w:val="000000"/>
          <w:shd w:val="clear" w:color="auto" w:fill="FFFFFF"/>
        </w:rPr>
        <w:t xml:space="preserve">e </w:t>
      </w:r>
      <w:r w:rsidRPr="00DD693C">
        <w:rPr>
          <w:rStyle w:val="normaltextrun"/>
          <w:color w:val="000000"/>
          <w:shd w:val="clear" w:color="auto" w:fill="FFFFFF"/>
        </w:rPr>
        <w:t>A</w:t>
      </w:r>
      <w:r>
        <w:rPr>
          <w:rStyle w:val="normaltextrun"/>
          <w:color w:val="000000"/>
          <w:shd w:val="clear" w:color="auto" w:fill="FFFFFF"/>
        </w:rPr>
        <w:t xml:space="preserve">ra </w:t>
      </w:r>
      <w:r w:rsidRPr="00DD693C">
        <w:rPr>
          <w:rStyle w:val="normaltextrun"/>
          <w:color w:val="000000"/>
          <w:shd w:val="clear" w:color="auto" w:fill="FFFFFF"/>
        </w:rPr>
        <w:t>Ā</w:t>
      </w:r>
      <w:r>
        <w:rPr>
          <w:rStyle w:val="normaltextrun"/>
          <w:color w:val="000000"/>
          <w:shd w:val="clear" w:color="auto" w:fill="FFFFFF"/>
        </w:rPr>
        <w:t>whina system monitoring framework.</w:t>
      </w:r>
      <w:r w:rsidRPr="00DD693C">
        <w:rPr>
          <w:rStyle w:val="normaltextrun"/>
          <w:color w:val="000000"/>
          <w:shd w:val="clear" w:color="auto" w:fill="FFFFFF"/>
        </w:rPr>
        <w:t xml:space="preserve"> </w:t>
      </w:r>
      <w:r>
        <w:rPr>
          <w:rStyle w:val="normaltextrun"/>
          <w:color w:val="000000"/>
          <w:shd w:val="clear" w:color="auto" w:fill="FFFFFF"/>
        </w:rPr>
        <w:t xml:space="preserve">The purpose of the common language is to enable us to talk to each other, rather than past each other. This supports better conversations and the ability to achieve our common purpose. </w:t>
      </w:r>
      <w:r w:rsidRPr="00712416">
        <w:rPr>
          <w:lang w:val="en-US"/>
        </w:rPr>
        <w:t xml:space="preserve">It is also </w:t>
      </w:r>
      <w:r>
        <w:rPr>
          <w:lang w:val="en-US"/>
        </w:rPr>
        <w:t>essential</w:t>
      </w:r>
      <w:r w:rsidRPr="00712416">
        <w:rPr>
          <w:lang w:val="en-US"/>
        </w:rPr>
        <w:t xml:space="preserve"> moving forward in terms of ensuring alignment </w:t>
      </w:r>
      <w:r>
        <w:rPr>
          <w:lang w:val="en-US"/>
        </w:rPr>
        <w:t>between our</w:t>
      </w:r>
      <w:r w:rsidRPr="00712416">
        <w:t xml:space="preserve"> framework</w:t>
      </w:r>
      <w:r>
        <w:t>s</w:t>
      </w:r>
      <w:r w:rsidRPr="00712416">
        <w:t xml:space="preserve">, </w:t>
      </w:r>
      <w:r w:rsidRPr="00712416">
        <w:rPr>
          <w:lang w:val="en-US"/>
        </w:rPr>
        <w:t>socialising the framework</w:t>
      </w:r>
      <w:r>
        <w:rPr>
          <w:lang w:val="en-US"/>
        </w:rPr>
        <w:t>s,</w:t>
      </w:r>
      <w:r w:rsidRPr="00712416">
        <w:rPr>
          <w:lang w:val="en-US"/>
        </w:rPr>
        <w:t xml:space="preserve"> and future u</w:t>
      </w:r>
      <w:r>
        <w:rPr>
          <w:lang w:val="en-US"/>
        </w:rPr>
        <w:t>se</w:t>
      </w:r>
      <w:r w:rsidRPr="00712416">
        <w:rPr>
          <w:lang w:val="en-US"/>
        </w:rPr>
        <w:t>.</w:t>
      </w:r>
    </w:p>
    <w:p w14:paraId="6B3F8751" w14:textId="77777777" w:rsidR="008D5EAB" w:rsidRPr="00712416" w:rsidRDefault="008D5EAB" w:rsidP="008D5EAB">
      <w:r w:rsidRPr="00712416">
        <w:t xml:space="preserve">Our approach draws on </w:t>
      </w:r>
      <w:r>
        <w:t>these</w:t>
      </w:r>
      <w:r w:rsidRPr="00712416">
        <w:t xml:space="preserve"> distinct terms:</w:t>
      </w:r>
    </w:p>
    <w:p w14:paraId="7F370E41" w14:textId="77777777" w:rsidR="008D5EAB" w:rsidRDefault="008D5EAB" w:rsidP="00C8416D">
      <w:pPr>
        <w:numPr>
          <w:ilvl w:val="0"/>
          <w:numId w:val="2"/>
        </w:numPr>
      </w:pPr>
      <w:r w:rsidRPr="00712416">
        <w:rPr>
          <w:b/>
        </w:rPr>
        <w:t>Outcomes:</w:t>
      </w:r>
      <w:r w:rsidRPr="00712416">
        <w:t xml:space="preserve"> </w:t>
      </w:r>
      <w:r w:rsidRPr="00B32053">
        <w:t>Narrative statements of wellbeing that reflect the quality of life and aspirations for people, whānau, and communities.</w:t>
      </w:r>
    </w:p>
    <w:p w14:paraId="7E2AE01A" w14:textId="77777777" w:rsidR="008D5EAB" w:rsidRPr="00B32053" w:rsidRDefault="008D5EAB" w:rsidP="00C8416D">
      <w:pPr>
        <w:numPr>
          <w:ilvl w:val="0"/>
          <w:numId w:val="2"/>
        </w:numPr>
      </w:pPr>
      <w:r>
        <w:rPr>
          <w:b/>
        </w:rPr>
        <w:t>Outcome data:</w:t>
      </w:r>
      <w:r>
        <w:t xml:space="preserve"> </w:t>
      </w:r>
      <w:r w:rsidRPr="00D81165">
        <w:rPr>
          <w:szCs w:val="24"/>
        </w:rPr>
        <w:t xml:space="preserve">Data </w:t>
      </w:r>
      <w:r w:rsidRPr="00434A35">
        <w:rPr>
          <w:szCs w:val="24"/>
        </w:rPr>
        <w:t>describing the change</w:t>
      </w:r>
      <w:r w:rsidRPr="00D81165">
        <w:rPr>
          <w:szCs w:val="24"/>
        </w:rPr>
        <w:t xml:space="preserve"> for </w:t>
      </w:r>
      <w:r>
        <w:rPr>
          <w:szCs w:val="24"/>
        </w:rPr>
        <w:t>t</w:t>
      </w:r>
      <w:r>
        <w:rPr>
          <w:szCs w:val="24"/>
          <w:lang w:val="mi-NZ"/>
        </w:rPr>
        <w:t>āngata whaiora using services</w:t>
      </w:r>
      <w:r w:rsidRPr="00D81165">
        <w:rPr>
          <w:szCs w:val="24"/>
        </w:rPr>
        <w:t xml:space="preserve"> (the ‘ends’).</w:t>
      </w:r>
      <w:r>
        <w:rPr>
          <w:szCs w:val="24"/>
        </w:rPr>
        <w:t xml:space="preserve"> May be Outcome indicators or Outcome measures.</w:t>
      </w:r>
    </w:p>
    <w:p w14:paraId="4DE43576" w14:textId="77777777" w:rsidR="008D5EAB" w:rsidRPr="00712C55" w:rsidRDefault="008D5EAB" w:rsidP="00C8416D">
      <w:pPr>
        <w:numPr>
          <w:ilvl w:val="0"/>
          <w:numId w:val="2"/>
        </w:numPr>
      </w:pPr>
      <w:r w:rsidRPr="00712416">
        <w:rPr>
          <w:b/>
        </w:rPr>
        <w:t>Indicators:</w:t>
      </w:r>
      <w:r w:rsidRPr="00712416">
        <w:t xml:space="preserve"> </w:t>
      </w:r>
      <w:r w:rsidRPr="00712C55">
        <w:t xml:space="preserve">Data that quantifies success (or not) at a </w:t>
      </w:r>
      <w:r w:rsidRPr="00712C55">
        <w:rPr>
          <w:b/>
          <w:bCs/>
        </w:rPr>
        <w:t>population level</w:t>
      </w:r>
      <w:r w:rsidRPr="00712C55">
        <w:t xml:space="preserve"> (everyone) or </w:t>
      </w:r>
      <w:r w:rsidRPr="00712C55">
        <w:rPr>
          <w:b/>
          <w:bCs/>
        </w:rPr>
        <w:t>sub-population-level</w:t>
      </w:r>
      <w:r w:rsidRPr="00712C55">
        <w:t xml:space="preserve"> (e.g., everyone in a region or age group).</w:t>
      </w:r>
      <w:r>
        <w:t xml:space="preserve"> </w:t>
      </w:r>
      <w:r w:rsidRPr="00712C55">
        <w:t>Indicators are distinct from measures, which relate to data at a system or service level.</w:t>
      </w:r>
    </w:p>
    <w:p w14:paraId="46E3DEFC" w14:textId="77777777" w:rsidR="008D5EAB" w:rsidRPr="00712416" w:rsidRDefault="008D5EAB" w:rsidP="008D5EAB">
      <w:pPr>
        <w:ind w:left="720"/>
      </w:pPr>
      <w:r w:rsidRPr="00712C55">
        <w:t xml:space="preserve">It is important to distinguish between </w:t>
      </w:r>
      <w:r w:rsidRPr="00712C55">
        <w:rPr>
          <w:b/>
          <w:bCs/>
        </w:rPr>
        <w:t xml:space="preserve">Indicators </w:t>
      </w:r>
      <w:r w:rsidRPr="00712C55">
        <w:t xml:space="preserve">and </w:t>
      </w:r>
      <w:r w:rsidRPr="00712C55">
        <w:rPr>
          <w:b/>
          <w:bCs/>
        </w:rPr>
        <w:t xml:space="preserve">Measures </w:t>
      </w:r>
      <w:r w:rsidRPr="00712C55">
        <w:t>as although they are both data</w:t>
      </w:r>
      <w:r>
        <w:t xml:space="preserve"> sets</w:t>
      </w:r>
      <w:r w:rsidRPr="00712C55">
        <w:t>, they measure different types or levels of outcomes.</w:t>
      </w:r>
      <w:r w:rsidRPr="00712416">
        <w:t xml:space="preserve"> </w:t>
      </w:r>
    </w:p>
    <w:p w14:paraId="2EEE51B3" w14:textId="77777777" w:rsidR="008D5EAB" w:rsidRDefault="008D5EAB" w:rsidP="00C8416D">
      <w:pPr>
        <w:numPr>
          <w:ilvl w:val="0"/>
          <w:numId w:val="2"/>
        </w:numPr>
        <w:rPr>
          <w:i/>
        </w:rPr>
      </w:pPr>
      <w:r>
        <w:rPr>
          <w:b/>
        </w:rPr>
        <w:t>M</w:t>
      </w:r>
      <w:r w:rsidRPr="00712416">
        <w:rPr>
          <w:b/>
        </w:rPr>
        <w:t>easures</w:t>
      </w:r>
      <w:r>
        <w:rPr>
          <w:b/>
        </w:rPr>
        <w:t xml:space="preserve"> (process and structure)</w:t>
      </w:r>
      <w:r w:rsidRPr="00712416">
        <w:rPr>
          <w:b/>
        </w:rPr>
        <w:t>:</w:t>
      </w:r>
      <w:r w:rsidRPr="00712416">
        <w:t xml:space="preserve"> </w:t>
      </w:r>
      <w:r w:rsidRPr="00D81165">
        <w:rPr>
          <w:szCs w:val="24"/>
        </w:rPr>
        <w:t xml:space="preserve">Data describing how outcomes are achieved through processes and structures (the ‘means’). </w:t>
      </w:r>
      <w:r>
        <w:t>Processes are the</w:t>
      </w:r>
      <w:r>
        <w:rPr>
          <w:sz w:val="21"/>
          <w:szCs w:val="21"/>
        </w:rPr>
        <w:t xml:space="preserve"> </w:t>
      </w:r>
      <w:r>
        <w:t>workings</w:t>
      </w:r>
      <w:r>
        <w:rPr>
          <w:sz w:val="21"/>
          <w:szCs w:val="21"/>
        </w:rPr>
        <w:t xml:space="preserve"> </w:t>
      </w:r>
      <w:r>
        <w:t>of</w:t>
      </w:r>
      <w:r>
        <w:rPr>
          <w:sz w:val="21"/>
          <w:szCs w:val="21"/>
        </w:rPr>
        <w:t xml:space="preserve"> </w:t>
      </w:r>
      <w:r>
        <w:t>the</w:t>
      </w:r>
      <w:r>
        <w:rPr>
          <w:sz w:val="21"/>
          <w:szCs w:val="21"/>
        </w:rPr>
        <w:t xml:space="preserve"> </w:t>
      </w:r>
      <w:r>
        <w:t>system – the</w:t>
      </w:r>
      <w:r>
        <w:rPr>
          <w:sz w:val="21"/>
          <w:szCs w:val="21"/>
        </w:rPr>
        <w:t xml:space="preserve"> </w:t>
      </w:r>
      <w:r>
        <w:t>activities, steps or outputs</w:t>
      </w:r>
      <w:r>
        <w:rPr>
          <w:sz w:val="21"/>
          <w:szCs w:val="21"/>
        </w:rPr>
        <w:t xml:space="preserve"> </w:t>
      </w:r>
      <w:r>
        <w:t>that</w:t>
      </w:r>
      <w:r>
        <w:rPr>
          <w:sz w:val="21"/>
          <w:szCs w:val="21"/>
        </w:rPr>
        <w:t xml:space="preserve"> </w:t>
      </w:r>
      <w:r>
        <w:t>contribute</w:t>
      </w:r>
      <w:r>
        <w:rPr>
          <w:sz w:val="21"/>
          <w:szCs w:val="21"/>
        </w:rPr>
        <w:t xml:space="preserve"> </w:t>
      </w:r>
      <w:r>
        <w:t>to</w:t>
      </w:r>
      <w:r>
        <w:rPr>
          <w:sz w:val="21"/>
          <w:szCs w:val="21"/>
        </w:rPr>
        <w:t xml:space="preserve"> </w:t>
      </w:r>
      <w:r>
        <w:t>outcomes.</w:t>
      </w:r>
      <w:r>
        <w:rPr>
          <w:sz w:val="21"/>
          <w:szCs w:val="21"/>
        </w:rPr>
        <w:t xml:space="preserve"> </w:t>
      </w:r>
      <w:r>
        <w:t>Structures are the system’s attributes, such</w:t>
      </w:r>
      <w:r>
        <w:rPr>
          <w:sz w:val="21"/>
          <w:szCs w:val="21"/>
        </w:rPr>
        <w:t xml:space="preserve"> </w:t>
      </w:r>
      <w:r>
        <w:t>as</w:t>
      </w:r>
      <w:r>
        <w:rPr>
          <w:sz w:val="21"/>
          <w:szCs w:val="21"/>
        </w:rPr>
        <w:t xml:space="preserve"> </w:t>
      </w:r>
      <w:r>
        <w:t>capacity, financing, workforce, facilities, etc.</w:t>
      </w:r>
      <w:r w:rsidRPr="00712416">
        <w:rPr>
          <w:i/>
        </w:rPr>
        <w:t xml:space="preserve"> </w:t>
      </w:r>
    </w:p>
    <w:p w14:paraId="07C105F0" w14:textId="77777777" w:rsidR="008D5EAB" w:rsidRPr="00712416" w:rsidRDefault="008D5EAB" w:rsidP="00C8416D">
      <w:pPr>
        <w:numPr>
          <w:ilvl w:val="0"/>
          <w:numId w:val="2"/>
        </w:numPr>
      </w:pPr>
      <w:r w:rsidRPr="006D4D11">
        <w:rPr>
          <w:b/>
        </w:rPr>
        <w:lastRenderedPageBreak/>
        <w:t>Data:</w:t>
      </w:r>
      <w:r w:rsidRPr="00712416">
        <w:t xml:space="preserve"> </w:t>
      </w:r>
      <w:r w:rsidRPr="006D4D11">
        <w:rPr>
          <w:szCs w:val="24"/>
          <w:lang w:val="en-GB" w:eastAsia="en-GB"/>
        </w:rPr>
        <w:t xml:space="preserve">Overarching term to include all methods and measures. </w:t>
      </w:r>
      <w:r>
        <w:rPr>
          <w:szCs w:val="24"/>
          <w:lang w:val="en-GB" w:eastAsia="en-GB"/>
        </w:rPr>
        <w:t>It c</w:t>
      </w:r>
      <w:r w:rsidRPr="006D4D11">
        <w:rPr>
          <w:szCs w:val="24"/>
          <w:lang w:val="en-GB" w:eastAsia="en-GB"/>
        </w:rPr>
        <w:t xml:space="preserve">an be quantitative and / or </w:t>
      </w:r>
      <w:r w:rsidRPr="00712416">
        <w:t>qualitative.</w:t>
      </w:r>
    </w:p>
    <w:p w14:paraId="130D8DB9" w14:textId="22271EC4" w:rsidR="008D5EAB" w:rsidRPr="00953E12" w:rsidRDefault="008D5EAB" w:rsidP="008D5EAB">
      <w:pPr>
        <w:rPr>
          <w:i/>
          <w:iCs/>
        </w:rPr>
      </w:pPr>
      <w:r>
        <w:rPr>
          <w:rStyle w:val="normaltextrun"/>
          <w:color w:val="000000"/>
          <w:shd w:val="clear" w:color="auto" w:fill="FFFFFF"/>
        </w:rPr>
        <w:t>All common language</w:t>
      </w:r>
      <w:r w:rsidRPr="00953E12">
        <w:rPr>
          <w:rStyle w:val="normaltextrun"/>
          <w:color w:val="000000"/>
          <w:shd w:val="clear" w:color="auto" w:fill="FFFFFF"/>
        </w:rPr>
        <w:t xml:space="preserve"> terms are </w:t>
      </w:r>
      <w:r>
        <w:rPr>
          <w:rStyle w:val="normaltextrun"/>
          <w:color w:val="000000"/>
          <w:shd w:val="clear" w:color="auto" w:fill="FFFFFF"/>
        </w:rPr>
        <w:t>listed</w:t>
      </w:r>
      <w:r w:rsidRPr="00953E12">
        <w:rPr>
          <w:rStyle w:val="normaltextrun"/>
          <w:color w:val="000000"/>
          <w:shd w:val="clear" w:color="auto" w:fill="FFFFFF"/>
        </w:rPr>
        <w:t xml:space="preserve"> in</w:t>
      </w:r>
      <w:r w:rsidR="009337FA">
        <w:rPr>
          <w:rStyle w:val="normaltextrun"/>
          <w:color w:val="000000"/>
          <w:shd w:val="clear" w:color="auto" w:fill="FFFFFF"/>
        </w:rPr>
        <w:t xml:space="preserve"> Appendix 2</w:t>
      </w:r>
      <w:r w:rsidRPr="00953E12">
        <w:rPr>
          <w:rStyle w:val="normaltextrun"/>
          <w:color w:val="000000"/>
          <w:shd w:val="clear" w:color="auto" w:fill="FFFFFF"/>
        </w:rPr>
        <w:t>.</w:t>
      </w:r>
    </w:p>
    <w:p w14:paraId="0A02BB44" w14:textId="6EB32D44" w:rsidR="008D5EAB" w:rsidRPr="00712416" w:rsidRDefault="008D5EAB" w:rsidP="008D5EAB">
      <w:r w:rsidRPr="00712416">
        <w:t>It is important to note that</w:t>
      </w:r>
      <w:r>
        <w:t xml:space="preserve"> </w:t>
      </w:r>
      <w:r w:rsidRPr="00712416">
        <w:t>definitions of indicators and measures vary between different outcome framework development approaches. For example, the Child and Youth wellbeing outcomes framework defines indicators as ‘an analysis, or data narrative</w:t>
      </w:r>
      <w:r w:rsidR="00BA3565">
        <w:t>,</w:t>
      </w:r>
      <w:r w:rsidRPr="00712416">
        <w:t>’ and measures as the ‘specific way that an indicator is measured</w:t>
      </w:r>
      <w:r w:rsidR="00BA3565">
        <w:t>.</w:t>
      </w:r>
      <w:r w:rsidRPr="00712416">
        <w:t xml:space="preserve">’ </w:t>
      </w:r>
      <w:r w:rsidRPr="004D32B6">
        <w:t xml:space="preserve">We have drawn from multiple outcome methodologies, including Results-Based Accountability (RBA), </w:t>
      </w:r>
      <w:r w:rsidR="00416A09">
        <w:t>l</w:t>
      </w:r>
      <w:r w:rsidRPr="004D32B6">
        <w:t xml:space="preserve">ogic </w:t>
      </w:r>
      <w:r w:rsidR="00416A09">
        <w:t>m</w:t>
      </w:r>
      <w:r w:rsidRPr="004D32B6">
        <w:t>odel</w:t>
      </w:r>
      <w:r w:rsidR="00416A09">
        <w:t>s</w:t>
      </w:r>
      <w:r w:rsidRPr="004D32B6">
        <w:t xml:space="preserve">, and </w:t>
      </w:r>
      <w:r w:rsidR="00416A09">
        <w:t>t</w:t>
      </w:r>
      <w:r w:rsidRPr="004D32B6">
        <w:t xml:space="preserve">heory of </w:t>
      </w:r>
      <w:r w:rsidR="00416A09">
        <w:t>c</w:t>
      </w:r>
      <w:r w:rsidRPr="004D32B6">
        <w:t>hange.</w:t>
      </w:r>
    </w:p>
    <w:p w14:paraId="25D6D701" w14:textId="77777777" w:rsidR="008D5EAB" w:rsidRDefault="008D5EAB" w:rsidP="008D5EAB">
      <w:pPr>
        <w:pStyle w:val="Heading2"/>
      </w:pPr>
      <w:r>
        <w:t>Step 4 - Prioritisation framework / Evaluation criteria</w:t>
      </w:r>
    </w:p>
    <w:p w14:paraId="3E02F6CA" w14:textId="405981E2" w:rsidR="008D5EAB" w:rsidRPr="004807A2" w:rsidRDefault="008D5EAB" w:rsidP="008D5EAB">
      <w:r>
        <w:t xml:space="preserve">Our Monitoring Strategy, approved by the Board of Te Hiringa Mahara in June 2022, determines our approach </w:t>
      </w:r>
      <w:r w:rsidRPr="00DA7492">
        <w:t xml:space="preserve">to </w:t>
      </w:r>
      <w:r w:rsidR="005A382D" w:rsidRPr="00DA7492">
        <w:t>monitoring</w:t>
      </w:r>
      <w:r w:rsidR="005A382D">
        <w:t>,</w:t>
      </w:r>
      <w:r w:rsidR="005A382D" w:rsidRPr="00DA7492">
        <w:t xml:space="preserve"> </w:t>
      </w:r>
      <w:r w:rsidRPr="00DA7492">
        <w:t>assessing, and reporting</w:t>
      </w:r>
      <w:r>
        <w:t>. The d</w:t>
      </w:r>
      <w:r w:rsidRPr="004807A2">
        <w:t xml:space="preserve">ata selection criteria </w:t>
      </w:r>
      <w:r>
        <w:t xml:space="preserve">used are </w:t>
      </w:r>
      <w:r w:rsidRPr="004807A2">
        <w:t>based on our prioritisation framework tailored</w:t>
      </w:r>
      <w:r>
        <w:t xml:space="preserve"> for this work.</w:t>
      </w:r>
    </w:p>
    <w:p w14:paraId="12C26A6B" w14:textId="77777777" w:rsidR="008D5EAB" w:rsidRPr="007F4D02" w:rsidRDefault="008D5EAB" w:rsidP="008D5EAB">
      <w:pPr>
        <w:pStyle w:val="Heading3"/>
        <w:rPr>
          <w:lang w:val="en-US"/>
        </w:rPr>
      </w:pPr>
      <w:r w:rsidRPr="007F4D02">
        <w:t xml:space="preserve">Prioritising </w:t>
      </w:r>
      <w:r w:rsidRPr="00750EB8">
        <w:t>what</w:t>
      </w:r>
      <w:r w:rsidRPr="007F4D02">
        <w:t xml:space="preserve"> we monitor</w:t>
      </w:r>
      <w:r w:rsidRPr="007F4D02">
        <w:rPr>
          <w:rFonts w:ascii="Cambria Math" w:hAnsi="Cambria Math" w:cs="Cambria Math"/>
          <w:lang w:val="en-US"/>
        </w:rPr>
        <w:t>​</w:t>
      </w:r>
    </w:p>
    <w:p w14:paraId="477945D7" w14:textId="77777777" w:rsidR="008D5EAB" w:rsidRDefault="008D5EAB" w:rsidP="008D5EAB">
      <w:pPr>
        <w:rPr>
          <w:rFonts w:ascii="Cambria Math" w:hAnsi="Cambria Math" w:cs="Cambria Math"/>
          <w:lang w:val="en-US"/>
        </w:rPr>
      </w:pPr>
      <w:r w:rsidRPr="007F4D02">
        <w:t>We draw from our overarching</w:t>
      </w:r>
      <w:r w:rsidRPr="007F4D02">
        <w:rPr>
          <w:rFonts w:ascii="Calibri" w:hAnsi="Calibri" w:cs="Calibri"/>
        </w:rPr>
        <w:t> </w:t>
      </w:r>
      <w:r w:rsidRPr="00750EB8">
        <w:t>approach to prioritising our work</w:t>
      </w:r>
      <w:r w:rsidRPr="007F4D02">
        <w:t>. This framework sets out that our two frameworks are core</w:t>
      </w:r>
      <w:r w:rsidRPr="007F4D02">
        <w:rPr>
          <w:rFonts w:ascii="Calibri" w:hAnsi="Calibri" w:cs="Calibri"/>
        </w:rPr>
        <w:t> </w:t>
      </w:r>
      <w:r w:rsidRPr="007F4D02">
        <w:t>work, and additional areas are discretionary work, as aligned to our legislation requirements:</w:t>
      </w:r>
      <w:r w:rsidRPr="007F4D02">
        <w:rPr>
          <w:rFonts w:ascii="Cambria Math" w:hAnsi="Cambria Math" w:cs="Cambria Math"/>
          <w:lang w:val="en-US"/>
        </w:rPr>
        <w:t>​</w:t>
      </w:r>
    </w:p>
    <w:tbl>
      <w:tblPr>
        <w:tblStyle w:val="TableGrid"/>
        <w:tblW w:w="9072" w:type="dxa"/>
        <w:tblBorders>
          <w:top w:val="none" w:sz="0" w:space="0" w:color="auto"/>
          <w:insideH w:val="single" w:sz="4" w:space="0" w:color="auto"/>
          <w:insideV w:val="single" w:sz="4" w:space="0" w:color="auto"/>
        </w:tblBorders>
        <w:tblLook w:val="04A0" w:firstRow="1" w:lastRow="0" w:firstColumn="1" w:lastColumn="0" w:noHBand="0" w:noVBand="1"/>
      </w:tblPr>
      <w:tblGrid>
        <w:gridCol w:w="4928"/>
        <w:gridCol w:w="4144"/>
      </w:tblGrid>
      <w:tr w:rsidR="008D5EAB" w:rsidRPr="00094F9A" w14:paraId="4D6B4F9D" w14:textId="77777777" w:rsidTr="00D16702">
        <w:trPr>
          <w:tblHeader/>
        </w:trPr>
        <w:tc>
          <w:tcPr>
            <w:tcW w:w="4928" w:type="dxa"/>
            <w:shd w:val="clear" w:color="auto" w:fill="DFE7EE"/>
            <w:hideMark/>
          </w:tcPr>
          <w:p w14:paraId="12792113" w14:textId="77777777" w:rsidR="008D5EAB" w:rsidRPr="00887EBC" w:rsidRDefault="008D5EAB">
            <w:pPr>
              <w:rPr>
                <w:rFonts w:ascii="Basic Sans" w:hAnsi="Basic Sans"/>
                <w:lang w:val="en-NZ"/>
              </w:rPr>
            </w:pPr>
            <w:bookmarkStart w:id="21" w:name="_Hlk122369961"/>
            <w:r>
              <w:rPr>
                <w:rFonts w:ascii="Basic Sans" w:hAnsi="Basic Sans"/>
                <w:lang w:val="en-NZ"/>
              </w:rPr>
              <w:t>Core</w:t>
            </w:r>
          </w:p>
        </w:tc>
        <w:tc>
          <w:tcPr>
            <w:tcW w:w="4144" w:type="dxa"/>
            <w:shd w:val="clear" w:color="auto" w:fill="DFE7EE"/>
          </w:tcPr>
          <w:p w14:paraId="4BF692D2" w14:textId="77777777" w:rsidR="008D5EAB" w:rsidRPr="00887EBC" w:rsidRDefault="008D5EAB">
            <w:pPr>
              <w:rPr>
                <w:rFonts w:ascii="Basic Sans" w:hAnsi="Basic Sans"/>
                <w:lang w:val="en-NZ"/>
              </w:rPr>
            </w:pPr>
            <w:r>
              <w:rPr>
                <w:rFonts w:ascii="Basic Sans" w:hAnsi="Basic Sans"/>
                <w:lang w:val="en-NZ"/>
              </w:rPr>
              <w:t>Discretionary</w:t>
            </w:r>
          </w:p>
        </w:tc>
      </w:tr>
      <w:tr w:rsidR="008D5EAB" w:rsidRPr="0013068A" w14:paraId="2620D62F" w14:textId="77777777" w:rsidTr="00D16702">
        <w:tc>
          <w:tcPr>
            <w:tcW w:w="4928" w:type="dxa"/>
          </w:tcPr>
          <w:p w14:paraId="28DA2542" w14:textId="77777777" w:rsidR="008D5EAB" w:rsidRPr="00623959" w:rsidRDefault="008D5EAB" w:rsidP="00C8416D">
            <w:pPr>
              <w:numPr>
                <w:ilvl w:val="0"/>
                <w:numId w:val="10"/>
              </w:numPr>
              <w:spacing w:after="160"/>
            </w:pPr>
            <w:r w:rsidRPr="00623959">
              <w:rPr>
                <w:lang w:val="en-NZ"/>
              </w:rPr>
              <w:t>He Ara</w:t>
            </w:r>
            <w:r w:rsidRPr="00623959">
              <w:rPr>
                <w:rFonts w:ascii="Calibri" w:hAnsi="Calibri" w:cs="Calibri"/>
                <w:lang w:val="en-NZ"/>
              </w:rPr>
              <w:t> </w:t>
            </w:r>
            <w:r w:rsidRPr="00623959">
              <w:rPr>
                <w:lang w:val="en-NZ"/>
              </w:rPr>
              <w:t>Oranga</w:t>
            </w:r>
            <w:r w:rsidRPr="00623959">
              <w:rPr>
                <w:rFonts w:ascii="Calibri" w:hAnsi="Calibri" w:cs="Calibri"/>
                <w:lang w:val="en-NZ"/>
              </w:rPr>
              <w:t> </w:t>
            </w:r>
            <w:r w:rsidRPr="00623959">
              <w:rPr>
                <w:lang w:val="en-NZ"/>
              </w:rPr>
              <w:t>wellbeing outcomes framework</w:t>
            </w:r>
            <w:r w:rsidRPr="00623959">
              <w:rPr>
                <w:rFonts w:ascii="Cambria Math" w:hAnsi="Cambria Math" w:cs="Cambria Math"/>
              </w:rPr>
              <w:t>​</w:t>
            </w:r>
          </w:p>
          <w:p w14:paraId="53D42C0B" w14:textId="77777777" w:rsidR="008D5EAB" w:rsidRPr="00C0631C" w:rsidRDefault="008D5EAB" w:rsidP="00C8416D">
            <w:pPr>
              <w:numPr>
                <w:ilvl w:val="0"/>
                <w:numId w:val="10"/>
              </w:numPr>
              <w:spacing w:after="160"/>
            </w:pPr>
            <w:r w:rsidRPr="00623959">
              <w:rPr>
                <w:lang w:val="en-NZ"/>
              </w:rPr>
              <w:t>He Ara</w:t>
            </w:r>
            <w:r w:rsidRPr="00623959">
              <w:rPr>
                <w:rFonts w:ascii="Calibri" w:hAnsi="Calibri" w:cs="Calibri"/>
                <w:lang w:val="en-NZ"/>
              </w:rPr>
              <w:t> </w:t>
            </w:r>
            <w:r w:rsidRPr="00623959">
              <w:rPr>
                <w:lang w:val="en-NZ"/>
              </w:rPr>
              <w:t>Āwhina</w:t>
            </w:r>
            <w:r w:rsidRPr="00623959">
              <w:rPr>
                <w:rFonts w:ascii="Calibri" w:hAnsi="Calibri" w:cs="Calibri"/>
                <w:lang w:val="en-NZ"/>
              </w:rPr>
              <w:t> </w:t>
            </w:r>
            <w:r w:rsidRPr="00623959">
              <w:rPr>
                <w:lang w:val="en-NZ"/>
              </w:rPr>
              <w:t>system monitoring framework</w:t>
            </w:r>
            <w:r w:rsidRPr="00623959">
              <w:rPr>
                <w:rFonts w:ascii="Cambria Math" w:hAnsi="Cambria Math" w:cs="Cambria Math"/>
              </w:rPr>
              <w:t>​</w:t>
            </w:r>
          </w:p>
          <w:p w14:paraId="0DAA7E63" w14:textId="77777777" w:rsidR="008D5EAB" w:rsidRPr="00C0631C" w:rsidRDefault="008D5EAB" w:rsidP="00C8416D">
            <w:pPr>
              <w:numPr>
                <w:ilvl w:val="0"/>
                <w:numId w:val="10"/>
              </w:numPr>
              <w:spacing w:after="160"/>
            </w:pPr>
            <w:r w:rsidRPr="00623959">
              <w:rPr>
                <w:lang w:val="en-NZ"/>
              </w:rPr>
              <w:t>Monitoring ourselves</w:t>
            </w:r>
            <w:r w:rsidRPr="00623959">
              <w:rPr>
                <w:rFonts w:ascii="Cambria Math" w:hAnsi="Cambria Math" w:cs="Cambria Math"/>
              </w:rPr>
              <w:t>​</w:t>
            </w:r>
          </w:p>
        </w:tc>
        <w:tc>
          <w:tcPr>
            <w:tcW w:w="4144" w:type="dxa"/>
          </w:tcPr>
          <w:p w14:paraId="60BF4E04" w14:textId="77777777" w:rsidR="008D5EAB" w:rsidRPr="00887EBC" w:rsidRDefault="008D5EAB" w:rsidP="00C8416D">
            <w:pPr>
              <w:numPr>
                <w:ilvl w:val="0"/>
                <w:numId w:val="11"/>
              </w:numPr>
              <w:spacing w:before="0" w:after="160"/>
              <w:ind w:right="0"/>
              <w:rPr>
                <w:lang w:val="en-NZ"/>
              </w:rPr>
            </w:pPr>
            <w:r w:rsidRPr="00623959">
              <w:rPr>
                <w:szCs w:val="22"/>
                <w:lang w:val="en-NZ" w:bidi="ar-SA"/>
              </w:rPr>
              <w:t>Special ‘ad-hoc’ topics</w:t>
            </w:r>
            <w:r w:rsidRPr="00623959">
              <w:rPr>
                <w:rFonts w:ascii="Cambria Math" w:hAnsi="Cambria Math" w:cs="Cambria Math"/>
                <w:szCs w:val="22"/>
                <w:lang w:val="en-NZ" w:bidi="ar-SA"/>
              </w:rPr>
              <w:t>​</w:t>
            </w:r>
          </w:p>
        </w:tc>
      </w:tr>
    </w:tbl>
    <w:bookmarkEnd w:id="21"/>
    <w:p w14:paraId="37731CF5" w14:textId="0BC08F2F" w:rsidR="008D5EAB" w:rsidRPr="00961206" w:rsidRDefault="008D5EAB" w:rsidP="0049631A">
      <w:pPr>
        <w:spacing w:before="400"/>
        <w:rPr>
          <w:lang w:val="en-US"/>
        </w:rPr>
      </w:pPr>
      <w:r w:rsidRPr="00961206">
        <w:t xml:space="preserve">We use the prioritisation framework to determine what components </w:t>
      </w:r>
      <w:r>
        <w:t>to</w:t>
      </w:r>
      <w:r w:rsidRPr="00961206">
        <w:t xml:space="preserve"> monitor</w:t>
      </w:r>
      <w:r w:rsidRPr="00961206">
        <w:rPr>
          <w:rFonts w:ascii="Calibri" w:hAnsi="Calibri" w:cs="Calibri"/>
        </w:rPr>
        <w:t> </w:t>
      </w:r>
      <w:r w:rsidRPr="00961206">
        <w:rPr>
          <w:i/>
          <w:iCs/>
        </w:rPr>
        <w:t>within</w:t>
      </w:r>
      <w:r w:rsidRPr="00961206">
        <w:rPr>
          <w:rFonts w:ascii="Calibri" w:hAnsi="Calibri" w:cs="Calibri"/>
          <w:i/>
          <w:iCs/>
        </w:rPr>
        <w:t> </w:t>
      </w:r>
      <w:r w:rsidRPr="00961206">
        <w:t xml:space="preserve">the core list, and what topics </w:t>
      </w:r>
      <w:r>
        <w:t>to</w:t>
      </w:r>
      <w:r w:rsidRPr="00961206">
        <w:rPr>
          <w:rFonts w:ascii="Calibri" w:hAnsi="Calibri" w:cs="Calibri"/>
        </w:rPr>
        <w:t> </w:t>
      </w:r>
      <w:r w:rsidRPr="00961206">
        <w:t>monitor on the discretionary list. Overarching the prioritisation approach is whether the proposed topic contributes to</w:t>
      </w:r>
      <w:r w:rsidRPr="00961206">
        <w:rPr>
          <w:rFonts w:ascii="Calibri" w:hAnsi="Calibri" w:cs="Calibri"/>
        </w:rPr>
        <w:t> </w:t>
      </w:r>
      <w:r w:rsidRPr="00961206">
        <w:t>better and equitable mental health and wellbeing outcomes</w:t>
      </w:r>
      <w:r>
        <w:t>.</w:t>
      </w:r>
      <w:r w:rsidRPr="00961206">
        <w:t xml:space="preserve"> From here, we apply the prioritisation criteria:</w:t>
      </w:r>
      <w:r w:rsidRPr="00961206">
        <w:rPr>
          <w:rFonts w:ascii="Calibri" w:hAnsi="Calibri" w:cs="Calibri"/>
        </w:rPr>
        <w:t> </w:t>
      </w:r>
      <w:r w:rsidRPr="00961206">
        <w:rPr>
          <w:rFonts w:ascii="Cambria Math" w:hAnsi="Cambria Math" w:cs="Cambria Math"/>
          <w:lang w:val="en-US"/>
        </w:rPr>
        <w:t>​</w:t>
      </w:r>
    </w:p>
    <w:p w14:paraId="562AA4F1" w14:textId="77777777" w:rsidR="008D5EAB" w:rsidRPr="00961206" w:rsidRDefault="008D5EAB" w:rsidP="00C8416D">
      <w:pPr>
        <w:numPr>
          <w:ilvl w:val="0"/>
          <w:numId w:val="12"/>
        </w:numPr>
        <w:shd w:val="clear" w:color="auto" w:fill="DFE7EE"/>
        <w:rPr>
          <w:lang w:val="en-US"/>
        </w:rPr>
      </w:pPr>
      <w:r w:rsidRPr="00961206">
        <w:t>Will the proposed topic target Māori mental health and wellbeing outcomes?</w:t>
      </w:r>
      <w:r w:rsidRPr="00961206">
        <w:rPr>
          <w:rFonts w:ascii="Cambria Math" w:hAnsi="Cambria Math" w:cs="Cambria Math"/>
          <w:lang w:val="en-US"/>
        </w:rPr>
        <w:t>​</w:t>
      </w:r>
    </w:p>
    <w:p w14:paraId="3D068565" w14:textId="77777777" w:rsidR="008D5EAB" w:rsidRPr="00961206" w:rsidRDefault="008D5EAB" w:rsidP="00C8416D">
      <w:pPr>
        <w:numPr>
          <w:ilvl w:val="0"/>
          <w:numId w:val="12"/>
        </w:numPr>
        <w:shd w:val="clear" w:color="auto" w:fill="DFE7EE"/>
        <w:rPr>
          <w:lang w:val="en-US"/>
        </w:rPr>
      </w:pPr>
      <w:r w:rsidRPr="00961206">
        <w:t>Is the proposed topic important to people and whānau with lived experience?</w:t>
      </w:r>
      <w:r w:rsidRPr="00961206">
        <w:rPr>
          <w:rFonts w:ascii="Cambria Math" w:hAnsi="Cambria Math" w:cs="Cambria Math"/>
          <w:lang w:val="en-US"/>
        </w:rPr>
        <w:t>​</w:t>
      </w:r>
    </w:p>
    <w:p w14:paraId="3E385759" w14:textId="77777777" w:rsidR="008D5EAB" w:rsidRPr="00961206" w:rsidRDefault="008D5EAB" w:rsidP="00C8416D">
      <w:pPr>
        <w:numPr>
          <w:ilvl w:val="0"/>
          <w:numId w:val="12"/>
        </w:numPr>
        <w:rPr>
          <w:lang w:val="en-US"/>
        </w:rPr>
      </w:pPr>
      <w:r w:rsidRPr="00961206">
        <w:t>Will the investment in the monitoring topic have an impact?</w:t>
      </w:r>
      <w:r w:rsidRPr="00961206">
        <w:rPr>
          <w:rFonts w:ascii="Cambria Math" w:hAnsi="Cambria Math" w:cs="Cambria Math"/>
          <w:lang w:val="en-US"/>
        </w:rPr>
        <w:t>​</w:t>
      </w:r>
    </w:p>
    <w:p w14:paraId="127BBB24" w14:textId="77777777" w:rsidR="008D5EAB" w:rsidRPr="00961206" w:rsidRDefault="008D5EAB" w:rsidP="00C8416D">
      <w:pPr>
        <w:numPr>
          <w:ilvl w:val="0"/>
          <w:numId w:val="12"/>
        </w:numPr>
        <w:rPr>
          <w:lang w:val="en-US"/>
        </w:rPr>
      </w:pPr>
      <w:r w:rsidRPr="00961206">
        <w:t>Does the topic offer opportunities to reduce inequities?</w:t>
      </w:r>
      <w:r w:rsidRPr="00961206">
        <w:rPr>
          <w:rFonts w:ascii="Cambria Math" w:hAnsi="Cambria Math" w:cs="Cambria Math"/>
          <w:lang w:val="en-US"/>
        </w:rPr>
        <w:t>​</w:t>
      </w:r>
    </w:p>
    <w:p w14:paraId="2FC70455" w14:textId="77777777" w:rsidR="008D5EAB" w:rsidRPr="00961206" w:rsidRDefault="008D5EAB" w:rsidP="00C8416D">
      <w:pPr>
        <w:numPr>
          <w:ilvl w:val="0"/>
          <w:numId w:val="12"/>
        </w:numPr>
        <w:rPr>
          <w:lang w:val="en-US"/>
        </w:rPr>
      </w:pPr>
      <w:r w:rsidRPr="00961206">
        <w:lastRenderedPageBreak/>
        <w:t xml:space="preserve">Does the topic align </w:t>
      </w:r>
      <w:r>
        <w:t>with</w:t>
      </w:r>
      <w:r w:rsidRPr="00961206">
        <w:t xml:space="preserve"> our strategy priorities, advocacy agendas, and government</w:t>
      </w:r>
      <w:r>
        <w:t xml:space="preserve"> priorities</w:t>
      </w:r>
      <w:r w:rsidRPr="00961206">
        <w:t>?</w:t>
      </w:r>
      <w:r w:rsidRPr="00961206">
        <w:rPr>
          <w:rFonts w:ascii="Cambria Math" w:hAnsi="Cambria Math" w:cs="Cambria Math"/>
          <w:lang w:val="en-US"/>
        </w:rPr>
        <w:t>​</w:t>
      </w:r>
    </w:p>
    <w:p w14:paraId="00FE09D3" w14:textId="49AE8B18" w:rsidR="008D5EAB" w:rsidRPr="00961206" w:rsidRDefault="008D5EAB" w:rsidP="008D5EAB">
      <w:r>
        <w:t>P</w:t>
      </w:r>
      <w:r w:rsidRPr="00961206">
        <w:t>rioritisation will also be informed by the practical reality of data availability.</w:t>
      </w:r>
      <w:r w:rsidRPr="00961206">
        <w:rPr>
          <w:rFonts w:ascii="Cambria Math" w:hAnsi="Cambria Math" w:cs="Cambria Math"/>
        </w:rPr>
        <w:t>​</w:t>
      </w:r>
      <w:r w:rsidRPr="0063102C">
        <w:t xml:space="preserve"> To assess the compiled </w:t>
      </w:r>
      <w:r w:rsidR="00F4140B">
        <w:t>longlist</w:t>
      </w:r>
      <w:r w:rsidRPr="0063102C">
        <w:t xml:space="preserve"> of potential measures we have focused on the highlighted prioriti</w:t>
      </w:r>
      <w:r>
        <w:t>s</w:t>
      </w:r>
      <w:r w:rsidRPr="0063102C">
        <w:t>ation criteria above</w:t>
      </w:r>
      <w:r>
        <w:t xml:space="preserve"> to give greater weighting</w:t>
      </w:r>
      <w:r w:rsidRPr="0063102C">
        <w:t xml:space="preserve"> and the data evaluation criteria below:</w:t>
      </w:r>
    </w:p>
    <w:p w14:paraId="2CCB8812" w14:textId="148490FF" w:rsidR="008D5EAB" w:rsidRPr="001E7692" w:rsidRDefault="008D5EAB" w:rsidP="008D5EAB">
      <w:r w:rsidRPr="00FE6D5A">
        <w:rPr>
          <w:b/>
          <w:bCs/>
        </w:rPr>
        <w:t>Frequency</w:t>
      </w:r>
      <w:r>
        <w:t xml:space="preserve"> – is the data collected with reasonable frequency to support monitoring over time. In some cases, infrequent data may connect with other data for monitoring and reporting purposes and uphold our </w:t>
      </w:r>
      <w:r w:rsidR="00D56F15">
        <w:t>d</w:t>
      </w:r>
      <w:r>
        <w:t>ata principles.</w:t>
      </w:r>
    </w:p>
    <w:p w14:paraId="172FD8A9" w14:textId="77777777" w:rsidR="008D5EAB" w:rsidRDefault="008D5EAB" w:rsidP="008D5EAB">
      <w:r w:rsidRPr="005D3CB3">
        <w:rPr>
          <w:b/>
          <w:bCs/>
        </w:rPr>
        <w:t>Timeliness</w:t>
      </w:r>
      <w:r>
        <w:t xml:space="preserve"> - </w:t>
      </w:r>
      <w:r w:rsidRPr="00355821">
        <w:rPr>
          <w:lang w:val="en-US"/>
        </w:rPr>
        <w:t>available without too long a delay and can provide information on changes over time.</w:t>
      </w:r>
    </w:p>
    <w:p w14:paraId="21977A44" w14:textId="77777777" w:rsidR="008D5EAB" w:rsidRPr="00AC7D8E" w:rsidRDefault="008D5EAB" w:rsidP="008D5EAB">
      <w:r w:rsidRPr="00B72EB2">
        <w:rPr>
          <w:b/>
          <w:bCs/>
        </w:rPr>
        <w:t>Nationally consistent</w:t>
      </w:r>
      <w:r>
        <w:t xml:space="preserve"> – the data enables us to monitor and assess the system aspirations for all people in Aotearoa.</w:t>
      </w:r>
    </w:p>
    <w:p w14:paraId="4B3A3AA3" w14:textId="77777777" w:rsidR="008D5EAB" w:rsidRPr="005D3CB3" w:rsidRDefault="008D5EAB" w:rsidP="008D5EAB">
      <w:pPr>
        <w:rPr>
          <w:lang w:val="en-US"/>
        </w:rPr>
      </w:pPr>
      <w:r w:rsidRPr="005D3CB3">
        <w:rPr>
          <w:b/>
          <w:bCs/>
          <w:lang w:val="en-US"/>
        </w:rPr>
        <w:t>Aggregated and disaggregated</w:t>
      </w:r>
      <w:r w:rsidRPr="005D3CB3">
        <w:rPr>
          <w:lang w:val="en-US"/>
        </w:rPr>
        <w:t xml:space="preserve"> – </w:t>
      </w:r>
    </w:p>
    <w:p w14:paraId="13E85CB1" w14:textId="77777777" w:rsidR="008D5EAB" w:rsidRDefault="008D5EAB" w:rsidP="00C8416D">
      <w:pPr>
        <w:numPr>
          <w:ilvl w:val="0"/>
          <w:numId w:val="14"/>
        </w:numPr>
        <w:rPr>
          <w:lang w:val="en-US"/>
        </w:rPr>
      </w:pPr>
      <w:r w:rsidRPr="005D3CB3">
        <w:rPr>
          <w:lang w:val="en-US"/>
        </w:rPr>
        <w:t xml:space="preserve">able to be disaggregated for </w:t>
      </w:r>
      <w:r>
        <w:rPr>
          <w:lang w:val="en-US"/>
        </w:rPr>
        <w:t xml:space="preserve">mental health services, alcohol and other drug (AOD) services, </w:t>
      </w:r>
      <w:r w:rsidRPr="005D3CB3">
        <w:rPr>
          <w:lang w:val="en-US"/>
        </w:rPr>
        <w:t>priority groups</w:t>
      </w:r>
      <w:r>
        <w:rPr>
          <w:rStyle w:val="FootnoteReference"/>
          <w:lang w:val="en-US"/>
        </w:rPr>
        <w:footnoteReference w:id="8"/>
      </w:r>
      <w:r w:rsidRPr="005D3CB3">
        <w:rPr>
          <w:lang w:val="en-US"/>
        </w:rPr>
        <w:t xml:space="preserve"> and geographic region</w:t>
      </w:r>
      <w:r>
        <w:rPr>
          <w:lang w:val="en-US"/>
        </w:rPr>
        <w:t>s</w:t>
      </w:r>
      <w:r w:rsidRPr="005D3CB3">
        <w:rPr>
          <w:lang w:val="en-US"/>
        </w:rPr>
        <w:t>, where possible</w:t>
      </w:r>
    </w:p>
    <w:p w14:paraId="5438A972" w14:textId="77777777" w:rsidR="008D5EAB" w:rsidRPr="005D3CB3" w:rsidRDefault="008D5EAB" w:rsidP="00C8416D">
      <w:pPr>
        <w:numPr>
          <w:ilvl w:val="0"/>
          <w:numId w:val="14"/>
        </w:numPr>
        <w:rPr>
          <w:lang w:val="en-US"/>
        </w:rPr>
      </w:pPr>
      <w:r w:rsidRPr="005D3CB3">
        <w:rPr>
          <w:lang w:val="en-US"/>
        </w:rPr>
        <w:t xml:space="preserve">able to be aggregated with reasonable consistency in </w:t>
      </w:r>
      <w:r>
        <w:rPr>
          <w:lang w:val="en-US"/>
        </w:rPr>
        <w:t xml:space="preserve">the </w:t>
      </w:r>
      <w:r w:rsidRPr="005D3CB3">
        <w:rPr>
          <w:lang w:val="en-US"/>
        </w:rPr>
        <w:t xml:space="preserve">collection (in cases of service-level measures) and data collected across Aotearoa, rather than just one specific region or </w:t>
      </w:r>
      <w:r>
        <w:rPr>
          <w:lang w:val="en-US"/>
        </w:rPr>
        <w:t>district</w:t>
      </w:r>
      <w:r w:rsidRPr="005D3CB3">
        <w:rPr>
          <w:lang w:val="en-US"/>
        </w:rPr>
        <w:t>, where possible</w:t>
      </w:r>
    </w:p>
    <w:p w14:paraId="1CC96EA1" w14:textId="77777777" w:rsidR="008D5EAB" w:rsidRDefault="008D5EAB" w:rsidP="008D5EAB">
      <w:r>
        <w:t>In future phases of work, when determining our ‘vital few’ measures, we will apply the other prioritisation criteria e.g., whether a measure highlights inequity, whether the measure provides a ‘line of sight’ between the two frameworks, appropriate balance of strengths vs deficit-based measures etc.</w:t>
      </w:r>
    </w:p>
    <w:p w14:paraId="76A5E5C2" w14:textId="4CAEECC0" w:rsidR="008D5EAB" w:rsidRPr="00565600" w:rsidRDefault="008D5EAB" w:rsidP="008D5EAB">
      <w:pPr>
        <w:pStyle w:val="Heading2"/>
      </w:pPr>
      <w:r>
        <w:t>Steps 5 and 6 - Compiling</w:t>
      </w:r>
      <w:r w:rsidRPr="00565600">
        <w:t xml:space="preserve"> a </w:t>
      </w:r>
      <w:r w:rsidR="00F4140B">
        <w:t>longlist</w:t>
      </w:r>
      <w:r w:rsidRPr="00565600">
        <w:t xml:space="preserve"> </w:t>
      </w:r>
      <w:r>
        <w:t>of measures</w:t>
      </w:r>
    </w:p>
    <w:p w14:paraId="556C4A6C" w14:textId="14FC5B31" w:rsidR="008D5EAB" w:rsidRDefault="008D5EAB" w:rsidP="008D5EAB">
      <w:pPr>
        <w:pStyle w:val="TableText"/>
        <w:rPr>
          <w:rFonts w:ascii="Basic Sans Light" w:hAnsi="Basic Sans Light"/>
        </w:rPr>
      </w:pPr>
      <w:r>
        <w:rPr>
          <w:rFonts w:ascii="Basic Sans Light" w:hAnsi="Basic Sans Light"/>
        </w:rPr>
        <w:t xml:space="preserve">A comprehensive </w:t>
      </w:r>
      <w:r w:rsidRPr="000A2934">
        <w:rPr>
          <w:rFonts w:ascii="Basic Sans Light" w:hAnsi="Basic Sans Light"/>
        </w:rPr>
        <w:t>review</w:t>
      </w:r>
      <w:r>
        <w:rPr>
          <w:rFonts w:ascii="Basic Sans Light" w:hAnsi="Basic Sans Light"/>
        </w:rPr>
        <w:t xml:space="preserve"> of</w:t>
      </w:r>
      <w:r w:rsidRPr="000A2934">
        <w:rPr>
          <w:rFonts w:ascii="Basic Sans Light" w:hAnsi="Basic Sans Light"/>
        </w:rPr>
        <w:t xml:space="preserve"> existing data sources</w:t>
      </w:r>
      <w:r>
        <w:rPr>
          <w:rFonts w:ascii="Basic Sans Light" w:hAnsi="Basic Sans Light"/>
        </w:rPr>
        <w:t xml:space="preserve"> (step 5)</w:t>
      </w:r>
      <w:r w:rsidRPr="000A2934">
        <w:rPr>
          <w:rFonts w:ascii="Basic Sans Light" w:hAnsi="Basic Sans Light"/>
        </w:rPr>
        <w:t xml:space="preserve"> </w:t>
      </w:r>
      <w:r>
        <w:rPr>
          <w:rFonts w:ascii="Basic Sans Light" w:hAnsi="Basic Sans Light"/>
        </w:rPr>
        <w:t xml:space="preserve">was conducted </w:t>
      </w:r>
      <w:r w:rsidRPr="000A2934">
        <w:rPr>
          <w:rFonts w:ascii="Basic Sans Light" w:hAnsi="Basic Sans Light"/>
        </w:rPr>
        <w:t xml:space="preserve">to compile a </w:t>
      </w:r>
      <w:r w:rsidR="00F4140B">
        <w:rPr>
          <w:rFonts w:ascii="Basic Sans Light" w:hAnsi="Basic Sans Light"/>
        </w:rPr>
        <w:t>longlist</w:t>
      </w:r>
      <w:r w:rsidRPr="000A2934">
        <w:rPr>
          <w:rFonts w:ascii="Basic Sans Light" w:hAnsi="Basic Sans Light"/>
        </w:rPr>
        <w:t xml:space="preserve"> of </w:t>
      </w:r>
      <w:r>
        <w:rPr>
          <w:rFonts w:ascii="Basic Sans Light" w:hAnsi="Basic Sans Light"/>
        </w:rPr>
        <w:t>potential</w:t>
      </w:r>
      <w:r w:rsidRPr="000A2934">
        <w:rPr>
          <w:rFonts w:ascii="Basic Sans Light" w:hAnsi="Basic Sans Light"/>
        </w:rPr>
        <w:t xml:space="preserve"> measures relevant to monitoring the performance of the mental health and addiction system. </w:t>
      </w:r>
      <w:r>
        <w:rPr>
          <w:rFonts w:ascii="Basic Sans Light" w:hAnsi="Basic Sans Light"/>
        </w:rPr>
        <w:t>The measures have all been mapped (step 6) to He Ara Āwhina system aspirations and the concept they enable us to monitor.</w:t>
      </w:r>
    </w:p>
    <w:p w14:paraId="366FF052" w14:textId="77777777" w:rsidR="008D5EAB" w:rsidRDefault="008D5EAB" w:rsidP="008D5EAB">
      <w:pPr>
        <w:pStyle w:val="TableText"/>
        <w:rPr>
          <w:rFonts w:ascii="Basic Sans Light" w:hAnsi="Basic Sans Light"/>
        </w:rPr>
      </w:pPr>
      <w:r>
        <w:rPr>
          <w:rFonts w:ascii="Basic Sans Light" w:hAnsi="Basic Sans Light"/>
        </w:rPr>
        <w:t>It’s important to note that some measures are quite fluid and can measure several system aspirations. These measures are mapped to multiple concepts. For example:</w:t>
      </w:r>
    </w:p>
    <w:tbl>
      <w:tblPr>
        <w:tblStyle w:val="TableGrid"/>
        <w:tblW w:w="0" w:type="auto"/>
        <w:tblLook w:val="04A0" w:firstRow="1" w:lastRow="0" w:firstColumn="1" w:lastColumn="0" w:noHBand="0" w:noVBand="1"/>
      </w:tblPr>
      <w:tblGrid>
        <w:gridCol w:w="284"/>
        <w:gridCol w:w="283"/>
        <w:gridCol w:w="4070"/>
        <w:gridCol w:w="313"/>
        <w:gridCol w:w="295"/>
        <w:gridCol w:w="3785"/>
      </w:tblGrid>
      <w:tr w:rsidR="008D5EAB" w:rsidRPr="007A505E" w14:paraId="618A993D" w14:textId="77777777">
        <w:tc>
          <w:tcPr>
            <w:tcW w:w="9030" w:type="dxa"/>
            <w:gridSpan w:val="6"/>
            <w:shd w:val="clear" w:color="auto" w:fill="DFE7EE"/>
          </w:tcPr>
          <w:p w14:paraId="1DAF1A24" w14:textId="77777777" w:rsidR="008D5EAB" w:rsidRPr="007A505E" w:rsidRDefault="008D5EAB" w:rsidP="002F487F">
            <w:pPr>
              <w:pStyle w:val="TableText"/>
              <w:rPr>
                <w:rFonts w:ascii="Basic Sans Light" w:hAnsi="Basic Sans Light"/>
                <w:b/>
                <w:bCs/>
              </w:rPr>
            </w:pPr>
            <w:r>
              <w:rPr>
                <w:rFonts w:ascii="Basic Sans Light" w:hAnsi="Basic Sans Light"/>
                <w:b/>
                <w:bCs/>
              </w:rPr>
              <w:t xml:space="preserve">Measure - </w:t>
            </w:r>
            <w:r w:rsidRPr="007A505E">
              <w:rPr>
                <w:rFonts w:ascii="Basic Sans Light" w:hAnsi="Basic Sans Light"/>
                <w:b/>
                <w:bCs/>
              </w:rPr>
              <w:t>% of people aged under 25 years able to access specialist mental health services within three weeks of referral</w:t>
            </w:r>
          </w:p>
        </w:tc>
      </w:tr>
      <w:tr w:rsidR="008D5EAB" w:rsidRPr="00EF6FC3" w14:paraId="5B98481D" w14:textId="77777777">
        <w:tc>
          <w:tcPr>
            <w:tcW w:w="4637" w:type="dxa"/>
            <w:gridSpan w:val="3"/>
          </w:tcPr>
          <w:p w14:paraId="1D25A1EA" w14:textId="77777777" w:rsidR="008D5EAB" w:rsidRPr="00EF6FC3" w:rsidRDefault="008D5EAB" w:rsidP="002F487F">
            <w:pPr>
              <w:pStyle w:val="TableText"/>
              <w:rPr>
                <w:rFonts w:ascii="Basic Sans Light" w:hAnsi="Basic Sans Light"/>
                <w:b/>
                <w:bCs/>
              </w:rPr>
            </w:pPr>
            <w:r w:rsidRPr="00EF6FC3">
              <w:rPr>
                <w:rFonts w:ascii="Basic Sans Light" w:hAnsi="Basic Sans Light"/>
                <w:b/>
                <w:bCs/>
              </w:rPr>
              <w:t>Te Ao Māori perspective</w:t>
            </w:r>
          </w:p>
        </w:tc>
        <w:tc>
          <w:tcPr>
            <w:tcW w:w="4393" w:type="dxa"/>
            <w:gridSpan w:val="3"/>
          </w:tcPr>
          <w:p w14:paraId="47C13EF0" w14:textId="77777777" w:rsidR="008D5EAB" w:rsidRPr="00EF6FC3" w:rsidRDefault="008D5EAB" w:rsidP="002F487F">
            <w:pPr>
              <w:pStyle w:val="TableText"/>
              <w:rPr>
                <w:rFonts w:ascii="Basic Sans Light" w:hAnsi="Basic Sans Light"/>
                <w:b/>
                <w:bCs/>
              </w:rPr>
            </w:pPr>
            <w:r w:rsidRPr="00EF6FC3">
              <w:rPr>
                <w:rFonts w:ascii="Basic Sans Light" w:hAnsi="Basic Sans Light"/>
                <w:b/>
                <w:bCs/>
              </w:rPr>
              <w:t>Shared perspective</w:t>
            </w:r>
          </w:p>
        </w:tc>
      </w:tr>
      <w:tr w:rsidR="008D5EAB" w14:paraId="0C1E7BE3" w14:textId="77777777">
        <w:tc>
          <w:tcPr>
            <w:tcW w:w="284" w:type="dxa"/>
            <w:tcBorders>
              <w:right w:val="nil"/>
            </w:tcBorders>
          </w:tcPr>
          <w:p w14:paraId="7C1372F3" w14:textId="77777777" w:rsidR="008D5EAB" w:rsidRDefault="008D5EAB" w:rsidP="002F487F">
            <w:pPr>
              <w:pStyle w:val="TableText"/>
              <w:rPr>
                <w:rFonts w:ascii="Basic Sans Light" w:hAnsi="Basic Sans Light"/>
              </w:rPr>
            </w:pPr>
          </w:p>
        </w:tc>
        <w:tc>
          <w:tcPr>
            <w:tcW w:w="4353" w:type="dxa"/>
            <w:gridSpan w:val="2"/>
            <w:tcBorders>
              <w:left w:val="nil"/>
            </w:tcBorders>
          </w:tcPr>
          <w:p w14:paraId="112DBC22" w14:textId="77777777" w:rsidR="008D5EAB" w:rsidRDefault="008D5EAB" w:rsidP="002F487F">
            <w:pPr>
              <w:pStyle w:val="TableText"/>
              <w:rPr>
                <w:rFonts w:ascii="Basic Sans Light" w:hAnsi="Basic Sans Light"/>
              </w:rPr>
            </w:pPr>
            <w:r w:rsidRPr="00DB77CC">
              <w:rPr>
                <w:rFonts w:ascii="Basic Sans Light" w:hAnsi="Basic Sans Light"/>
              </w:rPr>
              <w:t>Mana Motuhake</w:t>
            </w:r>
          </w:p>
        </w:tc>
        <w:tc>
          <w:tcPr>
            <w:tcW w:w="313" w:type="dxa"/>
            <w:tcBorders>
              <w:right w:val="nil"/>
            </w:tcBorders>
          </w:tcPr>
          <w:p w14:paraId="22970E8A" w14:textId="77777777" w:rsidR="008D5EAB" w:rsidRDefault="008D5EAB" w:rsidP="002F487F">
            <w:pPr>
              <w:pStyle w:val="TableText"/>
              <w:rPr>
                <w:rFonts w:ascii="Basic Sans Light" w:hAnsi="Basic Sans Light"/>
              </w:rPr>
            </w:pPr>
          </w:p>
        </w:tc>
        <w:tc>
          <w:tcPr>
            <w:tcW w:w="4080" w:type="dxa"/>
            <w:gridSpan w:val="2"/>
            <w:tcBorders>
              <w:left w:val="nil"/>
            </w:tcBorders>
          </w:tcPr>
          <w:p w14:paraId="181581BA" w14:textId="77777777" w:rsidR="008D5EAB" w:rsidRDefault="008D5EAB" w:rsidP="002F487F">
            <w:pPr>
              <w:pStyle w:val="TableText"/>
              <w:rPr>
                <w:rFonts w:ascii="Basic Sans Light" w:hAnsi="Basic Sans Light"/>
              </w:rPr>
            </w:pPr>
            <w:r>
              <w:rPr>
                <w:rFonts w:ascii="Basic Sans Light" w:hAnsi="Basic Sans Light"/>
              </w:rPr>
              <w:t>Access and options</w:t>
            </w:r>
          </w:p>
        </w:tc>
      </w:tr>
      <w:tr w:rsidR="008D5EAB" w14:paraId="30ADA854" w14:textId="77777777">
        <w:tc>
          <w:tcPr>
            <w:tcW w:w="284" w:type="dxa"/>
            <w:tcBorders>
              <w:right w:val="nil"/>
            </w:tcBorders>
          </w:tcPr>
          <w:p w14:paraId="0883799A" w14:textId="77777777" w:rsidR="008D5EAB" w:rsidRDefault="008D5EAB" w:rsidP="002F487F">
            <w:pPr>
              <w:pStyle w:val="TableText"/>
              <w:rPr>
                <w:rFonts w:ascii="Basic Sans Light" w:hAnsi="Basic Sans Light"/>
              </w:rPr>
            </w:pPr>
          </w:p>
        </w:tc>
        <w:tc>
          <w:tcPr>
            <w:tcW w:w="283" w:type="dxa"/>
            <w:tcBorders>
              <w:left w:val="nil"/>
              <w:right w:val="nil"/>
            </w:tcBorders>
          </w:tcPr>
          <w:p w14:paraId="36DCBD05" w14:textId="77777777" w:rsidR="008D5EAB" w:rsidRDefault="008D5EAB" w:rsidP="002F487F">
            <w:pPr>
              <w:pStyle w:val="TableText"/>
              <w:rPr>
                <w:rFonts w:ascii="Basic Sans Light" w:hAnsi="Basic Sans Light"/>
              </w:rPr>
            </w:pPr>
          </w:p>
        </w:tc>
        <w:tc>
          <w:tcPr>
            <w:tcW w:w="4070" w:type="dxa"/>
            <w:tcBorders>
              <w:left w:val="nil"/>
            </w:tcBorders>
          </w:tcPr>
          <w:p w14:paraId="4D4C4BDF" w14:textId="77777777" w:rsidR="008D5EAB" w:rsidRDefault="008D5EAB" w:rsidP="002F487F">
            <w:pPr>
              <w:pStyle w:val="TableText"/>
              <w:rPr>
                <w:rFonts w:ascii="Basic Sans Light" w:hAnsi="Basic Sans Light"/>
              </w:rPr>
            </w:pPr>
            <w:r w:rsidRPr="007A505E">
              <w:rPr>
                <w:rFonts w:ascii="Basic Sans Light" w:hAnsi="Basic Sans Light"/>
              </w:rPr>
              <w:t>Whānau have timely access to and choice of supports and services, inclusive of rongoā Māori</w:t>
            </w:r>
          </w:p>
          <w:p w14:paraId="030788CD" w14:textId="77777777" w:rsidR="008D5EAB" w:rsidRDefault="008D5EAB" w:rsidP="002F487F">
            <w:pPr>
              <w:pStyle w:val="TableText"/>
              <w:rPr>
                <w:rFonts w:ascii="Basic Sans Light" w:hAnsi="Basic Sans Light"/>
              </w:rPr>
            </w:pPr>
          </w:p>
        </w:tc>
        <w:tc>
          <w:tcPr>
            <w:tcW w:w="313" w:type="dxa"/>
            <w:tcBorders>
              <w:right w:val="nil"/>
            </w:tcBorders>
          </w:tcPr>
          <w:p w14:paraId="5317CB55" w14:textId="77777777" w:rsidR="008D5EAB" w:rsidRDefault="008D5EAB" w:rsidP="002F487F">
            <w:pPr>
              <w:pStyle w:val="TableText"/>
              <w:rPr>
                <w:rFonts w:ascii="Basic Sans Light" w:hAnsi="Basic Sans Light"/>
              </w:rPr>
            </w:pPr>
          </w:p>
        </w:tc>
        <w:tc>
          <w:tcPr>
            <w:tcW w:w="295" w:type="dxa"/>
            <w:tcBorders>
              <w:left w:val="nil"/>
              <w:right w:val="nil"/>
            </w:tcBorders>
          </w:tcPr>
          <w:p w14:paraId="52E051D3" w14:textId="77777777" w:rsidR="008D5EAB" w:rsidRDefault="008D5EAB" w:rsidP="002F487F">
            <w:pPr>
              <w:pStyle w:val="TableText"/>
              <w:rPr>
                <w:rFonts w:ascii="Basic Sans Light" w:hAnsi="Basic Sans Light"/>
              </w:rPr>
            </w:pPr>
          </w:p>
        </w:tc>
        <w:tc>
          <w:tcPr>
            <w:tcW w:w="3785" w:type="dxa"/>
            <w:tcBorders>
              <w:left w:val="nil"/>
            </w:tcBorders>
          </w:tcPr>
          <w:p w14:paraId="02AFE33F" w14:textId="77777777" w:rsidR="008D5EAB" w:rsidRDefault="008D5EAB" w:rsidP="002F487F">
            <w:pPr>
              <w:pStyle w:val="TableText"/>
              <w:rPr>
                <w:rFonts w:ascii="Basic Sans Light" w:hAnsi="Basic Sans Light"/>
              </w:rPr>
            </w:pPr>
            <w:r w:rsidRPr="00DB77CC">
              <w:rPr>
                <w:rFonts w:ascii="Basic Sans Light" w:hAnsi="Basic Sans Light"/>
              </w:rPr>
              <w:t>We have meaningful choice in supports and services when we are experiencing any level of distress, substance, or gambling harm. These are accessible when we need them, without barriers</w:t>
            </w:r>
          </w:p>
        </w:tc>
      </w:tr>
      <w:tr w:rsidR="008D5EAB" w14:paraId="0AD9B703" w14:textId="77777777">
        <w:tc>
          <w:tcPr>
            <w:tcW w:w="284" w:type="dxa"/>
            <w:tcBorders>
              <w:bottom w:val="single" w:sz="2" w:space="0" w:color="auto"/>
              <w:right w:val="nil"/>
            </w:tcBorders>
          </w:tcPr>
          <w:p w14:paraId="111F5A17" w14:textId="77777777" w:rsidR="008D5EAB" w:rsidRDefault="008D5EAB" w:rsidP="002F487F">
            <w:pPr>
              <w:pStyle w:val="TableText"/>
              <w:rPr>
                <w:rFonts w:ascii="Basic Sans Light" w:hAnsi="Basic Sans Light"/>
              </w:rPr>
            </w:pPr>
          </w:p>
        </w:tc>
        <w:tc>
          <w:tcPr>
            <w:tcW w:w="283" w:type="dxa"/>
            <w:tcBorders>
              <w:left w:val="nil"/>
              <w:bottom w:val="single" w:sz="2" w:space="0" w:color="auto"/>
              <w:right w:val="nil"/>
            </w:tcBorders>
          </w:tcPr>
          <w:p w14:paraId="7ACFD7FA" w14:textId="77777777" w:rsidR="008D5EAB" w:rsidRDefault="008D5EAB" w:rsidP="002F487F">
            <w:pPr>
              <w:pStyle w:val="TableText"/>
              <w:rPr>
                <w:rFonts w:ascii="Basic Sans Light" w:hAnsi="Basic Sans Light"/>
              </w:rPr>
            </w:pPr>
          </w:p>
        </w:tc>
        <w:tc>
          <w:tcPr>
            <w:tcW w:w="4070" w:type="dxa"/>
            <w:tcBorders>
              <w:left w:val="nil"/>
              <w:bottom w:val="single" w:sz="2" w:space="0" w:color="auto"/>
            </w:tcBorders>
          </w:tcPr>
          <w:p w14:paraId="129D97CC" w14:textId="77777777" w:rsidR="008D5EAB" w:rsidRDefault="008D5EAB" w:rsidP="002F487F">
            <w:pPr>
              <w:pStyle w:val="TableText"/>
              <w:rPr>
                <w:rFonts w:ascii="Basic Sans Light" w:hAnsi="Basic Sans Light"/>
              </w:rPr>
            </w:pPr>
            <w:r w:rsidRPr="007A505E">
              <w:rPr>
                <w:rFonts w:ascii="Basic Sans Light" w:hAnsi="Basic Sans Light"/>
              </w:rPr>
              <w:t xml:space="preserve"> Whānau determine, design and co-create supports and services that whakamana the aspirations of Māori</w:t>
            </w:r>
          </w:p>
        </w:tc>
        <w:tc>
          <w:tcPr>
            <w:tcW w:w="313" w:type="dxa"/>
            <w:tcBorders>
              <w:bottom w:val="single" w:sz="2" w:space="0" w:color="auto"/>
              <w:right w:val="nil"/>
            </w:tcBorders>
          </w:tcPr>
          <w:p w14:paraId="42D517E5" w14:textId="77777777" w:rsidR="008D5EAB" w:rsidRDefault="008D5EAB" w:rsidP="002F487F">
            <w:pPr>
              <w:pStyle w:val="TableText"/>
              <w:rPr>
                <w:rFonts w:ascii="Basic Sans Light" w:hAnsi="Basic Sans Light"/>
              </w:rPr>
            </w:pPr>
          </w:p>
        </w:tc>
        <w:tc>
          <w:tcPr>
            <w:tcW w:w="295" w:type="dxa"/>
            <w:tcBorders>
              <w:left w:val="nil"/>
              <w:bottom w:val="single" w:sz="2" w:space="0" w:color="auto"/>
              <w:right w:val="nil"/>
            </w:tcBorders>
          </w:tcPr>
          <w:p w14:paraId="04027B2B" w14:textId="77777777" w:rsidR="008D5EAB" w:rsidRDefault="008D5EAB" w:rsidP="002F487F">
            <w:pPr>
              <w:pStyle w:val="TableText"/>
              <w:rPr>
                <w:rFonts w:ascii="Basic Sans Light" w:hAnsi="Basic Sans Light"/>
              </w:rPr>
            </w:pPr>
          </w:p>
        </w:tc>
        <w:tc>
          <w:tcPr>
            <w:tcW w:w="3785" w:type="dxa"/>
            <w:tcBorders>
              <w:left w:val="nil"/>
              <w:bottom w:val="single" w:sz="2" w:space="0" w:color="auto"/>
            </w:tcBorders>
          </w:tcPr>
          <w:p w14:paraId="6E3BE554" w14:textId="77777777" w:rsidR="008D5EAB" w:rsidRDefault="008D5EAB" w:rsidP="002F487F">
            <w:pPr>
              <w:pStyle w:val="TableText"/>
              <w:rPr>
                <w:rFonts w:ascii="Basic Sans Light" w:hAnsi="Basic Sans Light"/>
              </w:rPr>
            </w:pPr>
          </w:p>
        </w:tc>
      </w:tr>
      <w:tr w:rsidR="008D5EAB" w14:paraId="63C7B5A5" w14:textId="77777777" w:rsidTr="00D16702">
        <w:tc>
          <w:tcPr>
            <w:tcW w:w="284" w:type="dxa"/>
            <w:tcBorders>
              <w:bottom w:val="single" w:sz="2" w:space="0" w:color="auto"/>
              <w:right w:val="nil"/>
            </w:tcBorders>
          </w:tcPr>
          <w:p w14:paraId="5D4EAC5B" w14:textId="77777777" w:rsidR="008D5EAB" w:rsidRDefault="008D5EAB" w:rsidP="002F487F">
            <w:pPr>
              <w:pStyle w:val="TableText"/>
              <w:rPr>
                <w:rFonts w:ascii="Basic Sans Light" w:hAnsi="Basic Sans Light"/>
              </w:rPr>
            </w:pPr>
          </w:p>
        </w:tc>
        <w:tc>
          <w:tcPr>
            <w:tcW w:w="283" w:type="dxa"/>
            <w:tcBorders>
              <w:left w:val="nil"/>
              <w:bottom w:val="single" w:sz="2" w:space="0" w:color="auto"/>
              <w:right w:val="nil"/>
            </w:tcBorders>
          </w:tcPr>
          <w:p w14:paraId="2E36F6BA" w14:textId="77777777" w:rsidR="008D5EAB" w:rsidRDefault="008D5EAB" w:rsidP="002F487F">
            <w:pPr>
              <w:pStyle w:val="TableText"/>
              <w:rPr>
                <w:rFonts w:ascii="Basic Sans Light" w:hAnsi="Basic Sans Light"/>
              </w:rPr>
            </w:pPr>
          </w:p>
        </w:tc>
        <w:tc>
          <w:tcPr>
            <w:tcW w:w="4070" w:type="dxa"/>
            <w:tcBorders>
              <w:left w:val="nil"/>
              <w:bottom w:val="single" w:sz="2" w:space="0" w:color="auto"/>
            </w:tcBorders>
          </w:tcPr>
          <w:p w14:paraId="0DA404FB" w14:textId="77777777" w:rsidR="008D5EAB" w:rsidRDefault="008D5EAB" w:rsidP="002F487F">
            <w:pPr>
              <w:pStyle w:val="TableText"/>
              <w:rPr>
                <w:rFonts w:ascii="Basic Sans Light" w:hAnsi="Basic Sans Light"/>
              </w:rPr>
            </w:pPr>
            <w:r w:rsidRPr="007A505E">
              <w:rPr>
                <w:rFonts w:ascii="Basic Sans Light" w:hAnsi="Basic Sans Light"/>
              </w:rPr>
              <w:t xml:space="preserve"> Whānau lead trauma-responsive approaches to develop and strengthen resilience</w:t>
            </w:r>
          </w:p>
        </w:tc>
        <w:tc>
          <w:tcPr>
            <w:tcW w:w="313" w:type="dxa"/>
            <w:tcBorders>
              <w:bottom w:val="single" w:sz="2" w:space="0" w:color="auto"/>
              <w:right w:val="nil"/>
            </w:tcBorders>
          </w:tcPr>
          <w:p w14:paraId="685FC8A1" w14:textId="77777777" w:rsidR="008D5EAB" w:rsidRDefault="008D5EAB" w:rsidP="002F487F">
            <w:pPr>
              <w:pStyle w:val="TableText"/>
              <w:rPr>
                <w:rFonts w:ascii="Basic Sans Light" w:hAnsi="Basic Sans Light"/>
              </w:rPr>
            </w:pPr>
          </w:p>
        </w:tc>
        <w:tc>
          <w:tcPr>
            <w:tcW w:w="295" w:type="dxa"/>
            <w:tcBorders>
              <w:left w:val="nil"/>
              <w:bottom w:val="single" w:sz="2" w:space="0" w:color="auto"/>
              <w:right w:val="nil"/>
            </w:tcBorders>
          </w:tcPr>
          <w:p w14:paraId="3DA0B236" w14:textId="77777777" w:rsidR="008D5EAB" w:rsidRDefault="008D5EAB" w:rsidP="002F487F">
            <w:pPr>
              <w:pStyle w:val="TableText"/>
              <w:rPr>
                <w:rFonts w:ascii="Basic Sans Light" w:hAnsi="Basic Sans Light"/>
              </w:rPr>
            </w:pPr>
          </w:p>
        </w:tc>
        <w:tc>
          <w:tcPr>
            <w:tcW w:w="3785" w:type="dxa"/>
            <w:tcBorders>
              <w:left w:val="nil"/>
              <w:bottom w:val="single" w:sz="2" w:space="0" w:color="auto"/>
            </w:tcBorders>
          </w:tcPr>
          <w:p w14:paraId="58E1A6C5" w14:textId="77777777" w:rsidR="008D5EAB" w:rsidRDefault="008D5EAB" w:rsidP="002F487F">
            <w:pPr>
              <w:pStyle w:val="TableText"/>
              <w:rPr>
                <w:rFonts w:ascii="Basic Sans Light" w:hAnsi="Basic Sans Light"/>
              </w:rPr>
            </w:pPr>
          </w:p>
        </w:tc>
      </w:tr>
    </w:tbl>
    <w:p w14:paraId="7F907239" w14:textId="77777777" w:rsidR="008D5EAB" w:rsidRDefault="008D5EAB" w:rsidP="008D5EAB">
      <w:pPr>
        <w:pStyle w:val="TableText"/>
        <w:rPr>
          <w:rFonts w:ascii="Basic Sans Light" w:hAnsi="Basic Sans Light"/>
        </w:rPr>
      </w:pPr>
    </w:p>
    <w:p w14:paraId="637AFB80" w14:textId="1D81375C" w:rsidR="008D5EAB" w:rsidRPr="000A2934" w:rsidRDefault="008D5EAB" w:rsidP="008D5EAB">
      <w:pPr>
        <w:pStyle w:val="Numberedparagraphs"/>
        <w:spacing w:before="60"/>
        <w:ind w:left="0" w:firstLine="0"/>
        <w:rPr>
          <w:rFonts w:ascii="Basic Sans Light" w:eastAsia="Times New Roman" w:hAnsi="Basic Sans Light" w:cs="Arial"/>
          <w:color w:val="000000" w:themeColor="text1"/>
          <w:szCs w:val="24"/>
          <w:lang w:val="mi-NZ" w:eastAsia="en-NZ"/>
        </w:rPr>
      </w:pPr>
      <w:r w:rsidRPr="000A2934">
        <w:rPr>
          <w:rFonts w:ascii="Basic Sans Light" w:hAnsi="Basic Sans Light"/>
          <w:szCs w:val="24"/>
        </w:rPr>
        <w:t xml:space="preserve">This </w:t>
      </w:r>
      <w:r>
        <w:rPr>
          <w:rFonts w:ascii="Basic Sans Light" w:hAnsi="Basic Sans Light"/>
          <w:szCs w:val="24"/>
        </w:rPr>
        <w:t xml:space="preserve">process </w:t>
      </w:r>
      <w:r w:rsidRPr="000A2934">
        <w:rPr>
          <w:rFonts w:ascii="Basic Sans Light" w:hAnsi="Basic Sans Light"/>
          <w:szCs w:val="24"/>
        </w:rPr>
        <w:t xml:space="preserve">resulted in the </w:t>
      </w:r>
      <w:r w:rsidR="00F4140B">
        <w:rPr>
          <w:rFonts w:ascii="Basic Sans Light" w:hAnsi="Basic Sans Light"/>
          <w:szCs w:val="24"/>
        </w:rPr>
        <w:t>longlist</w:t>
      </w:r>
      <w:r w:rsidRPr="000A2934">
        <w:rPr>
          <w:rFonts w:ascii="Basic Sans Light" w:hAnsi="Basic Sans Light"/>
          <w:szCs w:val="24"/>
        </w:rPr>
        <w:t xml:space="preserve"> sent to the TAN in September 2022 of </w:t>
      </w:r>
      <w:r w:rsidRPr="000A2934">
        <w:rPr>
          <w:rFonts w:ascii="Basic Sans Light" w:hAnsi="Basic Sans Light"/>
          <w:b/>
          <w:bCs/>
          <w:szCs w:val="24"/>
        </w:rPr>
        <w:t>787</w:t>
      </w:r>
      <w:r w:rsidRPr="00017146">
        <w:rPr>
          <w:rFonts w:ascii="Basic Sans Light" w:hAnsi="Basic Sans Light"/>
          <w:szCs w:val="24"/>
        </w:rPr>
        <w:t xml:space="preserve"> </w:t>
      </w:r>
      <w:r w:rsidRPr="00297AED">
        <w:rPr>
          <w:rFonts w:ascii="Basic Sans Light" w:hAnsi="Basic Sans Light"/>
          <w:b/>
          <w:bCs/>
          <w:szCs w:val="24"/>
        </w:rPr>
        <w:t>potential measures</w:t>
      </w:r>
      <w:r>
        <w:rPr>
          <w:rFonts w:ascii="Basic Sans Light" w:hAnsi="Basic Sans Light"/>
          <w:szCs w:val="24"/>
        </w:rPr>
        <w:t xml:space="preserve"> from over </w:t>
      </w:r>
      <w:r w:rsidRPr="00297AED">
        <w:rPr>
          <w:rFonts w:ascii="Basic Sans Light" w:hAnsi="Basic Sans Light"/>
          <w:b/>
          <w:bCs/>
          <w:szCs w:val="24"/>
        </w:rPr>
        <w:t>150 data sources</w:t>
      </w:r>
      <w:r>
        <w:rPr>
          <w:rFonts w:ascii="Basic Sans Light" w:hAnsi="Basic Sans Light"/>
          <w:szCs w:val="24"/>
        </w:rPr>
        <w:t>. This result included potential tāngata whaiora outcome measures.</w:t>
      </w:r>
    </w:p>
    <w:p w14:paraId="000F5504" w14:textId="77777777" w:rsidR="008D5EAB" w:rsidRDefault="008D5EAB" w:rsidP="008D5EAB">
      <w:pPr>
        <w:suppressAutoHyphens/>
        <w:autoSpaceDE w:val="0"/>
        <w:autoSpaceDN w:val="0"/>
        <w:adjustRightInd w:val="0"/>
        <w:textAlignment w:val="center"/>
        <w:rPr>
          <w:lang w:val="mi-NZ"/>
        </w:rPr>
      </w:pPr>
      <w:r>
        <w:t>Work completed by the Initial Commission in late 2020 resulted in the beginning of a t</w:t>
      </w:r>
      <w:r>
        <w:rPr>
          <w:lang w:val="mi-NZ"/>
        </w:rPr>
        <w:t>āngata whaiora outcome measures</w:t>
      </w:r>
      <w:r>
        <w:t xml:space="preserve"> data stocktake. </w:t>
      </w:r>
      <w:r w:rsidRPr="00EF444B">
        <w:rPr>
          <w:lang w:val="en-US"/>
        </w:rPr>
        <w:t xml:space="preserve">There are significantly </w:t>
      </w:r>
      <w:r>
        <w:rPr>
          <w:lang w:val="en-US"/>
        </w:rPr>
        <w:t>fewer</w:t>
      </w:r>
      <w:r w:rsidRPr="00EF444B">
        <w:rPr>
          <w:lang w:val="en-US"/>
        </w:rPr>
        <w:t xml:space="preserve"> existing, common, or collection at</w:t>
      </w:r>
      <w:r>
        <w:rPr>
          <w:lang w:val="en-US"/>
        </w:rPr>
        <w:t>-</w:t>
      </w:r>
      <w:r w:rsidRPr="00EF444B">
        <w:rPr>
          <w:lang w:val="en-US"/>
        </w:rPr>
        <w:t xml:space="preserve">scale </w:t>
      </w:r>
      <w:r w:rsidRPr="00EF444B">
        <w:rPr>
          <w:bCs/>
        </w:rPr>
        <w:t>data sources</w:t>
      </w:r>
      <w:r>
        <w:rPr>
          <w:bCs/>
        </w:rPr>
        <w:t xml:space="preserve"> for tāngata whaiora outcome measures</w:t>
      </w:r>
      <w:r w:rsidRPr="00EF444B">
        <w:rPr>
          <w:bCs/>
        </w:rPr>
        <w:t xml:space="preserve"> compared to population indicators</w:t>
      </w:r>
      <w:r>
        <w:rPr>
          <w:bCs/>
        </w:rPr>
        <w:t xml:space="preserve"> or process and structure measures</w:t>
      </w:r>
      <w:r w:rsidRPr="00EF444B">
        <w:rPr>
          <w:bCs/>
          <w:vertAlign w:val="superscript"/>
        </w:rPr>
        <w:footnoteReference w:id="9"/>
      </w:r>
      <w:r w:rsidRPr="00EF444B">
        <w:rPr>
          <w:bCs/>
        </w:rPr>
        <w:t>.</w:t>
      </w:r>
    </w:p>
    <w:p w14:paraId="673D2310" w14:textId="7B6DC26A" w:rsidR="008D5EAB" w:rsidRDefault="008D5EAB" w:rsidP="008D5EAB">
      <w:pPr>
        <w:pStyle w:val="Heading2"/>
        <w:rPr>
          <w:rFonts w:eastAsia="Times New Roman"/>
          <w:lang w:val="mi-NZ" w:eastAsia="en-NZ"/>
        </w:rPr>
      </w:pPr>
      <w:r>
        <w:rPr>
          <w:rFonts w:eastAsia="Times New Roman"/>
          <w:lang w:val="mi-NZ" w:eastAsia="en-NZ"/>
        </w:rPr>
        <w:t xml:space="preserve">Steps 7 and 8 - Expert review of the </w:t>
      </w:r>
      <w:r w:rsidR="00F4140B">
        <w:rPr>
          <w:rFonts w:eastAsia="Times New Roman"/>
          <w:lang w:val="mi-NZ" w:eastAsia="en-NZ"/>
        </w:rPr>
        <w:t>longlist</w:t>
      </w:r>
    </w:p>
    <w:p w14:paraId="2F7707E3" w14:textId="6AA2B18B" w:rsidR="008D5EAB" w:rsidRPr="000A2934" w:rsidRDefault="008D5EAB" w:rsidP="008D5EAB">
      <w:pPr>
        <w:pStyle w:val="Numberedparagraphs"/>
        <w:spacing w:before="60"/>
        <w:ind w:left="0" w:firstLine="0"/>
        <w:rPr>
          <w:rFonts w:ascii="Basic Sans Light" w:eastAsia="Times New Roman" w:hAnsi="Basic Sans Light" w:cs="Arial"/>
          <w:color w:val="000000" w:themeColor="text1"/>
          <w:szCs w:val="24"/>
          <w:lang w:val="mi-NZ" w:eastAsia="en-NZ"/>
        </w:rPr>
      </w:pPr>
      <w:r w:rsidRPr="000A2934">
        <w:rPr>
          <w:rFonts w:ascii="Basic Sans Light" w:hAnsi="Basic Sans Light"/>
          <w:szCs w:val="24"/>
        </w:rPr>
        <w:t xml:space="preserve">The TAN </w:t>
      </w:r>
      <w:r>
        <w:rPr>
          <w:rFonts w:ascii="Basic Sans Light" w:hAnsi="Basic Sans Light"/>
          <w:szCs w:val="24"/>
        </w:rPr>
        <w:t xml:space="preserve">individually </w:t>
      </w:r>
      <w:r w:rsidRPr="000A2934">
        <w:rPr>
          <w:rFonts w:ascii="Basic Sans Light" w:hAnsi="Basic Sans Light"/>
          <w:szCs w:val="24"/>
        </w:rPr>
        <w:t xml:space="preserve">reviewed the </w:t>
      </w:r>
      <w:r w:rsidR="00F4140B">
        <w:rPr>
          <w:rFonts w:ascii="Basic Sans Light" w:hAnsi="Basic Sans Light"/>
          <w:szCs w:val="24"/>
        </w:rPr>
        <w:t>longlist</w:t>
      </w:r>
      <w:r w:rsidRPr="000A2934">
        <w:rPr>
          <w:rFonts w:ascii="Basic Sans Light" w:hAnsi="Basic Sans Light"/>
          <w:szCs w:val="24"/>
        </w:rPr>
        <w:t xml:space="preserve"> and suggested aggregating some measures and adding some new ones. Some data gaps were also noted.</w:t>
      </w:r>
    </w:p>
    <w:p w14:paraId="0476663C" w14:textId="217C63F5" w:rsidR="008D5EAB" w:rsidRDefault="008D5EAB" w:rsidP="008D5EAB">
      <w:pPr>
        <w:pStyle w:val="Numberedparagraphs"/>
        <w:spacing w:before="60"/>
        <w:ind w:left="0" w:firstLine="0"/>
        <w:rPr>
          <w:rFonts w:ascii="Basic Sans Light" w:hAnsi="Basic Sans Light"/>
          <w:szCs w:val="24"/>
        </w:rPr>
      </w:pPr>
      <w:r w:rsidRPr="002D7F14">
        <w:rPr>
          <w:rFonts w:ascii="Basic Sans Light" w:hAnsi="Basic Sans Light"/>
          <w:szCs w:val="24"/>
        </w:rPr>
        <w:t xml:space="preserve">Importance for Māori and importance for people with lived experience of </w:t>
      </w:r>
      <w:r>
        <w:rPr>
          <w:rFonts w:ascii="Basic Sans Light" w:hAnsi="Basic Sans Light"/>
          <w:szCs w:val="24"/>
        </w:rPr>
        <w:t>mental health and addiction</w:t>
      </w:r>
      <w:r w:rsidRPr="002D7F14">
        <w:rPr>
          <w:rFonts w:ascii="Basic Sans Light" w:hAnsi="Basic Sans Light"/>
          <w:szCs w:val="24"/>
        </w:rPr>
        <w:t>, are prioritised criteria for Te Hiringa Mahara</w:t>
      </w:r>
      <w:r>
        <w:rPr>
          <w:rFonts w:ascii="Basic Sans Light" w:hAnsi="Basic Sans Light"/>
          <w:szCs w:val="24"/>
        </w:rPr>
        <w:t>.</w:t>
      </w:r>
      <w:r w:rsidRPr="002D7F14">
        <w:rPr>
          <w:rFonts w:ascii="Basic Sans Light" w:hAnsi="Basic Sans Light"/>
          <w:szCs w:val="24"/>
        </w:rPr>
        <w:t xml:space="preserve"> </w:t>
      </w:r>
      <w:r>
        <w:rPr>
          <w:rFonts w:ascii="Basic Sans Light" w:hAnsi="Basic Sans Light"/>
          <w:szCs w:val="24"/>
        </w:rPr>
        <w:t>M</w:t>
      </w:r>
      <w:r w:rsidRPr="002D7F14">
        <w:rPr>
          <w:rFonts w:ascii="Basic Sans Light" w:hAnsi="Basic Sans Light"/>
          <w:szCs w:val="24"/>
        </w:rPr>
        <w:t xml:space="preserve">embers from the TAN self-nominated for the Māori roopū and </w:t>
      </w:r>
      <w:r w:rsidR="00915B92">
        <w:rPr>
          <w:rFonts w:ascii="Basic Sans Light" w:hAnsi="Basic Sans Light"/>
          <w:szCs w:val="24"/>
        </w:rPr>
        <w:t>l</w:t>
      </w:r>
      <w:r w:rsidRPr="002D7F14">
        <w:rPr>
          <w:rFonts w:ascii="Basic Sans Light" w:hAnsi="Basic Sans Light"/>
          <w:szCs w:val="24"/>
        </w:rPr>
        <w:t>ived experience group to review the potential measures from these perspectives.</w:t>
      </w:r>
    </w:p>
    <w:p w14:paraId="4D3CCC4F" w14:textId="77777777" w:rsidR="008D5EAB" w:rsidRDefault="008D5EAB" w:rsidP="008D5EAB">
      <w:pPr>
        <w:pStyle w:val="Heading3"/>
      </w:pPr>
      <w:r>
        <w:t>Te Ao Māori perspective</w:t>
      </w:r>
    </w:p>
    <w:p w14:paraId="3076DB9A" w14:textId="1E8B8BAD" w:rsidR="008D5EAB" w:rsidRDefault="008D5EAB" w:rsidP="008D5EAB">
      <w:r w:rsidRPr="002D7F14">
        <w:rPr>
          <w:szCs w:val="24"/>
        </w:rPr>
        <w:t xml:space="preserve">Te Ao Māori perspective for He Ara Āwhina has been developed by Māori, with Māori, for Māori. The </w:t>
      </w:r>
      <w:r>
        <w:rPr>
          <w:szCs w:val="24"/>
        </w:rPr>
        <w:t xml:space="preserve">He Ara Āwhina </w:t>
      </w:r>
      <w:r w:rsidRPr="002D7F14">
        <w:rPr>
          <w:szCs w:val="24"/>
        </w:rPr>
        <w:t>EAG</w:t>
      </w:r>
      <w:r w:rsidRPr="00BC3A7E">
        <w:rPr>
          <w:lang w:val="mi-NZ"/>
        </w:rPr>
        <w:t xml:space="preserve"> </w:t>
      </w:r>
      <w:r>
        <w:rPr>
          <w:lang w:val="mi-NZ"/>
        </w:rPr>
        <w:t>i</w:t>
      </w:r>
      <w:r w:rsidRPr="00BC3A7E">
        <w:rPr>
          <w:szCs w:val="24"/>
          <w:lang w:val="mi-NZ"/>
        </w:rPr>
        <w:t xml:space="preserve">ncludes a Māori roopū which </w:t>
      </w:r>
      <w:r>
        <w:rPr>
          <w:szCs w:val="24"/>
          <w:lang w:val="mi-NZ"/>
        </w:rPr>
        <w:t>has</w:t>
      </w:r>
      <w:r w:rsidRPr="00BC3A7E">
        <w:rPr>
          <w:szCs w:val="24"/>
          <w:lang w:val="mi-NZ"/>
        </w:rPr>
        <w:t xml:space="preserve"> </w:t>
      </w:r>
      <w:r>
        <w:rPr>
          <w:szCs w:val="24"/>
          <w:lang w:val="mi-NZ"/>
        </w:rPr>
        <w:t xml:space="preserve">provided oversight and advice for </w:t>
      </w:r>
      <w:r w:rsidRPr="00BC3A7E">
        <w:rPr>
          <w:szCs w:val="24"/>
          <w:lang w:val="mi-NZ"/>
        </w:rPr>
        <w:t>the development of Te Ao Māori perspective for He Ara Āwhina</w:t>
      </w:r>
      <w:r w:rsidRPr="002D7F14">
        <w:rPr>
          <w:szCs w:val="24"/>
        </w:rPr>
        <w:t xml:space="preserve">. Similarly, Ngā Ringa Raupā, comprised of Te Hiringa Mahara </w:t>
      </w:r>
      <w:r w:rsidRPr="00D81D64">
        <w:rPr>
          <w:szCs w:val="24"/>
        </w:rPr>
        <w:t xml:space="preserve">Kaitohu Māori | </w:t>
      </w:r>
      <w:r w:rsidRPr="00D81D64">
        <w:rPr>
          <w:szCs w:val="24"/>
        </w:rPr>
        <w:lastRenderedPageBreak/>
        <w:t xml:space="preserve">Director Māori and Māori staff, also provided oversight and collective expertise on Te Tiriti o Waitangi, Māori </w:t>
      </w:r>
      <w:r w:rsidR="00915B92">
        <w:rPr>
          <w:szCs w:val="24"/>
        </w:rPr>
        <w:t>e</w:t>
      </w:r>
      <w:r w:rsidRPr="00D81D64">
        <w:rPr>
          <w:szCs w:val="24"/>
        </w:rPr>
        <w:t>quity, and improving Māori health outcomes</w:t>
      </w:r>
      <w:r w:rsidRPr="002D7F14">
        <w:t>.</w:t>
      </w:r>
    </w:p>
    <w:p w14:paraId="5AD361CF" w14:textId="3C967D0D" w:rsidR="008D5EAB" w:rsidRPr="002D7F14" w:rsidRDefault="008D5EAB" w:rsidP="008D5EAB">
      <w:r w:rsidRPr="002D7F14">
        <w:t xml:space="preserve">Ngā Ringa Raupā and the </w:t>
      </w:r>
      <w:r>
        <w:t xml:space="preserve">EAG </w:t>
      </w:r>
      <w:r w:rsidRPr="002D7F14">
        <w:t xml:space="preserve">Māori </w:t>
      </w:r>
      <w:r>
        <w:t>roop</w:t>
      </w:r>
      <w:r>
        <w:rPr>
          <w:lang w:val="mi-NZ"/>
        </w:rPr>
        <w:t>ū</w:t>
      </w:r>
      <w:r w:rsidRPr="002D7F14">
        <w:t xml:space="preserve"> both supported the separate Māori engagement and consultation process.</w:t>
      </w:r>
      <w:r>
        <w:t xml:space="preserve"> </w:t>
      </w:r>
      <w:r w:rsidRPr="00463E69">
        <w:rPr>
          <w:lang w:val="mi-NZ"/>
        </w:rPr>
        <w:t xml:space="preserve">Through a dedicated Māori engagement team, we gathered </w:t>
      </w:r>
      <w:r>
        <w:rPr>
          <w:lang w:val="mi-NZ"/>
        </w:rPr>
        <w:t>vital</w:t>
      </w:r>
      <w:r w:rsidRPr="00463E69">
        <w:rPr>
          <w:lang w:val="mi-NZ"/>
        </w:rPr>
        <w:t xml:space="preserve"> input </w:t>
      </w:r>
      <w:r>
        <w:rPr>
          <w:lang w:val="mi-NZ"/>
        </w:rPr>
        <w:t>from</w:t>
      </w:r>
      <w:r w:rsidRPr="00463E69">
        <w:rPr>
          <w:lang w:val="mi-NZ"/>
        </w:rPr>
        <w:t xml:space="preserve"> Māori, including tāngata whaiora, whānau, and </w:t>
      </w:r>
      <w:r w:rsidR="00915B92">
        <w:rPr>
          <w:lang w:val="mi-NZ"/>
        </w:rPr>
        <w:t>k</w:t>
      </w:r>
      <w:r w:rsidRPr="00463E69">
        <w:rPr>
          <w:lang w:val="mi-NZ"/>
        </w:rPr>
        <w:t>aupapa Māori supports and services</w:t>
      </w:r>
      <w:r>
        <w:rPr>
          <w:lang w:val="mi-NZ"/>
        </w:rPr>
        <w:t xml:space="preserve"> before finalising He Ara Āwhina.</w:t>
      </w:r>
    </w:p>
    <w:p w14:paraId="7A5C2B3F" w14:textId="22B7BAAE" w:rsidR="008D5EAB" w:rsidRPr="002D7F14" w:rsidRDefault="008D5EAB" w:rsidP="008D5EAB">
      <w:pPr>
        <w:pStyle w:val="Numberedparagraphs"/>
        <w:spacing w:before="60"/>
        <w:ind w:left="0" w:firstLine="0"/>
        <w:rPr>
          <w:rFonts w:ascii="Basic Sans Light" w:hAnsi="Basic Sans Light"/>
          <w:szCs w:val="24"/>
        </w:rPr>
      </w:pPr>
      <w:r w:rsidRPr="002D7F14">
        <w:rPr>
          <w:rFonts w:ascii="Basic Sans Light" w:hAnsi="Basic Sans Light"/>
          <w:szCs w:val="24"/>
        </w:rPr>
        <w:t xml:space="preserve">In November 2022 our TAN Māori roopū formed </w:t>
      </w:r>
      <w:r>
        <w:rPr>
          <w:rFonts w:ascii="Basic Sans Light" w:hAnsi="Basic Sans Light"/>
          <w:szCs w:val="24"/>
        </w:rPr>
        <w:t>(including some members of the EAG Māori roopū)</w:t>
      </w:r>
      <w:r w:rsidR="00015F43">
        <w:rPr>
          <w:rFonts w:ascii="Basic Sans Light" w:hAnsi="Basic Sans Light"/>
          <w:szCs w:val="24"/>
        </w:rPr>
        <w:t xml:space="preserve">. The </w:t>
      </w:r>
      <w:r w:rsidR="00015F43" w:rsidRPr="002D7F14">
        <w:rPr>
          <w:rFonts w:ascii="Basic Sans Light" w:hAnsi="Basic Sans Light"/>
          <w:szCs w:val="24"/>
        </w:rPr>
        <w:t>roopū</w:t>
      </w:r>
      <w:r>
        <w:rPr>
          <w:rFonts w:ascii="Basic Sans Light" w:hAnsi="Basic Sans Light"/>
          <w:szCs w:val="24"/>
        </w:rPr>
        <w:t xml:space="preserve"> </w:t>
      </w:r>
      <w:r w:rsidRPr="002D7F14">
        <w:rPr>
          <w:rFonts w:ascii="Basic Sans Light" w:hAnsi="Basic Sans Light"/>
          <w:szCs w:val="24"/>
        </w:rPr>
        <w:t xml:space="preserve">and our Māori data expert, Dr Kahu McClintock, </w:t>
      </w:r>
      <w:r w:rsidR="00D71ED7">
        <w:rPr>
          <w:rFonts w:ascii="Basic Sans Light" w:hAnsi="Basic Sans Light"/>
          <w:szCs w:val="24"/>
        </w:rPr>
        <w:t>worked</w:t>
      </w:r>
      <w:r w:rsidRPr="002D7F14">
        <w:rPr>
          <w:rFonts w:ascii="Basic Sans Light" w:hAnsi="Basic Sans Light"/>
          <w:szCs w:val="24"/>
        </w:rPr>
        <w:t xml:space="preserve"> with Te Hiringa Mahara alongside the TAN Chair, Sharon Shea</w:t>
      </w:r>
      <w:r>
        <w:rPr>
          <w:rFonts w:ascii="Basic Sans Light" w:hAnsi="Basic Sans Light"/>
          <w:szCs w:val="24"/>
        </w:rPr>
        <w:t>,</w:t>
      </w:r>
      <w:r w:rsidRPr="002D7F14">
        <w:rPr>
          <w:rFonts w:ascii="Basic Sans Light" w:hAnsi="Basic Sans Light"/>
          <w:szCs w:val="24"/>
        </w:rPr>
        <w:t xml:space="preserve"> and the project team. The tasks included:</w:t>
      </w:r>
    </w:p>
    <w:p w14:paraId="3CF4030D" w14:textId="6B421129" w:rsidR="008D5EAB" w:rsidRPr="007E6C60" w:rsidRDefault="008D5EAB" w:rsidP="00C8416D">
      <w:pPr>
        <w:pStyle w:val="ListParagraph"/>
        <w:numPr>
          <w:ilvl w:val="0"/>
          <w:numId w:val="7"/>
        </w:numPr>
        <w:spacing w:before="60"/>
        <w:rPr>
          <w:rFonts w:eastAsia="Times New Roman"/>
          <w:color w:val="000000"/>
          <w:szCs w:val="24"/>
        </w:rPr>
      </w:pPr>
      <w:r>
        <w:rPr>
          <w:rFonts w:eastAsia="Times New Roman"/>
          <w:color w:val="000000"/>
          <w:szCs w:val="24"/>
        </w:rPr>
        <w:t>r</w:t>
      </w:r>
      <w:r w:rsidRPr="007E6C60">
        <w:rPr>
          <w:rFonts w:eastAsia="Times New Roman"/>
          <w:color w:val="000000"/>
          <w:szCs w:val="24"/>
        </w:rPr>
        <w:t>eview</w:t>
      </w:r>
      <w:r>
        <w:rPr>
          <w:rFonts w:eastAsia="Times New Roman"/>
          <w:color w:val="000000"/>
          <w:szCs w:val="24"/>
        </w:rPr>
        <w:t>ing</w:t>
      </w:r>
      <w:r w:rsidRPr="007E6C60">
        <w:rPr>
          <w:rFonts w:eastAsia="Times New Roman"/>
          <w:color w:val="000000"/>
          <w:szCs w:val="24"/>
        </w:rPr>
        <w:t xml:space="preserve"> the draft </w:t>
      </w:r>
      <w:r w:rsidR="00F4140B">
        <w:rPr>
          <w:rFonts w:eastAsia="Times New Roman"/>
          <w:color w:val="000000"/>
          <w:szCs w:val="24"/>
        </w:rPr>
        <w:t>longlist</w:t>
      </w:r>
      <w:r>
        <w:rPr>
          <w:rFonts w:eastAsia="Times New Roman"/>
          <w:color w:val="000000"/>
          <w:szCs w:val="24"/>
        </w:rPr>
        <w:t xml:space="preserve"> of m</w:t>
      </w:r>
      <w:r w:rsidRPr="007E6C60">
        <w:rPr>
          <w:rFonts w:eastAsia="Times New Roman"/>
          <w:color w:val="000000"/>
          <w:szCs w:val="24"/>
        </w:rPr>
        <w:t xml:space="preserve">easures, focusing on </w:t>
      </w:r>
      <w:r w:rsidR="00D71ED7">
        <w:rPr>
          <w:rFonts w:eastAsia="Times New Roman"/>
          <w:color w:val="000000"/>
          <w:szCs w:val="24"/>
        </w:rPr>
        <w:t>Te Ao M</w:t>
      </w:r>
      <w:r w:rsidRPr="007E6C60">
        <w:rPr>
          <w:rFonts w:eastAsia="Times New Roman"/>
          <w:color w:val="000000"/>
          <w:szCs w:val="24"/>
          <w:lang w:val="mi-NZ"/>
        </w:rPr>
        <w:t>āori perspective, and c</w:t>
      </w:r>
      <w:r w:rsidRPr="007E6C60">
        <w:rPr>
          <w:rFonts w:eastAsia="Times New Roman"/>
          <w:color w:val="000000"/>
          <w:szCs w:val="24"/>
        </w:rPr>
        <w:t>ontinu</w:t>
      </w:r>
      <w:r>
        <w:rPr>
          <w:rFonts w:eastAsia="Times New Roman"/>
          <w:color w:val="000000"/>
          <w:szCs w:val="24"/>
        </w:rPr>
        <w:t>ing to</w:t>
      </w:r>
      <w:r w:rsidRPr="007E6C60">
        <w:rPr>
          <w:rFonts w:eastAsia="Times New Roman"/>
          <w:color w:val="000000"/>
          <w:szCs w:val="24"/>
        </w:rPr>
        <w:t xml:space="preserve"> develop the </w:t>
      </w:r>
      <w:r>
        <w:rPr>
          <w:rFonts w:eastAsia="Times New Roman"/>
          <w:color w:val="000000"/>
          <w:szCs w:val="24"/>
        </w:rPr>
        <w:t xml:space="preserve">measures </w:t>
      </w:r>
      <w:r w:rsidRPr="007E6C60">
        <w:rPr>
          <w:rFonts w:eastAsia="Times New Roman"/>
          <w:color w:val="000000"/>
          <w:szCs w:val="24"/>
        </w:rPr>
        <w:t>library and thinking</w:t>
      </w:r>
    </w:p>
    <w:p w14:paraId="7825EA9A" w14:textId="77777777" w:rsidR="008D5EAB" w:rsidRDefault="008D5EAB" w:rsidP="00C8416D">
      <w:pPr>
        <w:pStyle w:val="ListParagraph"/>
        <w:numPr>
          <w:ilvl w:val="0"/>
          <w:numId w:val="7"/>
        </w:numPr>
        <w:spacing w:before="60"/>
        <w:rPr>
          <w:rFonts w:eastAsia="Times New Roman"/>
          <w:color w:val="000000"/>
          <w:szCs w:val="24"/>
        </w:rPr>
      </w:pPr>
      <w:r>
        <w:rPr>
          <w:rFonts w:eastAsia="Times New Roman"/>
          <w:color w:val="000000"/>
          <w:szCs w:val="24"/>
        </w:rPr>
        <w:t xml:space="preserve">preparing </w:t>
      </w:r>
      <w:r w:rsidRPr="007E6C60">
        <w:rPr>
          <w:rFonts w:eastAsia="Times New Roman"/>
          <w:color w:val="000000"/>
          <w:szCs w:val="24"/>
        </w:rPr>
        <w:t>for and facilitat</w:t>
      </w:r>
      <w:r>
        <w:rPr>
          <w:rFonts w:eastAsia="Times New Roman"/>
          <w:color w:val="000000"/>
          <w:szCs w:val="24"/>
        </w:rPr>
        <w:t>ing</w:t>
      </w:r>
      <w:r w:rsidRPr="007E6C60">
        <w:rPr>
          <w:rFonts w:eastAsia="Times New Roman"/>
          <w:color w:val="000000"/>
          <w:szCs w:val="24"/>
        </w:rPr>
        <w:t xml:space="preserve"> the TAN Māori roopū to seek their advice on what</w:t>
      </w:r>
      <w:r>
        <w:rPr>
          <w:rFonts w:eastAsia="Times New Roman"/>
          <w:color w:val="000000"/>
          <w:szCs w:val="24"/>
        </w:rPr>
        <w:t xml:space="preserve"> i</w:t>
      </w:r>
      <w:r w:rsidRPr="007E6C60">
        <w:rPr>
          <w:rFonts w:eastAsia="Times New Roman"/>
          <w:color w:val="000000"/>
          <w:szCs w:val="24"/>
        </w:rPr>
        <w:t>s essential for Māori to measure in the Phase 1 suite of measures for 2023</w:t>
      </w:r>
      <w:r>
        <w:rPr>
          <w:rFonts w:eastAsia="Times New Roman"/>
          <w:color w:val="000000"/>
          <w:szCs w:val="24"/>
        </w:rPr>
        <w:t xml:space="preserve"> monitoring</w:t>
      </w:r>
      <w:r w:rsidRPr="007E6C60">
        <w:rPr>
          <w:rFonts w:eastAsia="Times New Roman"/>
          <w:color w:val="000000"/>
          <w:szCs w:val="24"/>
        </w:rPr>
        <w:t xml:space="preserve">. Measures with data that </w:t>
      </w:r>
      <w:r>
        <w:rPr>
          <w:rFonts w:eastAsia="Times New Roman"/>
          <w:color w:val="000000"/>
          <w:szCs w:val="24"/>
        </w:rPr>
        <w:t>are</w:t>
      </w:r>
      <w:r w:rsidRPr="007E6C60">
        <w:rPr>
          <w:rFonts w:eastAsia="Times New Roman"/>
          <w:color w:val="000000"/>
          <w:szCs w:val="24"/>
        </w:rPr>
        <w:t xml:space="preserve"> nationally consistent and available now were prioritised</w:t>
      </w:r>
    </w:p>
    <w:p w14:paraId="61A610D3" w14:textId="77777777" w:rsidR="008D5EAB" w:rsidRPr="007E6C60" w:rsidRDefault="008D5EAB" w:rsidP="00C8416D">
      <w:pPr>
        <w:pStyle w:val="ListParagraph"/>
        <w:numPr>
          <w:ilvl w:val="0"/>
          <w:numId w:val="7"/>
        </w:numPr>
        <w:spacing w:before="60"/>
        <w:rPr>
          <w:rFonts w:eastAsia="Times New Roman"/>
          <w:color w:val="000000"/>
          <w:szCs w:val="24"/>
        </w:rPr>
      </w:pPr>
      <w:r>
        <w:rPr>
          <w:rFonts w:eastAsia="Times New Roman"/>
          <w:color w:val="000000"/>
          <w:szCs w:val="24"/>
        </w:rPr>
        <w:t>compiling a</w:t>
      </w:r>
      <w:r w:rsidRPr="007E6C60">
        <w:rPr>
          <w:rFonts w:eastAsia="Times New Roman"/>
          <w:color w:val="000000"/>
          <w:szCs w:val="24"/>
        </w:rPr>
        <w:t>dvice on future expectations, e.g., what should be measured for Māori</w:t>
      </w:r>
    </w:p>
    <w:p w14:paraId="3AE06AA9" w14:textId="3455FA9F" w:rsidR="008D5EAB" w:rsidRPr="007E6C60" w:rsidRDefault="008D5EAB" w:rsidP="00C8416D">
      <w:pPr>
        <w:pStyle w:val="ListParagraph"/>
        <w:numPr>
          <w:ilvl w:val="0"/>
          <w:numId w:val="7"/>
        </w:numPr>
        <w:spacing w:after="0"/>
        <w:rPr>
          <w:rFonts w:eastAsia="Times New Roman"/>
          <w:color w:val="000000"/>
          <w:szCs w:val="24"/>
        </w:rPr>
      </w:pPr>
      <w:r>
        <w:rPr>
          <w:rFonts w:eastAsia="Times New Roman"/>
          <w:color w:val="000000"/>
          <w:szCs w:val="24"/>
        </w:rPr>
        <w:t>s</w:t>
      </w:r>
      <w:r w:rsidRPr="007E6C60">
        <w:rPr>
          <w:rFonts w:eastAsia="Times New Roman"/>
          <w:color w:val="000000"/>
          <w:szCs w:val="24"/>
        </w:rPr>
        <w:t xml:space="preserve">ummary information from the TAN Māori roopū advice was to be combined with the </w:t>
      </w:r>
      <w:r w:rsidR="0049745C">
        <w:rPr>
          <w:rFonts w:eastAsia="Times New Roman"/>
          <w:color w:val="000000"/>
          <w:szCs w:val="24"/>
        </w:rPr>
        <w:t>l</w:t>
      </w:r>
      <w:r w:rsidRPr="007E6C60">
        <w:rPr>
          <w:rFonts w:eastAsia="Times New Roman"/>
          <w:color w:val="000000"/>
          <w:szCs w:val="24"/>
        </w:rPr>
        <w:t>ived experience sub-group advice</w:t>
      </w:r>
      <w:r>
        <w:rPr>
          <w:rFonts w:eastAsia="Times New Roman"/>
          <w:color w:val="000000"/>
          <w:szCs w:val="24"/>
        </w:rPr>
        <w:t>;</w:t>
      </w:r>
      <w:r w:rsidRPr="007E6C60">
        <w:rPr>
          <w:rFonts w:eastAsia="Times New Roman"/>
          <w:color w:val="000000"/>
          <w:szCs w:val="24"/>
        </w:rPr>
        <w:t xml:space="preserve"> other criteria were </w:t>
      </w:r>
      <w:r>
        <w:rPr>
          <w:rFonts w:eastAsia="Times New Roman"/>
          <w:color w:val="000000"/>
          <w:szCs w:val="24"/>
        </w:rPr>
        <w:t xml:space="preserve">also </w:t>
      </w:r>
      <w:r w:rsidRPr="007E6C60">
        <w:rPr>
          <w:rFonts w:eastAsia="Times New Roman"/>
          <w:color w:val="000000"/>
          <w:szCs w:val="24"/>
        </w:rPr>
        <w:t>to be applied.</w:t>
      </w:r>
    </w:p>
    <w:p w14:paraId="1EE11BF3" w14:textId="2278F339" w:rsidR="008D5EAB" w:rsidRPr="00C12A3E" w:rsidRDefault="008D5EAB" w:rsidP="008D5EAB">
      <w:pPr>
        <w:pStyle w:val="Numberedparagraphs"/>
        <w:spacing w:before="60"/>
        <w:ind w:left="0" w:firstLine="0"/>
        <w:rPr>
          <w:rFonts w:ascii="Basic Sans Light" w:hAnsi="Basic Sans Light"/>
          <w:szCs w:val="24"/>
        </w:rPr>
      </w:pPr>
      <w:r w:rsidRPr="00C12A3E">
        <w:rPr>
          <w:rFonts w:ascii="Basic Sans Light" w:hAnsi="Basic Sans Light"/>
          <w:szCs w:val="24"/>
        </w:rPr>
        <w:t xml:space="preserve">Applying the </w:t>
      </w:r>
      <w:r w:rsidR="00D71ED7">
        <w:rPr>
          <w:rFonts w:ascii="Basic Sans Light" w:hAnsi="Basic Sans Light"/>
          <w:szCs w:val="24"/>
        </w:rPr>
        <w:t>Te Ao M</w:t>
      </w:r>
      <w:r w:rsidRPr="00C12A3E">
        <w:rPr>
          <w:rFonts w:ascii="Basic Sans Light" w:hAnsi="Basic Sans Light"/>
          <w:szCs w:val="24"/>
        </w:rPr>
        <w:t xml:space="preserve">āori perspective of He Ara Āwhina, </w:t>
      </w:r>
      <w:r>
        <w:rPr>
          <w:rFonts w:ascii="Basic Sans Light" w:hAnsi="Basic Sans Light"/>
          <w:szCs w:val="24"/>
        </w:rPr>
        <w:t>three</w:t>
      </w:r>
      <w:r w:rsidRPr="00C12A3E">
        <w:rPr>
          <w:rFonts w:ascii="Basic Sans Light" w:hAnsi="Basic Sans Light"/>
          <w:szCs w:val="24"/>
        </w:rPr>
        <w:t xml:space="preserve"> </w:t>
      </w:r>
      <w:sdt>
        <w:sdtPr>
          <w:rPr>
            <w:rFonts w:ascii="Basic Sans Light" w:hAnsi="Basic Sans Light"/>
            <w:szCs w:val="24"/>
          </w:rPr>
          <w:id w:val="-1854403145"/>
          <w:placeholder>
            <w:docPart w:val="266C16F0BACE42AFADAAAF95B7012166"/>
          </w:placeholder>
        </w:sdtPr>
        <w:sdtContent>
          <w:r w:rsidRPr="00C12A3E">
            <w:rPr>
              <w:rFonts w:ascii="Basic Sans Light" w:hAnsi="Basic Sans Light"/>
              <w:szCs w:val="24"/>
            </w:rPr>
            <w:t>TAN Māori roopū</w:t>
          </w:r>
        </w:sdtContent>
      </w:sdt>
      <w:r w:rsidRPr="00C12A3E">
        <w:rPr>
          <w:rFonts w:ascii="Basic Sans Light" w:hAnsi="Basic Sans Light"/>
          <w:szCs w:val="24"/>
        </w:rPr>
        <w:t xml:space="preserve"> hui confirmed the </w:t>
      </w:r>
      <w:r>
        <w:rPr>
          <w:rFonts w:ascii="Basic Sans Light" w:hAnsi="Basic Sans Light"/>
          <w:szCs w:val="24"/>
        </w:rPr>
        <w:t>o</w:t>
      </w:r>
      <w:r w:rsidRPr="00C12A3E">
        <w:rPr>
          <w:rFonts w:ascii="Basic Sans Light" w:hAnsi="Basic Sans Light"/>
          <w:szCs w:val="24"/>
        </w:rPr>
        <w:t xml:space="preserve">utcome </w:t>
      </w:r>
      <w:r>
        <w:rPr>
          <w:rFonts w:ascii="Basic Sans Light" w:hAnsi="Basic Sans Light"/>
          <w:szCs w:val="24"/>
        </w:rPr>
        <w:t>concept p</w:t>
      </w:r>
      <w:r w:rsidRPr="00C12A3E">
        <w:rPr>
          <w:rFonts w:ascii="Basic Sans Light" w:hAnsi="Basic Sans Light"/>
          <w:szCs w:val="24"/>
        </w:rPr>
        <w:t>riorities and scope for Phase 1 2023 (see</w:t>
      </w:r>
      <w:r w:rsidR="00112562">
        <w:rPr>
          <w:rFonts w:ascii="Basic Sans Light" w:hAnsi="Basic Sans Light"/>
          <w:szCs w:val="24"/>
        </w:rPr>
        <w:t xml:space="preserve"> Appendix 3</w:t>
      </w:r>
      <w:r w:rsidRPr="00C12A3E">
        <w:rPr>
          <w:rFonts w:ascii="Basic Sans Light" w:hAnsi="Basic Sans Light"/>
          <w:szCs w:val="24"/>
        </w:rPr>
        <w:t>)</w:t>
      </w:r>
      <w:r>
        <w:rPr>
          <w:rFonts w:ascii="Basic Sans Light" w:hAnsi="Basic Sans Light"/>
          <w:szCs w:val="24"/>
        </w:rPr>
        <w:t xml:space="preserve">. The </w:t>
      </w:r>
      <w:r w:rsidRPr="00C12A3E">
        <w:rPr>
          <w:rFonts w:ascii="Basic Sans Light" w:hAnsi="Basic Sans Light"/>
          <w:szCs w:val="24"/>
        </w:rPr>
        <w:t>Māori roopū</w:t>
      </w:r>
      <w:r>
        <w:rPr>
          <w:rFonts w:ascii="Basic Sans Light" w:hAnsi="Basic Sans Light"/>
          <w:szCs w:val="24"/>
        </w:rPr>
        <w:t xml:space="preserve"> also considered</w:t>
      </w:r>
      <w:r w:rsidRPr="00C12A3E">
        <w:rPr>
          <w:rFonts w:ascii="Basic Sans Light" w:hAnsi="Basic Sans Light"/>
          <w:szCs w:val="24"/>
        </w:rPr>
        <w:t xml:space="preserve"> </w:t>
      </w:r>
      <w:r w:rsidR="0049745C">
        <w:rPr>
          <w:rFonts w:ascii="Basic Sans Light" w:hAnsi="Basic Sans Light"/>
          <w:szCs w:val="24"/>
        </w:rPr>
        <w:t>l</w:t>
      </w:r>
      <w:r w:rsidRPr="00C12A3E">
        <w:rPr>
          <w:rFonts w:ascii="Basic Sans Light" w:hAnsi="Basic Sans Light"/>
          <w:szCs w:val="24"/>
        </w:rPr>
        <w:t xml:space="preserve">ived </w:t>
      </w:r>
      <w:r>
        <w:rPr>
          <w:rFonts w:ascii="Basic Sans Light" w:hAnsi="Basic Sans Light"/>
          <w:szCs w:val="24"/>
        </w:rPr>
        <w:t>e</w:t>
      </w:r>
      <w:r w:rsidRPr="00C12A3E">
        <w:rPr>
          <w:rFonts w:ascii="Basic Sans Light" w:hAnsi="Basic Sans Light"/>
          <w:szCs w:val="24"/>
        </w:rPr>
        <w:t xml:space="preserve">xperience </w:t>
      </w:r>
      <w:r>
        <w:rPr>
          <w:rFonts w:ascii="Basic Sans Light" w:hAnsi="Basic Sans Light"/>
          <w:szCs w:val="24"/>
        </w:rPr>
        <w:t>o</w:t>
      </w:r>
      <w:r w:rsidRPr="00C12A3E">
        <w:rPr>
          <w:rFonts w:ascii="Basic Sans Light" w:hAnsi="Basic Sans Light"/>
          <w:szCs w:val="24"/>
        </w:rPr>
        <w:t xml:space="preserve">utcome </w:t>
      </w:r>
      <w:r>
        <w:rPr>
          <w:rFonts w:ascii="Basic Sans Light" w:hAnsi="Basic Sans Light"/>
          <w:szCs w:val="24"/>
        </w:rPr>
        <w:t>concept p</w:t>
      </w:r>
      <w:r w:rsidRPr="00C12A3E">
        <w:rPr>
          <w:rFonts w:ascii="Basic Sans Light" w:hAnsi="Basic Sans Light"/>
          <w:szCs w:val="24"/>
        </w:rPr>
        <w:t>riorities</w:t>
      </w:r>
      <w:r>
        <w:rPr>
          <w:rFonts w:ascii="Basic Sans Light" w:hAnsi="Basic Sans Light"/>
          <w:szCs w:val="24"/>
        </w:rPr>
        <w:t xml:space="preserve"> selected for the shared perspective and identified further priorities important to Māori. A final hui looked at the resulting shortlisted measures after applying the prioritisation to the </w:t>
      </w:r>
      <w:r w:rsidR="00F4140B">
        <w:rPr>
          <w:rFonts w:ascii="Basic Sans Light" w:hAnsi="Basic Sans Light"/>
          <w:szCs w:val="24"/>
        </w:rPr>
        <w:t>longlist</w:t>
      </w:r>
      <w:r w:rsidRPr="00C12A3E">
        <w:rPr>
          <w:rFonts w:ascii="Basic Sans Light" w:hAnsi="Basic Sans Light"/>
          <w:szCs w:val="24"/>
        </w:rPr>
        <w:t xml:space="preserve">. </w:t>
      </w:r>
    </w:p>
    <w:p w14:paraId="3CF9F286" w14:textId="78708105" w:rsidR="008D5EAB" w:rsidRDefault="008D5EAB" w:rsidP="008D5EAB">
      <w:pPr>
        <w:pStyle w:val="Numberedparagraphs"/>
        <w:spacing w:before="60"/>
        <w:ind w:left="0" w:firstLine="0"/>
        <w:rPr>
          <w:rFonts w:ascii="Basic Sans Light" w:hAnsi="Basic Sans Light"/>
          <w:szCs w:val="24"/>
        </w:rPr>
      </w:pPr>
      <w:r w:rsidRPr="00C12A3E">
        <w:rPr>
          <w:rFonts w:ascii="Basic Sans Light" w:hAnsi="Basic Sans Light"/>
          <w:szCs w:val="24"/>
        </w:rPr>
        <w:t xml:space="preserve">Measures available identified in the </w:t>
      </w:r>
      <w:r>
        <w:rPr>
          <w:rFonts w:ascii="Basic Sans Light" w:hAnsi="Basic Sans Light"/>
          <w:szCs w:val="24"/>
        </w:rPr>
        <w:t>m</w:t>
      </w:r>
      <w:r w:rsidRPr="00C12A3E">
        <w:rPr>
          <w:rFonts w:ascii="Basic Sans Light" w:hAnsi="Basic Sans Light"/>
          <w:szCs w:val="24"/>
        </w:rPr>
        <w:t xml:space="preserve">easures library for </w:t>
      </w:r>
      <w:r w:rsidR="00D71ED7">
        <w:rPr>
          <w:rFonts w:ascii="Basic Sans Light" w:hAnsi="Basic Sans Light"/>
          <w:szCs w:val="24"/>
        </w:rPr>
        <w:t>Te Ao M</w:t>
      </w:r>
      <w:r w:rsidRPr="00C12A3E">
        <w:rPr>
          <w:rFonts w:ascii="Basic Sans Light" w:hAnsi="Basic Sans Light"/>
          <w:szCs w:val="24"/>
        </w:rPr>
        <w:t>āori perspective were discussed</w:t>
      </w:r>
      <w:r>
        <w:rPr>
          <w:rFonts w:ascii="Basic Sans Light" w:hAnsi="Basic Sans Light"/>
          <w:szCs w:val="24"/>
        </w:rPr>
        <w:t xml:space="preserve">, </w:t>
      </w:r>
      <w:r w:rsidRPr="00C12A3E">
        <w:rPr>
          <w:rFonts w:ascii="Basic Sans Light" w:hAnsi="Basic Sans Light"/>
          <w:szCs w:val="24"/>
        </w:rPr>
        <w:t xml:space="preserve">and </w:t>
      </w:r>
      <w:r>
        <w:rPr>
          <w:rFonts w:ascii="Basic Sans Light" w:hAnsi="Basic Sans Light"/>
          <w:szCs w:val="24"/>
        </w:rPr>
        <w:t xml:space="preserve">the roopū </w:t>
      </w:r>
      <w:r w:rsidRPr="00C12A3E">
        <w:rPr>
          <w:rFonts w:ascii="Basic Sans Light" w:hAnsi="Basic Sans Light"/>
          <w:szCs w:val="24"/>
        </w:rPr>
        <w:t xml:space="preserve">verified mapping to the </w:t>
      </w:r>
      <w:r>
        <w:rPr>
          <w:rFonts w:ascii="Basic Sans Light" w:hAnsi="Basic Sans Light"/>
          <w:szCs w:val="24"/>
        </w:rPr>
        <w:t>system aspirations (sometimes referred to as domains)</w:t>
      </w:r>
      <w:r w:rsidRPr="00C12A3E">
        <w:rPr>
          <w:rFonts w:ascii="Basic Sans Light" w:hAnsi="Basic Sans Light"/>
          <w:szCs w:val="24"/>
        </w:rPr>
        <w:t xml:space="preserve"> and their </w:t>
      </w:r>
      <w:r>
        <w:rPr>
          <w:rFonts w:ascii="Basic Sans Light" w:hAnsi="Basic Sans Light"/>
          <w:szCs w:val="24"/>
        </w:rPr>
        <w:t>o</w:t>
      </w:r>
      <w:r w:rsidRPr="00C12A3E">
        <w:rPr>
          <w:rFonts w:ascii="Basic Sans Light" w:hAnsi="Basic Sans Light"/>
          <w:szCs w:val="24"/>
        </w:rPr>
        <w:t xml:space="preserve">utcome </w:t>
      </w:r>
      <w:r>
        <w:rPr>
          <w:rFonts w:ascii="Basic Sans Light" w:hAnsi="Basic Sans Light"/>
          <w:szCs w:val="24"/>
        </w:rPr>
        <w:t>concept p</w:t>
      </w:r>
      <w:r w:rsidRPr="00C12A3E">
        <w:rPr>
          <w:rFonts w:ascii="Basic Sans Light" w:hAnsi="Basic Sans Light"/>
          <w:szCs w:val="24"/>
        </w:rPr>
        <w:t xml:space="preserve">riorities, including essential measurements from the </w:t>
      </w:r>
      <w:r>
        <w:rPr>
          <w:rFonts w:ascii="Basic Sans Light" w:hAnsi="Basic Sans Light"/>
          <w:szCs w:val="24"/>
        </w:rPr>
        <w:t>s</w:t>
      </w:r>
      <w:r w:rsidRPr="00C12A3E">
        <w:rPr>
          <w:rFonts w:ascii="Basic Sans Light" w:hAnsi="Basic Sans Light"/>
          <w:szCs w:val="24"/>
        </w:rPr>
        <w:t xml:space="preserve">hared </w:t>
      </w:r>
      <w:r>
        <w:rPr>
          <w:rFonts w:ascii="Basic Sans Light" w:hAnsi="Basic Sans Light"/>
          <w:szCs w:val="24"/>
        </w:rPr>
        <w:t>perspective</w:t>
      </w:r>
      <w:r w:rsidRPr="00C12A3E">
        <w:rPr>
          <w:rFonts w:ascii="Basic Sans Light" w:hAnsi="Basic Sans Light"/>
          <w:szCs w:val="24"/>
        </w:rPr>
        <w:t>.</w:t>
      </w:r>
    </w:p>
    <w:p w14:paraId="5BD9CFD3" w14:textId="77777777" w:rsidR="008D5EAB" w:rsidRDefault="008D5EAB" w:rsidP="008D5EAB">
      <w:pPr>
        <w:pStyle w:val="Numberedparagraphs"/>
        <w:spacing w:before="60"/>
        <w:ind w:left="0" w:firstLine="0"/>
        <w:rPr>
          <w:rFonts w:ascii="Basic Sans Light" w:hAnsi="Basic Sans Light"/>
          <w:szCs w:val="24"/>
        </w:rPr>
      </w:pPr>
      <w:r w:rsidRPr="00533442">
        <w:rPr>
          <w:rFonts w:ascii="Basic Sans Light" w:hAnsi="Basic Sans Light"/>
          <w:szCs w:val="24"/>
        </w:rPr>
        <w:t xml:space="preserve">TAN Māori roopū discussion also noted the </w:t>
      </w:r>
      <w:r>
        <w:rPr>
          <w:rFonts w:ascii="Basic Sans Light" w:hAnsi="Basic Sans Light"/>
          <w:szCs w:val="24"/>
        </w:rPr>
        <w:t>d</w:t>
      </w:r>
      <w:r w:rsidRPr="00533442">
        <w:rPr>
          <w:rFonts w:ascii="Basic Sans Light" w:hAnsi="Basic Sans Light"/>
          <w:szCs w:val="24"/>
        </w:rPr>
        <w:t xml:space="preserve">ata gaps: </w:t>
      </w:r>
      <w:r>
        <w:rPr>
          <w:rFonts w:ascii="Basic Sans Light" w:hAnsi="Basic Sans Light"/>
          <w:szCs w:val="24"/>
        </w:rPr>
        <w:t>w</w:t>
      </w:r>
      <w:r w:rsidRPr="00533442">
        <w:rPr>
          <w:rFonts w:ascii="Basic Sans Light" w:hAnsi="Basic Sans Light"/>
          <w:szCs w:val="24"/>
        </w:rPr>
        <w:t xml:space="preserve">hat should the system be collecting and reporting on </w:t>
      </w:r>
      <w:r>
        <w:rPr>
          <w:rFonts w:ascii="Basic Sans Light" w:hAnsi="Basic Sans Light"/>
          <w:szCs w:val="24"/>
        </w:rPr>
        <w:t>that</w:t>
      </w:r>
      <w:r w:rsidRPr="00533442">
        <w:rPr>
          <w:rFonts w:ascii="Basic Sans Light" w:hAnsi="Basic Sans Light"/>
          <w:szCs w:val="24"/>
        </w:rPr>
        <w:t xml:space="preserve"> isn't available for monitoring?</w:t>
      </w:r>
    </w:p>
    <w:p w14:paraId="4E06C6FD" w14:textId="77777777" w:rsidR="008D5EAB" w:rsidRDefault="008D5EAB" w:rsidP="008D5EAB">
      <w:pPr>
        <w:pStyle w:val="Heading3"/>
      </w:pPr>
      <w:r>
        <w:t>Lived experience sub-group</w:t>
      </w:r>
    </w:p>
    <w:p w14:paraId="750CC2FB" w14:textId="151791ED" w:rsidR="008D5EAB" w:rsidRDefault="008D5EAB" w:rsidP="008D5EAB">
      <w:pPr>
        <w:spacing w:after="0"/>
        <w:rPr>
          <w:szCs w:val="24"/>
        </w:rPr>
      </w:pPr>
      <w:r>
        <w:rPr>
          <w:szCs w:val="24"/>
        </w:rPr>
        <w:t xml:space="preserve">The TAN </w:t>
      </w:r>
      <w:r w:rsidR="0049745C">
        <w:rPr>
          <w:szCs w:val="24"/>
        </w:rPr>
        <w:t>l</w:t>
      </w:r>
      <w:r w:rsidRPr="00D85F2F">
        <w:rPr>
          <w:szCs w:val="24"/>
        </w:rPr>
        <w:t>ived experience sub-group</w:t>
      </w:r>
      <w:r>
        <w:rPr>
          <w:szCs w:val="24"/>
        </w:rPr>
        <w:t xml:space="preserve"> was convened and facilitated by o</w:t>
      </w:r>
      <w:r w:rsidRPr="00D85F2F">
        <w:rPr>
          <w:szCs w:val="24"/>
        </w:rPr>
        <w:t>ur lived experience principal advisers Kelly Pope and Guy Baker</w:t>
      </w:r>
      <w:r>
        <w:rPr>
          <w:szCs w:val="24"/>
        </w:rPr>
        <w:t xml:space="preserve">. The process for their work was similar to that of the Māori roopū. Three hui were held to determine </w:t>
      </w:r>
      <w:r w:rsidR="0049745C">
        <w:rPr>
          <w:szCs w:val="24"/>
        </w:rPr>
        <w:t>l</w:t>
      </w:r>
      <w:r>
        <w:rPr>
          <w:szCs w:val="24"/>
        </w:rPr>
        <w:t xml:space="preserve">ived experience outcome concept priorities for 2023 monitoring from the shared perspective of He Ara Āwhina, and a final hui looked at the resulting shortlisted </w:t>
      </w:r>
      <w:r>
        <w:rPr>
          <w:szCs w:val="24"/>
        </w:rPr>
        <w:lastRenderedPageBreak/>
        <w:t xml:space="preserve">measures after applying the prioritisation to the </w:t>
      </w:r>
      <w:r w:rsidR="00F4140B">
        <w:rPr>
          <w:szCs w:val="24"/>
        </w:rPr>
        <w:t>longlist</w:t>
      </w:r>
      <w:r>
        <w:rPr>
          <w:szCs w:val="24"/>
        </w:rPr>
        <w:t xml:space="preserve">. See </w:t>
      </w:r>
      <w:r w:rsidR="00BC3B36">
        <w:rPr>
          <w:szCs w:val="24"/>
        </w:rPr>
        <w:t xml:space="preserve">Appendix 3 </w:t>
      </w:r>
      <w:r>
        <w:rPr>
          <w:szCs w:val="24"/>
        </w:rPr>
        <w:t>for the selected priorities.</w:t>
      </w:r>
    </w:p>
    <w:p w14:paraId="05A106AE" w14:textId="786408C2" w:rsidR="008D5EAB" w:rsidRDefault="008D5EAB" w:rsidP="008D5EAB">
      <w:pPr>
        <w:pStyle w:val="Heading2"/>
      </w:pPr>
      <w:r>
        <w:t xml:space="preserve">Step 9 - </w:t>
      </w:r>
      <w:r w:rsidRPr="00565600">
        <w:t xml:space="preserve">Applying criteria to </w:t>
      </w:r>
      <w:r>
        <w:t>prioritise</w:t>
      </w:r>
      <w:r w:rsidRPr="00565600">
        <w:t xml:space="preserve"> a shortlist</w:t>
      </w:r>
    </w:p>
    <w:p w14:paraId="0D89FF7B" w14:textId="30B0EB18" w:rsidR="008D5EAB" w:rsidRDefault="008D5EAB" w:rsidP="008D5EAB">
      <w:pPr>
        <w:rPr>
          <w:sz w:val="22"/>
        </w:rPr>
      </w:pPr>
      <w:r>
        <w:t>At this point in the process there were over 900 measures to prioritise for the 2023 shortlist. We needed to think about the best way to work with the TAN groups and the Te Hiringa Mahara monitoring project required a smaller number of measures for 2023. The solution was to take an outcome concept-based approach (as outlined above) to filter the potential measures.</w:t>
      </w:r>
      <w:r w:rsidRPr="3B50B9A0">
        <w:rPr>
          <w:sz w:val="22"/>
        </w:rPr>
        <w:t xml:space="preserve"> </w:t>
      </w:r>
    </w:p>
    <w:p w14:paraId="021AC2FE" w14:textId="2B808120" w:rsidR="008D5EAB" w:rsidRPr="00565600" w:rsidRDefault="008D5EAB" w:rsidP="008D5EAB">
      <w:r w:rsidRPr="3B50B9A0">
        <w:t>The</w:t>
      </w:r>
      <w:r w:rsidRPr="00565600">
        <w:t xml:space="preserve"> </w:t>
      </w:r>
      <w:r>
        <w:t xml:space="preserve">TAN </w:t>
      </w:r>
      <w:r w:rsidRPr="00565600">
        <w:t>Māori</w:t>
      </w:r>
      <w:r w:rsidRPr="3B50B9A0">
        <w:t xml:space="preserve"> r</w:t>
      </w:r>
      <w:r>
        <w:t>oo</w:t>
      </w:r>
      <w:r w:rsidRPr="3B50B9A0">
        <w:t>pū</w:t>
      </w:r>
      <w:r w:rsidRPr="00565600">
        <w:t xml:space="preserve"> agreed on </w:t>
      </w:r>
      <w:r>
        <w:t>up to</w:t>
      </w:r>
      <w:r w:rsidRPr="00565600">
        <w:t xml:space="preserve"> two primary and secondary concepts from each </w:t>
      </w:r>
      <w:r>
        <w:t>system aspiration (</w:t>
      </w:r>
      <w:r w:rsidRPr="00565600">
        <w:t>domain</w:t>
      </w:r>
      <w:r>
        <w:t>)</w:t>
      </w:r>
      <w:r w:rsidRPr="00565600">
        <w:t xml:space="preserve"> in </w:t>
      </w:r>
      <w:r w:rsidR="00D71ED7">
        <w:t>Te Ao M</w:t>
      </w:r>
      <w:r w:rsidRPr="00565600">
        <w:t>āori layer of the framework.</w:t>
      </w:r>
      <w:r>
        <w:t xml:space="preserve"> </w:t>
      </w:r>
      <w:r w:rsidRPr="00565600">
        <w:t>The</w:t>
      </w:r>
      <w:r>
        <w:t xml:space="preserve"> roopū</w:t>
      </w:r>
      <w:r w:rsidRPr="00565600">
        <w:t xml:space="preserve"> then identified new measures and some measures from the shared layer that </w:t>
      </w:r>
      <w:r>
        <w:t>contributed</w:t>
      </w:r>
      <w:r w:rsidRPr="00565600">
        <w:t xml:space="preserve"> to </w:t>
      </w:r>
      <w:r w:rsidR="00D71ED7">
        <w:t>Te Ao M</w:t>
      </w:r>
      <w:r w:rsidRPr="00565600">
        <w:t>āori domains.</w:t>
      </w:r>
    </w:p>
    <w:p w14:paraId="57B72B51" w14:textId="40479887" w:rsidR="008D5EAB" w:rsidRDefault="008D5EAB" w:rsidP="008D5EAB">
      <w:r w:rsidRPr="00565600">
        <w:t>Similarly</w:t>
      </w:r>
      <w:r>
        <w:t>,</w:t>
      </w:r>
      <w:r w:rsidRPr="00565600">
        <w:t xml:space="preserve"> the lived experience subgroup agreed </w:t>
      </w:r>
      <w:r w:rsidR="006D132C">
        <w:t xml:space="preserve">on up </w:t>
      </w:r>
      <w:r>
        <w:t>to</w:t>
      </w:r>
      <w:r w:rsidRPr="00565600">
        <w:t xml:space="preserve"> two primary and secondary concepts from each domain in the shared layer of the framework to focus our monitoring on </w:t>
      </w:r>
      <w:r>
        <w:t>initially</w:t>
      </w:r>
      <w:r w:rsidRPr="00565600">
        <w:t>.</w:t>
      </w:r>
    </w:p>
    <w:p w14:paraId="2905A03D" w14:textId="77777777" w:rsidR="008D5EAB" w:rsidRPr="00565600" w:rsidRDefault="008D5EAB" w:rsidP="008D5EAB">
      <w:r>
        <w:t xml:space="preserve">The project scope and data evaluation criteria were also </w:t>
      </w:r>
      <w:r w:rsidRPr="00565600">
        <w:t>applied to the primary concept list:</w:t>
      </w:r>
    </w:p>
    <w:p w14:paraId="57E11E86" w14:textId="77777777" w:rsidR="008D5EAB" w:rsidRPr="00565600" w:rsidRDefault="008D5EAB" w:rsidP="00C8416D">
      <w:pPr>
        <w:pStyle w:val="ListParagraph"/>
        <w:numPr>
          <w:ilvl w:val="0"/>
          <w:numId w:val="15"/>
        </w:numPr>
      </w:pPr>
      <w:r w:rsidRPr="08DFFB44">
        <w:t>Phase 1: was the data specific to mental health and addiction services?</w:t>
      </w:r>
    </w:p>
    <w:p w14:paraId="725CD6C4" w14:textId="77777777" w:rsidR="008D5EAB" w:rsidRDefault="008D5EAB" w:rsidP="00C8416D">
      <w:pPr>
        <w:pStyle w:val="ListParagraph"/>
        <w:numPr>
          <w:ilvl w:val="0"/>
          <w:numId w:val="15"/>
        </w:numPr>
      </w:pPr>
      <w:r w:rsidRPr="00565600">
        <w:t>Data availability: would we have recent data by the end of 2022?</w:t>
      </w:r>
    </w:p>
    <w:p w14:paraId="6EA8001B" w14:textId="56096D3C" w:rsidR="008D5EAB" w:rsidRDefault="008D5EAB" w:rsidP="00C8416D">
      <w:pPr>
        <w:pStyle w:val="ListParagraph"/>
        <w:numPr>
          <w:ilvl w:val="0"/>
          <w:numId w:val="15"/>
        </w:numPr>
      </w:pPr>
      <w:r>
        <w:t>C</w:t>
      </w:r>
      <w:r w:rsidR="00964055">
        <w:t>ould</w:t>
      </w:r>
      <w:r>
        <w:t xml:space="preserve"> we aggrega</w:t>
      </w:r>
      <w:r w:rsidR="00964055">
        <w:t>te</w:t>
      </w:r>
      <w:r>
        <w:t xml:space="preserve"> and disaggregate the data?</w:t>
      </w:r>
    </w:p>
    <w:p w14:paraId="1CBD6B17" w14:textId="7475AE45" w:rsidR="008D5EAB" w:rsidRPr="008D5EAB" w:rsidRDefault="008D5EAB" w:rsidP="00C8416D">
      <w:pPr>
        <w:pStyle w:val="ListParagraph"/>
        <w:numPr>
          <w:ilvl w:val="0"/>
          <w:numId w:val="15"/>
        </w:numPr>
      </w:pPr>
      <w:r w:rsidRPr="00350D89">
        <w:t>Nationally consistent: would the data tell the story for all of Aotea</w:t>
      </w:r>
      <w:r w:rsidR="00D8257B">
        <w:t>ro</w:t>
      </w:r>
      <w:r w:rsidRPr="00350D89">
        <w:t>a?</w:t>
      </w:r>
    </w:p>
    <w:p w14:paraId="41A44343" w14:textId="77777777" w:rsidR="008D5EAB" w:rsidRDefault="008D5EAB">
      <w:pPr>
        <w:spacing w:line="259" w:lineRule="auto"/>
        <w:rPr>
          <w:rFonts w:ascii="Basic Sans" w:eastAsiaTheme="majorEastAsia" w:hAnsi="Basic Sans" w:cstheme="majorBidi"/>
          <w:color w:val="005E85"/>
          <w:sz w:val="56"/>
          <w:szCs w:val="56"/>
        </w:rPr>
      </w:pPr>
      <w:r>
        <w:rPr>
          <w:sz w:val="56"/>
          <w:szCs w:val="56"/>
        </w:rPr>
        <w:br w:type="page"/>
      </w:r>
    </w:p>
    <w:p w14:paraId="7E685F6E" w14:textId="77777777" w:rsidR="00FB3331" w:rsidRDefault="00FB3331" w:rsidP="008D5EAB">
      <w:pPr>
        <w:pStyle w:val="Heading1"/>
        <w:rPr>
          <w:sz w:val="56"/>
          <w:szCs w:val="56"/>
        </w:rPr>
        <w:sectPr w:rsidR="00FB3331" w:rsidSect="00EA396D">
          <w:type w:val="continuous"/>
          <w:pgSz w:w="11910" w:h="16840"/>
          <w:pgMar w:top="1440" w:right="1440" w:bottom="1440" w:left="1440" w:header="709" w:footer="397" w:gutter="0"/>
          <w:cols w:space="708"/>
          <w:titlePg/>
          <w:docGrid w:linePitch="326"/>
        </w:sectPr>
      </w:pPr>
    </w:p>
    <w:p w14:paraId="2FF8DB6E" w14:textId="4256914E" w:rsidR="008D5EAB" w:rsidRDefault="008D5EAB" w:rsidP="008D5EAB">
      <w:pPr>
        <w:pStyle w:val="Heading1"/>
        <w:rPr>
          <w:sz w:val="56"/>
          <w:szCs w:val="56"/>
        </w:rPr>
      </w:pPr>
      <w:bookmarkStart w:id="22" w:name="_Toc135392325"/>
      <w:r w:rsidRPr="006A202C">
        <w:rPr>
          <w:sz w:val="56"/>
          <w:szCs w:val="56"/>
        </w:rPr>
        <w:lastRenderedPageBreak/>
        <w:t xml:space="preserve">Appendix </w:t>
      </w:r>
      <w:r>
        <w:rPr>
          <w:sz w:val="56"/>
          <w:szCs w:val="56"/>
        </w:rPr>
        <w:t>2</w:t>
      </w:r>
      <w:r w:rsidR="00B9733A">
        <w:rPr>
          <w:sz w:val="56"/>
          <w:szCs w:val="56"/>
        </w:rPr>
        <w:t>: Common language</w:t>
      </w:r>
      <w:bookmarkEnd w:id="22"/>
    </w:p>
    <w:tbl>
      <w:tblPr>
        <w:tblStyle w:val="TableGridLight"/>
        <w:tblW w:w="10012"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3114"/>
        <w:gridCol w:w="6898"/>
      </w:tblGrid>
      <w:tr w:rsidR="009A2C92" w:rsidRPr="00CC041C" w14:paraId="58365BB6" w14:textId="77777777" w:rsidTr="0022501E">
        <w:trPr>
          <w:trHeight w:val="300"/>
          <w:tblHeader/>
        </w:trPr>
        <w:tc>
          <w:tcPr>
            <w:tcW w:w="3114" w:type="dxa"/>
            <w:vAlign w:val="center"/>
          </w:tcPr>
          <w:p w14:paraId="223FD973" w14:textId="77777777" w:rsidR="009A2C92" w:rsidRPr="00CC041C" w:rsidRDefault="009A2C92">
            <w:pPr>
              <w:pStyle w:val="Heading3"/>
            </w:pPr>
            <w:r w:rsidRPr="00CC041C">
              <w:t>Terms</w:t>
            </w:r>
          </w:p>
        </w:tc>
        <w:tc>
          <w:tcPr>
            <w:tcW w:w="6898" w:type="dxa"/>
            <w:vAlign w:val="center"/>
          </w:tcPr>
          <w:p w14:paraId="0685DB2F" w14:textId="77777777" w:rsidR="009A2C92" w:rsidRPr="00CC041C" w:rsidRDefault="009A2C92">
            <w:pPr>
              <w:pStyle w:val="Heading3"/>
            </w:pPr>
            <w:r w:rsidRPr="00CC041C">
              <w:t>De</w:t>
            </w:r>
            <w:r>
              <w:t>scription</w:t>
            </w:r>
          </w:p>
        </w:tc>
      </w:tr>
      <w:tr w:rsidR="009A2C92" w:rsidRPr="001458B4" w14:paraId="72611DAD" w14:textId="77777777" w:rsidTr="0022501E">
        <w:tc>
          <w:tcPr>
            <w:tcW w:w="3114" w:type="dxa"/>
            <w:vAlign w:val="center"/>
          </w:tcPr>
          <w:p w14:paraId="38693374" w14:textId="77777777" w:rsidR="009A2C92" w:rsidRPr="008615E3" w:rsidRDefault="009A2C92">
            <w:pPr>
              <w:rPr>
                <w:szCs w:val="24"/>
              </w:rPr>
            </w:pPr>
            <w:r w:rsidRPr="008615E3">
              <w:rPr>
                <w:szCs w:val="24"/>
              </w:rPr>
              <w:t>Addiction services</w:t>
            </w:r>
          </w:p>
        </w:tc>
        <w:tc>
          <w:tcPr>
            <w:tcW w:w="6898" w:type="dxa"/>
            <w:vAlign w:val="center"/>
          </w:tcPr>
          <w:p w14:paraId="36E7B6EB" w14:textId="77777777" w:rsidR="009A2C92" w:rsidRPr="00D81165" w:rsidDel="006A5519" w:rsidRDefault="009A2C92">
            <w:pPr>
              <w:rPr>
                <w:szCs w:val="24"/>
              </w:rPr>
            </w:pPr>
            <w:r w:rsidRPr="004E67FB">
              <w:rPr>
                <w:szCs w:val="24"/>
              </w:rPr>
              <w:t xml:space="preserve">Services that exist to respond </w:t>
            </w:r>
            <w:r>
              <w:rPr>
                <w:szCs w:val="24"/>
              </w:rPr>
              <w:t>t</w:t>
            </w:r>
            <w:r w:rsidRPr="004E67FB">
              <w:rPr>
                <w:szCs w:val="24"/>
              </w:rPr>
              <w:t>o</w:t>
            </w:r>
            <w:r w:rsidRPr="004E67FB">
              <w:rPr>
                <w:rFonts w:ascii="Calibri" w:hAnsi="Calibri" w:cs="Calibri"/>
                <w:szCs w:val="24"/>
              </w:rPr>
              <w:t> </w:t>
            </w:r>
            <w:r w:rsidRPr="004E67FB">
              <w:rPr>
                <w:szCs w:val="24"/>
              </w:rPr>
              <w:t>the</w:t>
            </w:r>
            <w:r w:rsidRPr="004E67FB">
              <w:rPr>
                <w:rFonts w:ascii="Calibri" w:hAnsi="Calibri" w:cs="Calibri"/>
                <w:szCs w:val="24"/>
              </w:rPr>
              <w:t> </w:t>
            </w:r>
            <w:r w:rsidRPr="004E67FB">
              <w:rPr>
                <w:szCs w:val="24"/>
              </w:rPr>
              <w:t>experiences,</w:t>
            </w:r>
            <w:r w:rsidRPr="004E67FB">
              <w:rPr>
                <w:rFonts w:ascii="Calibri" w:hAnsi="Calibri" w:cs="Calibri"/>
                <w:szCs w:val="24"/>
              </w:rPr>
              <w:t> </w:t>
            </w:r>
            <w:r w:rsidRPr="004E67FB">
              <w:rPr>
                <w:szCs w:val="24"/>
              </w:rPr>
              <w:t>needs, and aspirations of tāngata whaiora and whānau who experience harm from substances</w:t>
            </w:r>
            <w:r w:rsidRPr="004E67FB">
              <w:rPr>
                <w:rFonts w:ascii="Calibri" w:hAnsi="Calibri" w:cs="Calibri"/>
                <w:szCs w:val="24"/>
              </w:rPr>
              <w:t> </w:t>
            </w:r>
            <w:r w:rsidRPr="004E67FB">
              <w:rPr>
                <w:szCs w:val="24"/>
              </w:rPr>
              <w:t>or</w:t>
            </w:r>
            <w:r w:rsidRPr="004E67FB">
              <w:rPr>
                <w:rFonts w:ascii="Calibri" w:hAnsi="Calibri" w:cs="Calibri"/>
                <w:szCs w:val="24"/>
              </w:rPr>
              <w:t> </w:t>
            </w:r>
            <w:r w:rsidRPr="004E67FB">
              <w:rPr>
                <w:szCs w:val="24"/>
              </w:rPr>
              <w:t>harm from gambling, substance addiction, or non-substance addiction.</w:t>
            </w:r>
          </w:p>
        </w:tc>
      </w:tr>
      <w:tr w:rsidR="009A2C92" w:rsidRPr="00FF15D3" w14:paraId="6CB60835" w14:textId="77777777" w:rsidTr="0022501E">
        <w:tc>
          <w:tcPr>
            <w:tcW w:w="3114" w:type="dxa"/>
            <w:vAlign w:val="center"/>
          </w:tcPr>
          <w:p w14:paraId="12BC5A8E" w14:textId="77777777" w:rsidR="009A2C92" w:rsidRPr="00D81165" w:rsidRDefault="009A2C92">
            <w:pPr>
              <w:rPr>
                <w:szCs w:val="24"/>
              </w:rPr>
            </w:pPr>
            <w:r>
              <w:rPr>
                <w:szCs w:val="24"/>
              </w:rPr>
              <w:t>Assessment</w:t>
            </w:r>
          </w:p>
        </w:tc>
        <w:tc>
          <w:tcPr>
            <w:tcW w:w="6898" w:type="dxa"/>
            <w:vAlign w:val="center"/>
          </w:tcPr>
          <w:p w14:paraId="5EEAB1DB" w14:textId="77777777" w:rsidR="009A2C92" w:rsidRPr="00FF15D3" w:rsidRDefault="009A2C92">
            <w:pPr>
              <w:rPr>
                <w:szCs w:val="24"/>
                <w:lang w:val="en-GB" w:eastAsia="en-GB"/>
              </w:rPr>
            </w:pPr>
            <w:r w:rsidRPr="00FF15D3">
              <w:rPr>
                <w:szCs w:val="24"/>
                <w:lang w:val="en-GB" w:eastAsia="en-GB"/>
              </w:rPr>
              <w:t>Making a judgement about the nature or quality of something.</w:t>
            </w:r>
          </w:p>
        </w:tc>
      </w:tr>
      <w:tr w:rsidR="009A2C92" w14:paraId="0F2748E6" w14:textId="77777777" w:rsidTr="0022501E">
        <w:tc>
          <w:tcPr>
            <w:tcW w:w="3114" w:type="dxa"/>
            <w:vAlign w:val="center"/>
          </w:tcPr>
          <w:p w14:paraId="1E65B771" w14:textId="77777777" w:rsidR="009A2C92" w:rsidRPr="00D81165" w:rsidRDefault="009A2C92">
            <w:pPr>
              <w:rPr>
                <w:szCs w:val="24"/>
              </w:rPr>
            </w:pPr>
            <w:bookmarkStart w:id="23" w:name="_Hlk115690858"/>
            <w:r w:rsidRPr="00D81165">
              <w:rPr>
                <w:szCs w:val="24"/>
              </w:rPr>
              <w:t>Data</w:t>
            </w:r>
          </w:p>
        </w:tc>
        <w:tc>
          <w:tcPr>
            <w:tcW w:w="6898" w:type="dxa"/>
            <w:vAlign w:val="center"/>
          </w:tcPr>
          <w:p w14:paraId="3F3B29F7" w14:textId="77777777" w:rsidR="009A2C92" w:rsidRPr="004123E3" w:rsidRDefault="009A2C92">
            <w:pPr>
              <w:rPr>
                <w:szCs w:val="24"/>
                <w:lang w:val="en-GB" w:eastAsia="en-GB"/>
              </w:rPr>
            </w:pPr>
            <w:r w:rsidRPr="00FD70E0">
              <w:rPr>
                <w:szCs w:val="24"/>
                <w:lang w:val="en-GB" w:eastAsia="en-GB"/>
              </w:rPr>
              <w:t xml:space="preserve">Overarching term to include </w:t>
            </w:r>
            <w:r>
              <w:rPr>
                <w:szCs w:val="24"/>
                <w:lang w:val="en-GB" w:eastAsia="en-GB"/>
              </w:rPr>
              <w:t>all methods and</w:t>
            </w:r>
            <w:r w:rsidRPr="00FD70E0">
              <w:rPr>
                <w:szCs w:val="24"/>
                <w:lang w:val="en-GB" w:eastAsia="en-GB"/>
              </w:rPr>
              <w:t xml:space="preserve"> measures. Can be quantitative and</w:t>
            </w:r>
            <w:r>
              <w:rPr>
                <w:szCs w:val="24"/>
                <w:lang w:val="en-GB" w:eastAsia="en-GB"/>
              </w:rPr>
              <w:t xml:space="preserve"> </w:t>
            </w:r>
            <w:r w:rsidRPr="00FD70E0">
              <w:rPr>
                <w:szCs w:val="24"/>
                <w:lang w:val="en-GB" w:eastAsia="en-GB"/>
              </w:rPr>
              <w:t>/</w:t>
            </w:r>
            <w:r>
              <w:rPr>
                <w:szCs w:val="24"/>
                <w:lang w:val="en-GB" w:eastAsia="en-GB"/>
              </w:rPr>
              <w:t xml:space="preserve"> </w:t>
            </w:r>
            <w:r w:rsidRPr="00FD70E0">
              <w:rPr>
                <w:szCs w:val="24"/>
                <w:lang w:val="en-GB" w:eastAsia="en-GB"/>
              </w:rPr>
              <w:t>or qualitative</w:t>
            </w:r>
            <w:r w:rsidRPr="004123E3">
              <w:rPr>
                <w:szCs w:val="24"/>
                <w:lang w:val="en-GB" w:eastAsia="en-GB"/>
              </w:rPr>
              <w:t>.</w:t>
            </w:r>
          </w:p>
          <w:p w14:paraId="5BC5C03F" w14:textId="77777777" w:rsidR="009A2C92" w:rsidRPr="004123E3" w:rsidRDefault="009A2C92">
            <w:pPr>
              <w:rPr>
                <w:szCs w:val="24"/>
                <w:lang w:val="en-GB" w:eastAsia="en-GB"/>
              </w:rPr>
            </w:pPr>
            <w:r w:rsidRPr="004123E3">
              <w:rPr>
                <w:szCs w:val="24"/>
                <w:lang w:val="en-GB" w:eastAsia="en-GB"/>
              </w:rPr>
              <w:t>Primary data is data we directly collect through focus groups, interviews, etc.</w:t>
            </w:r>
          </w:p>
          <w:p w14:paraId="4C6D10B8" w14:textId="3BF8A3EC" w:rsidR="009A2C92" w:rsidRPr="00D81165" w:rsidRDefault="009A2C92">
            <w:pPr>
              <w:rPr>
                <w:szCs w:val="24"/>
              </w:rPr>
            </w:pPr>
            <w:r w:rsidRPr="004123E3">
              <w:rPr>
                <w:szCs w:val="24"/>
                <w:lang w:val="en-GB" w:eastAsia="en-GB"/>
              </w:rPr>
              <w:t>Secondary data is from published articles, other agencies’ monitoring, etc.</w:t>
            </w:r>
          </w:p>
        </w:tc>
      </w:tr>
      <w:tr w:rsidR="009A2C92" w:rsidRPr="001458B4" w14:paraId="1B2E3412" w14:textId="77777777" w:rsidTr="0022501E">
        <w:tc>
          <w:tcPr>
            <w:tcW w:w="3114" w:type="dxa"/>
            <w:vAlign w:val="center"/>
          </w:tcPr>
          <w:p w14:paraId="7124622A" w14:textId="77777777" w:rsidR="009A2C92" w:rsidRDefault="009A2C92">
            <w:pPr>
              <w:rPr>
                <w:szCs w:val="24"/>
              </w:rPr>
            </w:pPr>
            <w:r>
              <w:rPr>
                <w:szCs w:val="24"/>
              </w:rPr>
              <w:t>Deficit-based</w:t>
            </w:r>
          </w:p>
        </w:tc>
        <w:tc>
          <w:tcPr>
            <w:tcW w:w="6898" w:type="dxa"/>
            <w:vAlign w:val="center"/>
          </w:tcPr>
          <w:p w14:paraId="1BD6D175" w14:textId="77777777" w:rsidR="009A2C92" w:rsidRPr="4CAE7321" w:rsidRDefault="009A2C92">
            <w:pPr>
              <w:rPr>
                <w:rFonts w:cs="Cambria Math"/>
                <w:lang w:val="en-GB" w:eastAsia="en-GB"/>
              </w:rPr>
            </w:pPr>
            <w:r w:rsidRPr="4BF20B4B">
              <w:rPr>
                <w:rFonts w:cs="Segoe UI"/>
                <w:color w:val="242424"/>
                <w:shd w:val="clear" w:color="auto" w:fill="FFFFFF"/>
              </w:rPr>
              <w:t xml:space="preserve">Data </w:t>
            </w:r>
            <w:r>
              <w:rPr>
                <w:rFonts w:cs="Segoe UI"/>
                <w:color w:val="242424"/>
                <w:shd w:val="clear" w:color="auto" w:fill="FFFFFF"/>
              </w:rPr>
              <w:t xml:space="preserve">that </w:t>
            </w:r>
            <w:r w:rsidRPr="4BF20B4B">
              <w:rPr>
                <w:rFonts w:cs="Segoe UI"/>
                <w:color w:val="242424"/>
                <w:shd w:val="clear" w:color="auto" w:fill="FFFFFF"/>
              </w:rPr>
              <w:t xml:space="preserve">reflects </w:t>
            </w:r>
            <w:r>
              <w:rPr>
                <w:rFonts w:cs="Segoe UI"/>
                <w:color w:val="242424"/>
                <w:shd w:val="clear" w:color="auto" w:fill="FFFFFF"/>
              </w:rPr>
              <w:t>a deficit-based lens (compared to strengths). For us, deficit-based data measures are those that measure what is not working for people and in particular, risk factors. For example, hazardous drinking is a deficit-based measure and is an evidence-based risk factor for mental health and addictions.</w:t>
            </w:r>
          </w:p>
        </w:tc>
      </w:tr>
      <w:bookmarkEnd w:id="23"/>
      <w:tr w:rsidR="009A2C92" w:rsidRPr="001458B4" w14:paraId="5D5D433A" w14:textId="77777777" w:rsidTr="0022501E">
        <w:tc>
          <w:tcPr>
            <w:tcW w:w="3114" w:type="dxa"/>
            <w:vAlign w:val="center"/>
          </w:tcPr>
          <w:p w14:paraId="569063B7" w14:textId="6A32CD2B" w:rsidR="009A2C92" w:rsidRPr="00D81165" w:rsidRDefault="009A2C92">
            <w:pPr>
              <w:rPr>
                <w:szCs w:val="24"/>
              </w:rPr>
            </w:pPr>
            <w:r w:rsidRPr="001D6DA5">
              <w:rPr>
                <w:szCs w:val="24"/>
              </w:rPr>
              <w:t>Ends to Means</w:t>
            </w:r>
          </w:p>
        </w:tc>
        <w:tc>
          <w:tcPr>
            <w:tcW w:w="6898" w:type="dxa"/>
            <w:vAlign w:val="center"/>
          </w:tcPr>
          <w:p w14:paraId="7C4E40C3" w14:textId="77777777" w:rsidR="009A2C92" w:rsidRDefault="009A2C92">
            <w:pPr>
              <w:rPr>
                <w:rFonts w:cs="Cambria Math"/>
                <w:lang w:eastAsia="en-GB"/>
              </w:rPr>
            </w:pPr>
            <w:r w:rsidRPr="4CAE7321">
              <w:rPr>
                <w:rFonts w:cs="Cambria Math"/>
                <w:lang w:val="en-GB" w:eastAsia="en-GB"/>
              </w:rPr>
              <w:t>In our monitoring work ‘Ends’ relates to wellbeing (as described in the He Ara Oranga wellbeing outcomes framework), and ‘Means’ relates to how wellbeing is achieved (including through the provision of supports and services described in He Ara Āwhina).</w:t>
            </w:r>
            <w:r w:rsidRPr="4CAE7321">
              <w:rPr>
                <w:rFonts w:ascii="Calibri" w:hAnsi="Calibri" w:cs="Calibri"/>
                <w:lang w:eastAsia="en-GB"/>
              </w:rPr>
              <w:t> </w:t>
            </w:r>
          </w:p>
          <w:p w14:paraId="61177E83" w14:textId="77777777" w:rsidR="009A2C92" w:rsidRPr="00F23D3B" w:rsidRDefault="009A2C92">
            <w:pPr>
              <w:rPr>
                <w:lang w:val="en-GB" w:eastAsia="en-GB"/>
              </w:rPr>
            </w:pPr>
            <w:r w:rsidRPr="5DBEE5A3">
              <w:rPr>
                <w:lang w:val="en-GB" w:eastAsia="en-GB"/>
              </w:rPr>
              <w:t>The ‘Ends to Means’ conversation may also occur when discussing other ‘levels’ of outcome e.g., when discussing a service. The Ends are the service provider’s tāngata whaiora outcomes delivered, and the Means are how that provider delivers their specific services.</w:t>
            </w:r>
          </w:p>
        </w:tc>
      </w:tr>
      <w:tr w:rsidR="009A2C92" w14:paraId="79189598" w14:textId="77777777" w:rsidTr="0022501E">
        <w:tc>
          <w:tcPr>
            <w:tcW w:w="3114" w:type="dxa"/>
            <w:vAlign w:val="center"/>
          </w:tcPr>
          <w:p w14:paraId="5DE8E787" w14:textId="77777777" w:rsidR="009A2C92" w:rsidRPr="00D81165" w:rsidRDefault="009A2C92">
            <w:pPr>
              <w:rPr>
                <w:szCs w:val="24"/>
              </w:rPr>
            </w:pPr>
            <w:r w:rsidRPr="00D81165">
              <w:rPr>
                <w:szCs w:val="24"/>
              </w:rPr>
              <w:t>Indicators</w:t>
            </w:r>
            <w:r>
              <w:rPr>
                <w:rStyle w:val="FootnoteReference"/>
                <w:szCs w:val="24"/>
              </w:rPr>
              <w:footnoteReference w:id="10"/>
            </w:r>
          </w:p>
        </w:tc>
        <w:tc>
          <w:tcPr>
            <w:tcW w:w="6898" w:type="dxa"/>
            <w:vAlign w:val="center"/>
          </w:tcPr>
          <w:p w14:paraId="4B070F9E" w14:textId="77777777" w:rsidR="009A2C92" w:rsidRDefault="009A2C92">
            <w:pPr>
              <w:rPr>
                <w:szCs w:val="24"/>
              </w:rPr>
            </w:pPr>
            <w:r w:rsidRPr="00D81165">
              <w:rPr>
                <w:szCs w:val="24"/>
              </w:rPr>
              <w:t xml:space="preserve">Data that quantifies success (or not) at a </w:t>
            </w:r>
            <w:r w:rsidRPr="00E32B42">
              <w:rPr>
                <w:b/>
                <w:bCs/>
                <w:szCs w:val="24"/>
              </w:rPr>
              <w:t>population level</w:t>
            </w:r>
            <w:r w:rsidRPr="00D81165">
              <w:rPr>
                <w:szCs w:val="24"/>
              </w:rPr>
              <w:t xml:space="preserve"> (everyone) or </w:t>
            </w:r>
            <w:r w:rsidRPr="00E32B42">
              <w:rPr>
                <w:b/>
                <w:bCs/>
                <w:szCs w:val="24"/>
              </w:rPr>
              <w:t>sub-population-level</w:t>
            </w:r>
            <w:r w:rsidRPr="00D81165">
              <w:rPr>
                <w:szCs w:val="24"/>
              </w:rPr>
              <w:t xml:space="preserve"> (e.g.</w:t>
            </w:r>
            <w:r>
              <w:rPr>
                <w:szCs w:val="24"/>
              </w:rPr>
              <w:t>,</w:t>
            </w:r>
            <w:r w:rsidRPr="00D81165">
              <w:rPr>
                <w:szCs w:val="24"/>
              </w:rPr>
              <w:t xml:space="preserve"> </w:t>
            </w:r>
            <w:r>
              <w:rPr>
                <w:szCs w:val="24"/>
              </w:rPr>
              <w:t xml:space="preserve">everyone in a </w:t>
            </w:r>
            <w:r w:rsidRPr="00D81165">
              <w:rPr>
                <w:szCs w:val="24"/>
              </w:rPr>
              <w:t>region or age group).</w:t>
            </w:r>
            <w:r>
              <w:rPr>
                <w:szCs w:val="24"/>
              </w:rPr>
              <w:t xml:space="preserve"> Indicators are distinct from measures, which relate to data at a system or service level (see ‘measures’ below).</w:t>
            </w:r>
          </w:p>
          <w:p w14:paraId="68EEF79D" w14:textId="77777777" w:rsidR="009A2C92" w:rsidRDefault="009A2C92">
            <w:pPr>
              <w:rPr>
                <w:szCs w:val="24"/>
              </w:rPr>
            </w:pPr>
            <w:r>
              <w:rPr>
                <w:szCs w:val="24"/>
              </w:rPr>
              <w:t xml:space="preserve"> </w:t>
            </w:r>
          </w:p>
          <w:p w14:paraId="329E2C5C" w14:textId="6A175E7D" w:rsidR="009A2C92" w:rsidRPr="00D81165" w:rsidRDefault="009A2C92">
            <w:pPr>
              <w:rPr>
                <w:szCs w:val="24"/>
              </w:rPr>
            </w:pPr>
            <w:r>
              <w:rPr>
                <w:szCs w:val="24"/>
              </w:rPr>
              <w:lastRenderedPageBreak/>
              <w:t xml:space="preserve">It is important to distinguish between </w:t>
            </w:r>
            <w:r w:rsidRPr="00AA1D83">
              <w:rPr>
                <w:b/>
                <w:bCs/>
                <w:szCs w:val="24"/>
              </w:rPr>
              <w:t xml:space="preserve">Indicators </w:t>
            </w:r>
            <w:r>
              <w:rPr>
                <w:szCs w:val="24"/>
              </w:rPr>
              <w:t xml:space="preserve">and </w:t>
            </w:r>
            <w:r w:rsidRPr="00AA1D83">
              <w:rPr>
                <w:b/>
                <w:bCs/>
                <w:szCs w:val="24"/>
              </w:rPr>
              <w:t xml:space="preserve">Measures </w:t>
            </w:r>
            <w:r>
              <w:rPr>
                <w:szCs w:val="24"/>
              </w:rPr>
              <w:t>as</w:t>
            </w:r>
            <w:r w:rsidR="00946133">
              <w:rPr>
                <w:szCs w:val="24"/>
              </w:rPr>
              <w:t>,</w:t>
            </w:r>
            <w:r>
              <w:rPr>
                <w:szCs w:val="24"/>
              </w:rPr>
              <w:t xml:space="preserve"> although they are both data</w:t>
            </w:r>
            <w:r w:rsidR="004015FA">
              <w:rPr>
                <w:szCs w:val="24"/>
              </w:rPr>
              <w:t xml:space="preserve"> sets</w:t>
            </w:r>
            <w:r>
              <w:rPr>
                <w:szCs w:val="24"/>
              </w:rPr>
              <w:t>, they measure different types or levels of outcomes.</w:t>
            </w:r>
          </w:p>
        </w:tc>
      </w:tr>
      <w:tr w:rsidR="009A2C92" w:rsidRPr="001458B4" w14:paraId="2EDC25A0" w14:textId="77777777" w:rsidTr="0022501E">
        <w:tc>
          <w:tcPr>
            <w:tcW w:w="3114" w:type="dxa"/>
            <w:vAlign w:val="center"/>
          </w:tcPr>
          <w:p w14:paraId="3F2FCFB2" w14:textId="77777777" w:rsidR="009A2C92" w:rsidRPr="00F670AD" w:rsidRDefault="009A2C92">
            <w:pPr>
              <w:rPr>
                <w:szCs w:val="24"/>
              </w:rPr>
            </w:pPr>
            <w:r>
              <w:rPr>
                <w:szCs w:val="24"/>
              </w:rPr>
              <w:lastRenderedPageBreak/>
              <w:t>Measures</w:t>
            </w:r>
          </w:p>
        </w:tc>
        <w:tc>
          <w:tcPr>
            <w:tcW w:w="6898" w:type="dxa"/>
            <w:vAlign w:val="center"/>
          </w:tcPr>
          <w:p w14:paraId="283FB3A9" w14:textId="77777777" w:rsidR="009A2C92" w:rsidRPr="00F670AD" w:rsidRDefault="009A2C92">
            <w:pPr>
              <w:rPr>
                <w:szCs w:val="24"/>
              </w:rPr>
            </w:pPr>
            <w:r>
              <w:rPr>
                <w:szCs w:val="24"/>
              </w:rPr>
              <w:t>Refer to Process and structure measures (below).</w:t>
            </w:r>
          </w:p>
        </w:tc>
      </w:tr>
      <w:tr w:rsidR="009A2C92" w:rsidRPr="001458B4" w14:paraId="239C093C" w14:textId="77777777" w:rsidTr="0022501E">
        <w:tc>
          <w:tcPr>
            <w:tcW w:w="3114" w:type="dxa"/>
            <w:vAlign w:val="center"/>
          </w:tcPr>
          <w:p w14:paraId="4E9C2CB0" w14:textId="77777777" w:rsidR="009A2C92" w:rsidRPr="008615E3" w:rsidRDefault="009A2C92">
            <w:pPr>
              <w:rPr>
                <w:szCs w:val="24"/>
              </w:rPr>
            </w:pPr>
            <w:r w:rsidRPr="00F670AD">
              <w:rPr>
                <w:szCs w:val="24"/>
              </w:rPr>
              <w:t>Mental health and addiction system</w:t>
            </w:r>
          </w:p>
        </w:tc>
        <w:tc>
          <w:tcPr>
            <w:tcW w:w="6898" w:type="dxa"/>
            <w:vAlign w:val="center"/>
          </w:tcPr>
          <w:p w14:paraId="586B334D" w14:textId="77777777" w:rsidR="009A2C92" w:rsidRPr="00D81165" w:rsidDel="006A5519" w:rsidRDefault="009A2C92">
            <w:pPr>
              <w:rPr>
                <w:szCs w:val="24"/>
              </w:rPr>
            </w:pPr>
            <w:r w:rsidRPr="00F670AD">
              <w:rPr>
                <w:szCs w:val="24"/>
              </w:rPr>
              <w:t>The mental health and addiction system includes all people, supports</w:t>
            </w:r>
            <w:r>
              <w:rPr>
                <w:szCs w:val="24"/>
              </w:rPr>
              <w:t>,</w:t>
            </w:r>
            <w:r w:rsidRPr="00F670AD">
              <w:rPr>
                <w:szCs w:val="24"/>
              </w:rPr>
              <w:t xml:space="preserve"> and services that respond to</w:t>
            </w:r>
            <w:r w:rsidRPr="00F670AD">
              <w:rPr>
                <w:rFonts w:ascii="Cambria Math" w:hAnsi="Cambria Math" w:cs="Cambria Math"/>
                <w:szCs w:val="24"/>
              </w:rPr>
              <w:t> </w:t>
            </w:r>
            <w:r w:rsidRPr="00F670AD">
              <w:rPr>
                <w:szCs w:val="24"/>
              </w:rPr>
              <w:t>the</w:t>
            </w:r>
            <w:r w:rsidRPr="00F670AD">
              <w:rPr>
                <w:rFonts w:ascii="Cambria Math" w:hAnsi="Cambria Math" w:cs="Cambria Math"/>
                <w:szCs w:val="24"/>
              </w:rPr>
              <w:t> </w:t>
            </w:r>
            <w:r w:rsidRPr="00F670AD">
              <w:rPr>
                <w:szCs w:val="24"/>
              </w:rPr>
              <w:t>experiences,</w:t>
            </w:r>
            <w:r w:rsidRPr="00F670AD">
              <w:rPr>
                <w:rFonts w:ascii="Cambria Math" w:hAnsi="Cambria Math" w:cs="Cambria Math"/>
                <w:szCs w:val="24"/>
              </w:rPr>
              <w:t> </w:t>
            </w:r>
            <w:r w:rsidRPr="00F670AD">
              <w:rPr>
                <w:szCs w:val="24"/>
              </w:rPr>
              <w:t>needs</w:t>
            </w:r>
            <w:r>
              <w:rPr>
                <w:szCs w:val="24"/>
              </w:rPr>
              <w:t>,</w:t>
            </w:r>
            <w:r w:rsidRPr="00F670AD">
              <w:rPr>
                <w:szCs w:val="24"/>
              </w:rPr>
              <w:t xml:space="preserve"> and</w:t>
            </w:r>
            <w:r w:rsidRPr="00F670AD">
              <w:rPr>
                <w:rFonts w:ascii="Cambria Math" w:hAnsi="Cambria Math" w:cs="Cambria Math"/>
                <w:szCs w:val="24"/>
              </w:rPr>
              <w:t> </w:t>
            </w:r>
            <w:r w:rsidRPr="00F670AD">
              <w:rPr>
                <w:szCs w:val="24"/>
              </w:rPr>
              <w:t>aspirations of people and</w:t>
            </w:r>
            <w:r w:rsidRPr="00F670AD">
              <w:rPr>
                <w:rFonts w:ascii="Cambria Math" w:hAnsi="Cambria Math" w:cs="Cambria Math"/>
                <w:szCs w:val="24"/>
              </w:rPr>
              <w:t> </w:t>
            </w:r>
            <w:r w:rsidRPr="00F670AD">
              <w:rPr>
                <w:szCs w:val="24"/>
              </w:rPr>
              <w:t>wh</w:t>
            </w:r>
            <w:r w:rsidRPr="00F670AD">
              <w:rPr>
                <w:rFonts w:cs="Basic Sans Light"/>
                <w:szCs w:val="24"/>
              </w:rPr>
              <w:t>ā</w:t>
            </w:r>
            <w:r w:rsidRPr="00F670AD">
              <w:rPr>
                <w:szCs w:val="24"/>
              </w:rPr>
              <w:t>nau</w:t>
            </w:r>
            <w:r w:rsidRPr="00F670AD">
              <w:rPr>
                <w:rFonts w:ascii="Cambria Math" w:hAnsi="Cambria Math" w:cs="Cambria Math"/>
                <w:szCs w:val="24"/>
              </w:rPr>
              <w:t> </w:t>
            </w:r>
            <w:r w:rsidRPr="00F670AD">
              <w:rPr>
                <w:szCs w:val="24"/>
              </w:rPr>
              <w:t>who experience distress, harm</w:t>
            </w:r>
            <w:r w:rsidRPr="00F670AD">
              <w:rPr>
                <w:rFonts w:ascii="Cambria Math" w:hAnsi="Cambria Math" w:cs="Cambria Math"/>
                <w:szCs w:val="24"/>
              </w:rPr>
              <w:t> </w:t>
            </w:r>
            <w:r w:rsidRPr="00F670AD">
              <w:rPr>
                <w:szCs w:val="24"/>
              </w:rPr>
              <w:t>from substance use</w:t>
            </w:r>
            <w:r w:rsidRPr="00F670AD">
              <w:rPr>
                <w:rFonts w:ascii="Cambria Math" w:hAnsi="Cambria Math" w:cs="Cambria Math"/>
                <w:szCs w:val="24"/>
              </w:rPr>
              <w:t> </w:t>
            </w:r>
            <w:r w:rsidRPr="00F670AD">
              <w:rPr>
                <w:szCs w:val="24"/>
              </w:rPr>
              <w:t>or</w:t>
            </w:r>
            <w:r w:rsidRPr="00F670AD">
              <w:rPr>
                <w:rFonts w:ascii="Cambria Math" w:hAnsi="Cambria Math" w:cs="Cambria Math"/>
                <w:szCs w:val="24"/>
              </w:rPr>
              <w:t> </w:t>
            </w:r>
            <w:r w:rsidRPr="00F670AD">
              <w:rPr>
                <w:szCs w:val="24"/>
              </w:rPr>
              <w:t>harm from gambling</w:t>
            </w:r>
            <w:r w:rsidRPr="00F670AD">
              <w:rPr>
                <w:rFonts w:ascii="Cambria Math" w:hAnsi="Cambria Math" w:cs="Cambria Math"/>
                <w:szCs w:val="24"/>
              </w:rPr>
              <w:t> </w:t>
            </w:r>
            <w:r w:rsidRPr="00F670AD">
              <w:rPr>
                <w:szCs w:val="24"/>
              </w:rPr>
              <w:t>(or a combination of these).</w:t>
            </w:r>
            <w:r w:rsidRPr="00F670AD">
              <w:rPr>
                <w:rFonts w:ascii="Cambria Math" w:hAnsi="Cambria Math" w:cs="Cambria Math"/>
                <w:szCs w:val="24"/>
              </w:rPr>
              <w:t> </w:t>
            </w:r>
            <w:r w:rsidRPr="00F670AD">
              <w:rPr>
                <w:szCs w:val="24"/>
              </w:rPr>
              <w:t>The</w:t>
            </w:r>
            <w:r w:rsidRPr="00F670AD">
              <w:rPr>
                <w:rFonts w:ascii="Cambria Math" w:hAnsi="Cambria Math" w:cs="Cambria Math"/>
                <w:szCs w:val="24"/>
              </w:rPr>
              <w:t> </w:t>
            </w:r>
            <w:r w:rsidRPr="00F670AD">
              <w:rPr>
                <w:szCs w:val="24"/>
              </w:rPr>
              <w:t>mental health and addiction system</w:t>
            </w:r>
            <w:r w:rsidRPr="00F670AD">
              <w:rPr>
                <w:rFonts w:ascii="Cambria Math" w:hAnsi="Cambria Math" w:cs="Cambria Math"/>
                <w:szCs w:val="24"/>
              </w:rPr>
              <w:t> </w:t>
            </w:r>
            <w:r w:rsidRPr="00F670AD">
              <w:rPr>
                <w:szCs w:val="24"/>
              </w:rPr>
              <w:t>is part of the wellbeing system.</w:t>
            </w:r>
            <w:r w:rsidRPr="00F670AD">
              <w:rPr>
                <w:rFonts w:ascii="Cambria Math" w:hAnsi="Cambria Math" w:cs="Cambria Math"/>
                <w:szCs w:val="24"/>
              </w:rPr>
              <w:t>   </w:t>
            </w:r>
          </w:p>
        </w:tc>
      </w:tr>
      <w:tr w:rsidR="009A2C92" w:rsidRPr="001458B4" w14:paraId="5C2283FC" w14:textId="77777777" w:rsidTr="0022501E">
        <w:tc>
          <w:tcPr>
            <w:tcW w:w="3114" w:type="dxa"/>
            <w:vAlign w:val="center"/>
          </w:tcPr>
          <w:p w14:paraId="341B0ABB" w14:textId="77777777" w:rsidR="009A2C92" w:rsidRPr="008615E3" w:rsidRDefault="009A2C92">
            <w:pPr>
              <w:rPr>
                <w:szCs w:val="24"/>
              </w:rPr>
            </w:pPr>
            <w:r w:rsidRPr="008615E3">
              <w:rPr>
                <w:szCs w:val="24"/>
              </w:rPr>
              <w:t xml:space="preserve">Mental health services </w:t>
            </w:r>
          </w:p>
        </w:tc>
        <w:tc>
          <w:tcPr>
            <w:tcW w:w="6898" w:type="dxa"/>
            <w:vAlign w:val="center"/>
          </w:tcPr>
          <w:p w14:paraId="0C7769CD" w14:textId="77777777" w:rsidR="009A2C92" w:rsidRPr="00D81165" w:rsidRDefault="009A2C92">
            <w:pPr>
              <w:rPr>
                <w:rStyle w:val="normaltextrun"/>
                <w:szCs w:val="24"/>
              </w:rPr>
            </w:pPr>
            <w:r w:rsidRPr="00D81165" w:rsidDel="006A5519">
              <w:rPr>
                <w:szCs w:val="24"/>
              </w:rPr>
              <w:t xml:space="preserve">Services </w:t>
            </w:r>
            <w:r>
              <w:rPr>
                <w:szCs w:val="24"/>
              </w:rPr>
              <w:t>that exist</w:t>
            </w:r>
            <w:r w:rsidRPr="00D81165">
              <w:rPr>
                <w:szCs w:val="24"/>
              </w:rPr>
              <w:t xml:space="preserve"> </w:t>
            </w:r>
            <w:r w:rsidRPr="00D81165" w:rsidDel="006A5519">
              <w:rPr>
                <w:szCs w:val="24"/>
              </w:rPr>
              <w:t>to respond to</w:t>
            </w:r>
            <w:r w:rsidRPr="00D81165" w:rsidDel="006A5519">
              <w:rPr>
                <w:rFonts w:ascii="Calibri" w:hAnsi="Calibri" w:cs="Calibri"/>
                <w:szCs w:val="24"/>
              </w:rPr>
              <w:t> </w:t>
            </w:r>
            <w:r w:rsidRPr="00D81165" w:rsidDel="006A5519">
              <w:rPr>
                <w:szCs w:val="24"/>
              </w:rPr>
              <w:t>the</w:t>
            </w:r>
            <w:r w:rsidRPr="00D81165" w:rsidDel="006A5519">
              <w:rPr>
                <w:rFonts w:ascii="Calibri" w:hAnsi="Calibri" w:cs="Calibri"/>
                <w:szCs w:val="24"/>
              </w:rPr>
              <w:t> </w:t>
            </w:r>
            <w:r w:rsidRPr="00D81165" w:rsidDel="006A5519">
              <w:rPr>
                <w:szCs w:val="24"/>
              </w:rPr>
              <w:t>experiences</w:t>
            </w:r>
            <w:r w:rsidRPr="00D81165">
              <w:rPr>
                <w:szCs w:val="24"/>
              </w:rPr>
              <w:t>,</w:t>
            </w:r>
            <w:r w:rsidRPr="00D81165" w:rsidDel="006A5519">
              <w:rPr>
                <w:rFonts w:ascii="Calibri" w:hAnsi="Calibri" w:cs="Calibri"/>
                <w:szCs w:val="24"/>
              </w:rPr>
              <w:t> </w:t>
            </w:r>
            <w:r w:rsidRPr="00D81165" w:rsidDel="006A5519">
              <w:rPr>
                <w:szCs w:val="24"/>
              </w:rPr>
              <w:t>needs</w:t>
            </w:r>
            <w:r>
              <w:rPr>
                <w:szCs w:val="24"/>
              </w:rPr>
              <w:t>,</w:t>
            </w:r>
            <w:r w:rsidRPr="00D81165" w:rsidDel="006A5519">
              <w:rPr>
                <w:szCs w:val="24"/>
              </w:rPr>
              <w:t xml:space="preserve"> </w:t>
            </w:r>
            <w:r w:rsidRPr="00D81165">
              <w:rPr>
                <w:szCs w:val="24"/>
              </w:rPr>
              <w:t xml:space="preserve">and aspirations </w:t>
            </w:r>
            <w:r w:rsidRPr="00D81165" w:rsidDel="006A5519">
              <w:rPr>
                <w:szCs w:val="24"/>
              </w:rPr>
              <w:t>of tāngata whaiora and whānau</w:t>
            </w:r>
            <w:r>
              <w:rPr>
                <w:szCs w:val="24"/>
              </w:rPr>
              <w:t xml:space="preserve"> who experience distress</w:t>
            </w:r>
            <w:r w:rsidRPr="00D81165" w:rsidDel="006A5519">
              <w:rPr>
                <w:szCs w:val="24"/>
              </w:rPr>
              <w:t xml:space="preserve">. </w:t>
            </w:r>
          </w:p>
        </w:tc>
      </w:tr>
      <w:tr w:rsidR="009A2C92" w14:paraId="45CEB545" w14:textId="77777777" w:rsidTr="0022501E">
        <w:tc>
          <w:tcPr>
            <w:tcW w:w="3114" w:type="dxa"/>
            <w:vAlign w:val="center"/>
          </w:tcPr>
          <w:p w14:paraId="332E4253" w14:textId="77777777" w:rsidR="009A2C92" w:rsidRPr="00D81165" w:rsidRDefault="009A2C92">
            <w:pPr>
              <w:rPr>
                <w:szCs w:val="24"/>
              </w:rPr>
            </w:pPr>
            <w:r w:rsidRPr="001620CF">
              <w:rPr>
                <w:szCs w:val="24"/>
              </w:rPr>
              <w:t>Methods</w:t>
            </w:r>
          </w:p>
        </w:tc>
        <w:tc>
          <w:tcPr>
            <w:tcW w:w="6898" w:type="dxa"/>
            <w:vAlign w:val="center"/>
          </w:tcPr>
          <w:p w14:paraId="10B33396" w14:textId="77777777" w:rsidR="009A2C92" w:rsidRPr="00D81165" w:rsidRDefault="009A2C92">
            <w:pPr>
              <w:rPr>
                <w:szCs w:val="24"/>
              </w:rPr>
            </w:pPr>
            <w:r>
              <w:rPr>
                <w:szCs w:val="24"/>
              </w:rPr>
              <w:t>Overarching term for a range of methods we use for m</w:t>
            </w:r>
            <w:r w:rsidRPr="00632C37">
              <w:rPr>
                <w:szCs w:val="24"/>
              </w:rPr>
              <w:t>onitor</w:t>
            </w:r>
            <w:r>
              <w:rPr>
                <w:szCs w:val="24"/>
              </w:rPr>
              <w:t>ing. These can include structured engagement (following our qualitative guidelines), indicators, measures, case studies, and research / literature.</w:t>
            </w:r>
          </w:p>
        </w:tc>
      </w:tr>
      <w:tr w:rsidR="009A2C92" w:rsidRPr="00CC041C" w14:paraId="0631C542" w14:textId="77777777" w:rsidTr="0022501E">
        <w:tc>
          <w:tcPr>
            <w:tcW w:w="3114" w:type="dxa"/>
            <w:vAlign w:val="center"/>
          </w:tcPr>
          <w:p w14:paraId="260CDF40" w14:textId="77777777" w:rsidR="009A2C92" w:rsidRPr="00CC041C" w:rsidRDefault="009A2C92">
            <w:pPr>
              <w:rPr>
                <w:b/>
                <w:bCs/>
                <w:szCs w:val="24"/>
              </w:rPr>
            </w:pPr>
            <w:r w:rsidRPr="00D81165">
              <w:rPr>
                <w:szCs w:val="24"/>
              </w:rPr>
              <w:t>Monitoring</w:t>
            </w:r>
          </w:p>
        </w:tc>
        <w:tc>
          <w:tcPr>
            <w:tcW w:w="6898" w:type="dxa"/>
            <w:vAlign w:val="center"/>
          </w:tcPr>
          <w:p w14:paraId="56DD6327" w14:textId="77777777" w:rsidR="009A2C92" w:rsidRPr="00CC041C" w:rsidRDefault="009A2C92">
            <w:pPr>
              <w:rPr>
                <w:b/>
                <w:bCs/>
                <w:szCs w:val="24"/>
              </w:rPr>
            </w:pPr>
            <w:r w:rsidRPr="000E4506">
              <w:rPr>
                <w:rFonts w:cs="Segoe UI"/>
                <w:color w:val="242424"/>
                <w:szCs w:val="24"/>
                <w:shd w:val="clear" w:color="auto" w:fill="FFFFFF"/>
              </w:rPr>
              <w:t>Watchi</w:t>
            </w:r>
            <w:r w:rsidRPr="000E4506">
              <w:rPr>
                <w:rFonts w:cs="Segoe UI"/>
                <w:color w:val="242424"/>
                <w:szCs w:val="24"/>
              </w:rPr>
              <w:t>ng</w:t>
            </w:r>
            <w:r w:rsidRPr="000E4506">
              <w:rPr>
                <w:rFonts w:cs="Segoe UI"/>
                <w:color w:val="242424"/>
                <w:szCs w:val="24"/>
                <w:shd w:val="clear" w:color="auto" w:fill="FFFFFF"/>
              </w:rPr>
              <w:t xml:space="preserve"> something over time to see how it develops</w:t>
            </w:r>
            <w:r>
              <w:rPr>
                <w:rFonts w:cs="Segoe UI"/>
                <w:color w:val="242424"/>
                <w:szCs w:val="24"/>
                <w:shd w:val="clear" w:color="auto" w:fill="FFFFFF"/>
              </w:rPr>
              <w:t>,</w:t>
            </w:r>
            <w:r w:rsidRPr="000E4506">
              <w:rPr>
                <w:rFonts w:cs="Segoe UI"/>
                <w:color w:val="242424"/>
                <w:szCs w:val="24"/>
                <w:shd w:val="clear" w:color="auto" w:fill="FFFFFF"/>
              </w:rPr>
              <w:t xml:space="preserve"> and to inform any necessary changes.</w:t>
            </w:r>
          </w:p>
        </w:tc>
      </w:tr>
      <w:tr w:rsidR="009A2C92" w14:paraId="01373516" w14:textId="77777777" w:rsidTr="0022501E">
        <w:tc>
          <w:tcPr>
            <w:tcW w:w="3114" w:type="dxa"/>
            <w:vAlign w:val="center"/>
          </w:tcPr>
          <w:p w14:paraId="3E6932A5" w14:textId="77777777" w:rsidR="009A2C92" w:rsidRPr="00D81165" w:rsidRDefault="009A2C92">
            <w:pPr>
              <w:rPr>
                <w:szCs w:val="24"/>
              </w:rPr>
            </w:pPr>
            <w:r w:rsidRPr="00D81165">
              <w:rPr>
                <w:szCs w:val="24"/>
              </w:rPr>
              <w:t xml:space="preserve">Outcome </w:t>
            </w:r>
            <w:r>
              <w:rPr>
                <w:szCs w:val="24"/>
              </w:rPr>
              <w:t>data</w:t>
            </w:r>
          </w:p>
        </w:tc>
        <w:tc>
          <w:tcPr>
            <w:tcW w:w="6898" w:type="dxa"/>
            <w:vAlign w:val="center"/>
          </w:tcPr>
          <w:p w14:paraId="64C8AA39" w14:textId="77777777" w:rsidR="009A2C92" w:rsidRPr="00D81165" w:rsidRDefault="009A2C92">
            <w:pPr>
              <w:rPr>
                <w:szCs w:val="24"/>
              </w:rPr>
            </w:pPr>
            <w:r w:rsidRPr="00D81165">
              <w:rPr>
                <w:szCs w:val="24"/>
              </w:rPr>
              <w:t xml:space="preserve">Data </w:t>
            </w:r>
            <w:r w:rsidRPr="00434A35">
              <w:rPr>
                <w:szCs w:val="24"/>
              </w:rPr>
              <w:t>describing the change</w:t>
            </w:r>
            <w:r w:rsidRPr="00D81165">
              <w:rPr>
                <w:szCs w:val="24"/>
              </w:rPr>
              <w:t xml:space="preserve"> for </w:t>
            </w:r>
            <w:r>
              <w:rPr>
                <w:szCs w:val="24"/>
              </w:rPr>
              <w:t>t</w:t>
            </w:r>
            <w:r>
              <w:rPr>
                <w:szCs w:val="24"/>
                <w:lang w:val="mi-NZ"/>
              </w:rPr>
              <w:t>āngata whaiora who are using services</w:t>
            </w:r>
            <w:r w:rsidRPr="00D81165">
              <w:rPr>
                <w:szCs w:val="24"/>
              </w:rPr>
              <w:t xml:space="preserve"> (the ‘ends’).</w:t>
            </w:r>
            <w:r>
              <w:rPr>
                <w:szCs w:val="24"/>
              </w:rPr>
              <w:t xml:space="preserve"> May be Outcome indicators or Outcome measures.</w:t>
            </w:r>
          </w:p>
        </w:tc>
      </w:tr>
      <w:tr w:rsidR="009A2C92" w14:paraId="0DF81CCC" w14:textId="77777777" w:rsidTr="0022501E">
        <w:tc>
          <w:tcPr>
            <w:tcW w:w="3114" w:type="dxa"/>
            <w:vAlign w:val="center"/>
          </w:tcPr>
          <w:p w14:paraId="3DFC4171" w14:textId="2AA74D1C" w:rsidR="009A2C92" w:rsidRPr="00D81165" w:rsidRDefault="009A2C92">
            <w:pPr>
              <w:rPr>
                <w:szCs w:val="24"/>
              </w:rPr>
            </w:pPr>
            <w:r>
              <w:rPr>
                <w:szCs w:val="24"/>
              </w:rPr>
              <w:t xml:space="preserve">[Conceptual] </w:t>
            </w:r>
            <w:r w:rsidRPr="001D6DA5">
              <w:rPr>
                <w:szCs w:val="24"/>
              </w:rPr>
              <w:t>Outcomes</w:t>
            </w:r>
          </w:p>
        </w:tc>
        <w:tc>
          <w:tcPr>
            <w:tcW w:w="6898" w:type="dxa"/>
            <w:vAlign w:val="center"/>
          </w:tcPr>
          <w:p w14:paraId="11676B97" w14:textId="77777777" w:rsidR="009A2C92" w:rsidRDefault="009A2C92">
            <w:pPr>
              <w:rPr>
                <w:rFonts w:cs="Arial"/>
              </w:rPr>
            </w:pPr>
            <w:r>
              <w:rPr>
                <w:rFonts w:cs="Arial"/>
              </w:rPr>
              <w:t xml:space="preserve">Narrative statements of </w:t>
            </w:r>
            <w:r w:rsidRPr="00912AE7">
              <w:rPr>
                <w:rFonts w:cs="Arial"/>
              </w:rPr>
              <w:t xml:space="preserve">wellbeing </w:t>
            </w:r>
            <w:r>
              <w:rPr>
                <w:rFonts w:cs="Arial"/>
              </w:rPr>
              <w:t>that reflect</w:t>
            </w:r>
            <w:r w:rsidRPr="00912AE7">
              <w:rPr>
                <w:rFonts w:cs="Arial"/>
              </w:rPr>
              <w:t xml:space="preserve"> the quality of life</w:t>
            </w:r>
            <w:r>
              <w:rPr>
                <w:rFonts w:cs="Arial"/>
              </w:rPr>
              <w:t xml:space="preserve"> and aspirations</w:t>
            </w:r>
            <w:r w:rsidRPr="00912AE7">
              <w:rPr>
                <w:rFonts w:cs="Arial"/>
              </w:rPr>
              <w:t xml:space="preserve"> for people, whānau</w:t>
            </w:r>
            <w:r>
              <w:rPr>
                <w:rFonts w:cs="Arial"/>
              </w:rPr>
              <w:t>,</w:t>
            </w:r>
            <w:r w:rsidRPr="00912AE7">
              <w:rPr>
                <w:rFonts w:cs="Arial"/>
              </w:rPr>
              <w:t xml:space="preserve"> and communities.</w:t>
            </w:r>
          </w:p>
          <w:p w14:paraId="47972F23" w14:textId="77777777" w:rsidR="009A2C92" w:rsidRPr="00D81165" w:rsidRDefault="009A2C92">
            <w:pPr>
              <w:rPr>
                <w:szCs w:val="24"/>
              </w:rPr>
            </w:pPr>
            <w:r>
              <w:rPr>
                <w:szCs w:val="24"/>
              </w:rPr>
              <w:t>There are 12 conceptual outcomes in the He Ara Oranga wellbeing outcome framework.</w:t>
            </w:r>
          </w:p>
        </w:tc>
      </w:tr>
      <w:tr w:rsidR="009A2C92" w14:paraId="025D4D6F" w14:textId="77777777" w:rsidTr="0022501E">
        <w:tc>
          <w:tcPr>
            <w:tcW w:w="3114" w:type="dxa"/>
            <w:vAlign w:val="center"/>
          </w:tcPr>
          <w:p w14:paraId="027571BD" w14:textId="77777777" w:rsidR="009A2C92" w:rsidRPr="00D81165" w:rsidRDefault="009A2C92">
            <w:pPr>
              <w:rPr>
                <w:szCs w:val="24"/>
              </w:rPr>
            </w:pPr>
            <w:r w:rsidRPr="00D81165">
              <w:rPr>
                <w:szCs w:val="24"/>
              </w:rPr>
              <w:t>Process and structure measures</w:t>
            </w:r>
          </w:p>
        </w:tc>
        <w:tc>
          <w:tcPr>
            <w:tcW w:w="6898" w:type="dxa"/>
            <w:vAlign w:val="center"/>
          </w:tcPr>
          <w:p w14:paraId="6E9918E7" w14:textId="77777777" w:rsidR="009A2C92" w:rsidRPr="001D79EC" w:rsidRDefault="009A2C92">
            <w:pPr>
              <w:rPr>
                <w:sz w:val="21"/>
                <w:szCs w:val="21"/>
              </w:rPr>
            </w:pPr>
            <w:r w:rsidRPr="00D81165">
              <w:rPr>
                <w:szCs w:val="24"/>
              </w:rPr>
              <w:t xml:space="preserve">Data describing how outcomes are achieved through processes and structures (the ‘means’). </w:t>
            </w:r>
            <w:r>
              <w:t>Processes are the</w:t>
            </w:r>
            <w:r>
              <w:rPr>
                <w:sz w:val="21"/>
                <w:szCs w:val="21"/>
              </w:rPr>
              <w:t xml:space="preserve"> </w:t>
            </w:r>
            <w:r>
              <w:t>workings</w:t>
            </w:r>
            <w:r>
              <w:rPr>
                <w:sz w:val="21"/>
                <w:szCs w:val="21"/>
              </w:rPr>
              <w:t xml:space="preserve"> </w:t>
            </w:r>
            <w:r>
              <w:t>of</w:t>
            </w:r>
            <w:r>
              <w:rPr>
                <w:sz w:val="21"/>
                <w:szCs w:val="21"/>
              </w:rPr>
              <w:t xml:space="preserve"> </w:t>
            </w:r>
            <w:r>
              <w:t>the</w:t>
            </w:r>
            <w:r>
              <w:rPr>
                <w:sz w:val="21"/>
                <w:szCs w:val="21"/>
              </w:rPr>
              <w:t xml:space="preserve"> </w:t>
            </w:r>
            <w:r>
              <w:t>system – the</w:t>
            </w:r>
            <w:r>
              <w:rPr>
                <w:sz w:val="21"/>
                <w:szCs w:val="21"/>
              </w:rPr>
              <w:t xml:space="preserve"> </w:t>
            </w:r>
            <w:r>
              <w:t>activities, steps or outputs</w:t>
            </w:r>
            <w:r>
              <w:rPr>
                <w:sz w:val="21"/>
                <w:szCs w:val="21"/>
              </w:rPr>
              <w:t xml:space="preserve"> </w:t>
            </w:r>
            <w:r>
              <w:t>that</w:t>
            </w:r>
            <w:r>
              <w:rPr>
                <w:sz w:val="21"/>
                <w:szCs w:val="21"/>
              </w:rPr>
              <w:t xml:space="preserve"> </w:t>
            </w:r>
            <w:r>
              <w:t>contribute</w:t>
            </w:r>
            <w:r>
              <w:rPr>
                <w:sz w:val="21"/>
                <w:szCs w:val="21"/>
              </w:rPr>
              <w:t xml:space="preserve"> </w:t>
            </w:r>
            <w:r>
              <w:t>to</w:t>
            </w:r>
            <w:r>
              <w:rPr>
                <w:sz w:val="21"/>
                <w:szCs w:val="21"/>
              </w:rPr>
              <w:t xml:space="preserve"> </w:t>
            </w:r>
            <w:r>
              <w:t>outcomes.</w:t>
            </w:r>
            <w:r>
              <w:rPr>
                <w:sz w:val="21"/>
                <w:szCs w:val="21"/>
              </w:rPr>
              <w:t xml:space="preserve"> </w:t>
            </w:r>
            <w:r>
              <w:t>Structures are the attributes</w:t>
            </w:r>
            <w:r>
              <w:rPr>
                <w:sz w:val="21"/>
                <w:szCs w:val="21"/>
              </w:rPr>
              <w:t xml:space="preserve"> </w:t>
            </w:r>
            <w:r>
              <w:t>of</w:t>
            </w:r>
            <w:r>
              <w:rPr>
                <w:sz w:val="21"/>
                <w:szCs w:val="21"/>
              </w:rPr>
              <w:t xml:space="preserve"> </w:t>
            </w:r>
            <w:r>
              <w:t>the</w:t>
            </w:r>
            <w:r>
              <w:rPr>
                <w:sz w:val="21"/>
                <w:szCs w:val="21"/>
              </w:rPr>
              <w:t xml:space="preserve"> </w:t>
            </w:r>
            <w:r>
              <w:t>system, such</w:t>
            </w:r>
            <w:r>
              <w:rPr>
                <w:sz w:val="21"/>
                <w:szCs w:val="21"/>
              </w:rPr>
              <w:t xml:space="preserve"> </w:t>
            </w:r>
            <w:r>
              <w:t>as</w:t>
            </w:r>
            <w:r>
              <w:rPr>
                <w:sz w:val="21"/>
                <w:szCs w:val="21"/>
              </w:rPr>
              <w:t xml:space="preserve"> </w:t>
            </w:r>
            <w:r>
              <w:t>capacity, financing, workforce, facilities, etc.</w:t>
            </w:r>
            <w:r>
              <w:rPr>
                <w:szCs w:val="24"/>
              </w:rPr>
              <w:t xml:space="preserve"> </w:t>
            </w:r>
          </w:p>
        </w:tc>
      </w:tr>
      <w:tr w:rsidR="009A2C92" w:rsidRPr="00CC041C" w14:paraId="7CB1DE1E" w14:textId="77777777" w:rsidTr="0022501E">
        <w:tc>
          <w:tcPr>
            <w:tcW w:w="3114" w:type="dxa"/>
            <w:vAlign w:val="center"/>
          </w:tcPr>
          <w:p w14:paraId="50705AF0" w14:textId="77777777" w:rsidR="009A2C92" w:rsidRDefault="009A2C92">
            <w:pPr>
              <w:rPr>
                <w:szCs w:val="24"/>
              </w:rPr>
            </w:pPr>
            <w:r>
              <w:rPr>
                <w:szCs w:val="24"/>
              </w:rPr>
              <w:t>Strengths-based</w:t>
            </w:r>
          </w:p>
        </w:tc>
        <w:tc>
          <w:tcPr>
            <w:tcW w:w="6898" w:type="dxa"/>
            <w:vAlign w:val="center"/>
          </w:tcPr>
          <w:p w14:paraId="015D8B33" w14:textId="541BB916" w:rsidR="009A2C92" w:rsidRPr="000E4506" w:rsidRDefault="009A2C92">
            <w:pPr>
              <w:rPr>
                <w:rFonts w:cs="Segoe UI"/>
                <w:color w:val="242424"/>
                <w:shd w:val="clear" w:color="auto" w:fill="FFFFFF"/>
              </w:rPr>
            </w:pPr>
            <w:r w:rsidRPr="4BF20B4B">
              <w:rPr>
                <w:rFonts w:cs="Segoe UI"/>
                <w:color w:val="242424"/>
                <w:shd w:val="clear" w:color="auto" w:fill="FFFFFF"/>
              </w:rPr>
              <w:t xml:space="preserve">Data </w:t>
            </w:r>
            <w:r>
              <w:rPr>
                <w:rFonts w:cs="Segoe UI"/>
                <w:color w:val="242424"/>
                <w:shd w:val="clear" w:color="auto" w:fill="FFFFFF"/>
              </w:rPr>
              <w:t xml:space="preserve">that </w:t>
            </w:r>
            <w:r w:rsidRPr="4BF20B4B">
              <w:rPr>
                <w:rFonts w:cs="Segoe UI"/>
                <w:color w:val="242424"/>
                <w:shd w:val="clear" w:color="auto" w:fill="FFFFFF"/>
              </w:rPr>
              <w:t xml:space="preserve">reflects </w:t>
            </w:r>
            <w:r>
              <w:rPr>
                <w:rFonts w:cs="Segoe UI"/>
                <w:color w:val="242424"/>
                <w:shd w:val="clear" w:color="auto" w:fill="FFFFFF"/>
              </w:rPr>
              <w:t>a strengths-based lens (compared to deficit). For us, strengths-based data measures what is working for people</w:t>
            </w:r>
            <w:r w:rsidR="00A6712C">
              <w:rPr>
                <w:rFonts w:cs="Segoe UI"/>
                <w:color w:val="242424"/>
                <w:shd w:val="clear" w:color="auto" w:fill="FFFFFF"/>
              </w:rPr>
              <w:t>,</w:t>
            </w:r>
            <w:r>
              <w:rPr>
                <w:rFonts w:cs="Segoe UI"/>
                <w:color w:val="242424"/>
                <w:shd w:val="clear" w:color="auto" w:fill="FFFFFF"/>
              </w:rPr>
              <w:t xml:space="preserve"> particular</w:t>
            </w:r>
            <w:r w:rsidR="00A6712C">
              <w:rPr>
                <w:rFonts w:cs="Segoe UI"/>
                <w:color w:val="242424"/>
                <w:shd w:val="clear" w:color="auto" w:fill="FFFFFF"/>
              </w:rPr>
              <w:t>ly</w:t>
            </w:r>
            <w:r>
              <w:rPr>
                <w:rFonts w:cs="Segoe UI"/>
                <w:color w:val="242424"/>
                <w:shd w:val="clear" w:color="auto" w:fill="FFFFFF"/>
              </w:rPr>
              <w:t>, protective factors. For example, cultural connection for tangata whenua is an evidence-based protective factor for mental health and addictions.</w:t>
            </w:r>
          </w:p>
        </w:tc>
      </w:tr>
      <w:tr w:rsidR="009A2C92" w:rsidRPr="001458B4" w14:paraId="2DF8469F" w14:textId="77777777" w:rsidTr="0022501E">
        <w:tc>
          <w:tcPr>
            <w:tcW w:w="3114" w:type="dxa"/>
            <w:vAlign w:val="center"/>
          </w:tcPr>
          <w:p w14:paraId="4EA326C0" w14:textId="77777777" w:rsidR="009A2C92" w:rsidRPr="00D81165" w:rsidRDefault="009A2C92">
            <w:pPr>
              <w:rPr>
                <w:szCs w:val="24"/>
                <w:lang w:val="mi-NZ"/>
              </w:rPr>
            </w:pPr>
            <w:r w:rsidRPr="00D81165">
              <w:rPr>
                <w:szCs w:val="24"/>
              </w:rPr>
              <w:t>T</w:t>
            </w:r>
            <w:r w:rsidRPr="00D81165">
              <w:rPr>
                <w:szCs w:val="24"/>
                <w:lang w:val="mi-NZ"/>
              </w:rPr>
              <w:t>āngata whaiora</w:t>
            </w:r>
          </w:p>
        </w:tc>
        <w:tc>
          <w:tcPr>
            <w:tcW w:w="6898" w:type="dxa"/>
            <w:vAlign w:val="center"/>
          </w:tcPr>
          <w:p w14:paraId="641270E2" w14:textId="77777777" w:rsidR="009A2C92" w:rsidRPr="00D81165" w:rsidRDefault="009A2C92">
            <w:pPr>
              <w:rPr>
                <w:szCs w:val="24"/>
                <w:lang w:val="en-GB" w:eastAsia="en-GB"/>
              </w:rPr>
            </w:pPr>
            <w:r w:rsidRPr="00D81165">
              <w:rPr>
                <w:szCs w:val="24"/>
                <w:lang w:val="en-GB" w:eastAsia="en-GB"/>
              </w:rPr>
              <w:t>Tāngata whaiora can be people of any age or ethnicity seeking wellbeing or support, including people who have recent or current experience of distress, harm from substance use or harm from gambling (or a combination of these).</w:t>
            </w:r>
          </w:p>
          <w:p w14:paraId="328185D7" w14:textId="77777777" w:rsidR="009A2C92" w:rsidRPr="00D81165" w:rsidRDefault="009A2C92">
            <w:pPr>
              <w:rPr>
                <w:szCs w:val="24"/>
                <w:lang w:val="en-GB" w:eastAsia="en-GB"/>
              </w:rPr>
            </w:pPr>
            <w:r w:rsidRPr="00D81165">
              <w:rPr>
                <w:szCs w:val="24"/>
                <w:lang w:val="en-GB" w:eastAsia="en-GB"/>
              </w:rPr>
              <w:lastRenderedPageBreak/>
              <w:t>Tāngata whaiora include people who have accessed or are accessing supports and services, and people who want mental health or addiction support but are not accessing supports or services.</w:t>
            </w:r>
          </w:p>
        </w:tc>
      </w:tr>
      <w:tr w:rsidR="009A2C92" w:rsidRPr="001458B4" w14:paraId="501BCDAE" w14:textId="77777777" w:rsidTr="0022501E">
        <w:tc>
          <w:tcPr>
            <w:tcW w:w="3114" w:type="dxa"/>
            <w:vAlign w:val="center"/>
          </w:tcPr>
          <w:p w14:paraId="28BA2079" w14:textId="77777777" w:rsidR="009A2C92" w:rsidRPr="00D81165" w:rsidRDefault="009A2C92">
            <w:r>
              <w:lastRenderedPageBreak/>
              <w:t>Wellbeing systems</w:t>
            </w:r>
          </w:p>
        </w:tc>
        <w:tc>
          <w:tcPr>
            <w:tcW w:w="6898" w:type="dxa"/>
            <w:vAlign w:val="center"/>
          </w:tcPr>
          <w:p w14:paraId="077C8C37" w14:textId="5BA059AD" w:rsidR="009A2C92" w:rsidRPr="00E02DE9" w:rsidRDefault="009A2C92">
            <w:pPr>
              <w:rPr>
                <w:color w:val="000000" w:themeColor="text1"/>
              </w:rPr>
            </w:pPr>
            <w:r w:rsidRPr="53ADC9A1">
              <w:rPr>
                <w:color w:val="000000" w:themeColor="text1"/>
              </w:rPr>
              <w:t xml:space="preserve">The wellbeing </w:t>
            </w:r>
            <w:r w:rsidRPr="159E05DE">
              <w:rPr>
                <w:color w:val="000000" w:themeColor="text1"/>
              </w:rPr>
              <w:t>systems</w:t>
            </w:r>
            <w:r w:rsidRPr="53ADC9A1">
              <w:rPr>
                <w:color w:val="000000" w:themeColor="text1"/>
              </w:rPr>
              <w:t xml:space="preserve"> </w:t>
            </w:r>
            <w:r w:rsidRPr="3CFA69B7">
              <w:rPr>
                <w:color w:val="000000" w:themeColor="text1"/>
              </w:rPr>
              <w:t>include</w:t>
            </w:r>
            <w:r w:rsidRPr="53ADC9A1">
              <w:rPr>
                <w:color w:val="000000" w:themeColor="text1"/>
              </w:rPr>
              <w:t xml:space="preserve"> all people, services</w:t>
            </w:r>
            <w:r>
              <w:rPr>
                <w:color w:val="000000" w:themeColor="text1"/>
              </w:rPr>
              <w:t>,</w:t>
            </w:r>
            <w:r w:rsidRPr="53ADC9A1">
              <w:rPr>
                <w:color w:val="000000" w:themeColor="text1"/>
              </w:rPr>
              <w:t xml:space="preserve"> and supports that contribute to </w:t>
            </w:r>
            <w:r w:rsidR="00244992">
              <w:rPr>
                <w:color w:val="000000" w:themeColor="text1"/>
              </w:rPr>
              <w:t xml:space="preserve">the </w:t>
            </w:r>
            <w:r w:rsidRPr="53ADC9A1">
              <w:rPr>
                <w:color w:val="000000" w:themeColor="text1"/>
              </w:rPr>
              <w:t>holistic wellbeing of people, whānau</w:t>
            </w:r>
            <w:r>
              <w:rPr>
                <w:color w:val="000000" w:themeColor="text1"/>
              </w:rPr>
              <w:t>,</w:t>
            </w:r>
            <w:r w:rsidRPr="53ADC9A1">
              <w:rPr>
                <w:color w:val="000000" w:themeColor="text1"/>
              </w:rPr>
              <w:t xml:space="preserve"> and communities across many areas and populations in Aotearoa. </w:t>
            </w:r>
            <w:r w:rsidRPr="721BCA2B">
              <w:rPr>
                <w:color w:val="000000" w:themeColor="text1"/>
              </w:rPr>
              <w:t>Wellbeing</w:t>
            </w:r>
            <w:r w:rsidRPr="7CB706DC">
              <w:rPr>
                <w:color w:val="000000" w:themeColor="text1"/>
              </w:rPr>
              <w:t xml:space="preserve"> systems </w:t>
            </w:r>
            <w:r w:rsidRPr="721BCA2B">
              <w:rPr>
                <w:color w:val="000000" w:themeColor="text1"/>
              </w:rPr>
              <w:t>are wider</w:t>
            </w:r>
            <w:r w:rsidRPr="53ADC9A1">
              <w:rPr>
                <w:color w:val="000000" w:themeColor="text1"/>
              </w:rPr>
              <w:t xml:space="preserve"> than health and </w:t>
            </w:r>
            <w:r w:rsidRPr="38BFF63A">
              <w:rPr>
                <w:color w:val="000000" w:themeColor="text1"/>
              </w:rPr>
              <w:t>include</w:t>
            </w:r>
            <w:r>
              <w:rPr>
                <w:color w:val="000000" w:themeColor="text1"/>
              </w:rPr>
              <w:t xml:space="preserve"> amongst other things</w:t>
            </w:r>
            <w:r w:rsidRPr="53ADC9A1">
              <w:rPr>
                <w:color w:val="000000" w:themeColor="text1"/>
              </w:rPr>
              <w:t xml:space="preserve">, education, </w:t>
            </w:r>
            <w:r>
              <w:rPr>
                <w:color w:val="000000" w:themeColor="text1"/>
              </w:rPr>
              <w:t xml:space="preserve">whānau ora, social services, and </w:t>
            </w:r>
            <w:r w:rsidRPr="53ADC9A1">
              <w:rPr>
                <w:color w:val="000000" w:themeColor="text1"/>
              </w:rPr>
              <w:t>mental health and addiction.</w:t>
            </w:r>
          </w:p>
        </w:tc>
      </w:tr>
      <w:tr w:rsidR="009A2C92" w14:paraId="2BB3A453" w14:textId="77777777" w:rsidTr="0022501E">
        <w:tc>
          <w:tcPr>
            <w:tcW w:w="3114" w:type="dxa"/>
            <w:vAlign w:val="center"/>
          </w:tcPr>
          <w:p w14:paraId="55AE72C9" w14:textId="77777777" w:rsidR="009A2C92" w:rsidRPr="00D81165" w:rsidRDefault="009A2C92">
            <w:pPr>
              <w:rPr>
                <w:szCs w:val="24"/>
              </w:rPr>
            </w:pPr>
            <w:r>
              <w:rPr>
                <w:szCs w:val="24"/>
              </w:rPr>
              <w:t>Whānau</w:t>
            </w:r>
          </w:p>
        </w:tc>
        <w:tc>
          <w:tcPr>
            <w:tcW w:w="6898" w:type="dxa"/>
            <w:vAlign w:val="center"/>
          </w:tcPr>
          <w:p w14:paraId="20767C69" w14:textId="6C2A2232" w:rsidR="009A2C92" w:rsidRPr="00075560" w:rsidRDefault="009A2C92">
            <w:pPr>
              <w:rPr>
                <w:szCs w:val="24"/>
                <w:lang w:val="en-GB" w:eastAsia="en-GB"/>
              </w:rPr>
            </w:pPr>
            <w:r w:rsidRPr="00075560">
              <w:rPr>
                <w:szCs w:val="24"/>
                <w:lang w:val="en-GB" w:eastAsia="en-GB"/>
              </w:rPr>
              <w:t>Whānau has its whakapapa (history) and origins located firmly in</w:t>
            </w:r>
            <w:r w:rsidRPr="00075560">
              <w:rPr>
                <w:rFonts w:ascii="Cambria Math" w:hAnsi="Cambria Math" w:cs="Cambria Math"/>
                <w:szCs w:val="24"/>
                <w:lang w:val="en-GB" w:eastAsia="en-GB"/>
              </w:rPr>
              <w:t> </w:t>
            </w:r>
            <w:r w:rsidR="0027490A">
              <w:rPr>
                <w:rFonts w:cs="Cambria Math"/>
                <w:szCs w:val="24"/>
                <w:lang w:val="en-GB" w:eastAsia="en-GB"/>
              </w:rPr>
              <w:t>T</w:t>
            </w:r>
            <w:r w:rsidRPr="00075560">
              <w:rPr>
                <w:szCs w:val="24"/>
                <w:lang w:val="en-GB" w:eastAsia="en-GB"/>
              </w:rPr>
              <w:t xml:space="preserve">e </w:t>
            </w:r>
            <w:r w:rsidR="0027490A">
              <w:rPr>
                <w:szCs w:val="24"/>
                <w:lang w:val="en-GB" w:eastAsia="en-GB"/>
              </w:rPr>
              <w:t>A</w:t>
            </w:r>
            <w:r w:rsidRPr="00075560">
              <w:rPr>
                <w:szCs w:val="24"/>
                <w:lang w:val="en-GB" w:eastAsia="en-GB"/>
              </w:rPr>
              <w:t>o</w:t>
            </w:r>
            <w:r w:rsidRPr="00075560">
              <w:rPr>
                <w:rFonts w:ascii="Cambria Math" w:hAnsi="Cambria Math" w:cs="Cambria Math"/>
                <w:szCs w:val="24"/>
                <w:lang w:val="en-GB" w:eastAsia="en-GB"/>
              </w:rPr>
              <w:t> </w:t>
            </w:r>
            <w:r w:rsidRPr="00075560">
              <w:rPr>
                <w:szCs w:val="24"/>
                <w:lang w:val="en-GB" w:eastAsia="en-GB"/>
              </w:rPr>
              <w:t>Māori (Māori worldview) and refers specifically to blood connections that exist between generations of lineage that descend from Atua Māori.</w:t>
            </w:r>
            <w:r w:rsidRPr="00075560">
              <w:rPr>
                <w:rFonts w:ascii="Cambria Math" w:hAnsi="Cambria Math" w:cs="Cambria Math"/>
                <w:szCs w:val="24"/>
                <w:lang w:val="en-GB" w:eastAsia="en-GB"/>
              </w:rPr>
              <w:t> ​ </w:t>
            </w:r>
            <w:r w:rsidRPr="00075560">
              <w:rPr>
                <w:rFonts w:ascii="Calibri" w:hAnsi="Calibri" w:cs="Calibri"/>
                <w:szCs w:val="24"/>
                <w:lang w:val="en-GB" w:eastAsia="en-GB"/>
              </w:rPr>
              <w:t> </w:t>
            </w:r>
          </w:p>
          <w:p w14:paraId="7C8F977D" w14:textId="2A99BF50" w:rsidR="009A2C92" w:rsidRPr="00075560" w:rsidRDefault="00893591">
            <w:pPr>
              <w:rPr>
                <w:szCs w:val="24"/>
                <w:lang w:val="en-GB" w:eastAsia="en-GB"/>
              </w:rPr>
            </w:pPr>
            <w:r>
              <w:rPr>
                <w:szCs w:val="24"/>
                <w:lang w:val="en-GB" w:eastAsia="en-GB"/>
              </w:rPr>
              <w:t>W</w:t>
            </w:r>
            <w:r w:rsidR="009A2C92" w:rsidRPr="00075560">
              <w:rPr>
                <w:szCs w:val="24"/>
                <w:lang w:val="en-GB" w:eastAsia="en-GB"/>
              </w:rPr>
              <w:t xml:space="preserve">hānau is </w:t>
            </w:r>
            <w:r>
              <w:rPr>
                <w:szCs w:val="24"/>
                <w:lang w:val="en-GB" w:eastAsia="en-GB"/>
              </w:rPr>
              <w:t xml:space="preserve">now </w:t>
            </w:r>
            <w:r w:rsidR="009A2C92" w:rsidRPr="00075560">
              <w:rPr>
                <w:szCs w:val="24"/>
                <w:lang w:val="en-GB" w:eastAsia="en-GB"/>
              </w:rPr>
              <w:t>also commonly used to include people who have close relationships and / or who come together with a common purpose. Tāngata whaiora can determine who their whānau and / or kaupapa whānau is when they are seeking or receiving support.</w:t>
            </w:r>
            <w:r w:rsidR="009A2C92" w:rsidRPr="00075560">
              <w:rPr>
                <w:rFonts w:ascii="Calibri" w:hAnsi="Calibri" w:cs="Calibri"/>
                <w:szCs w:val="24"/>
                <w:lang w:val="en-GB" w:eastAsia="en-GB"/>
              </w:rPr>
              <w:t> </w:t>
            </w:r>
          </w:p>
        </w:tc>
      </w:tr>
      <w:tr w:rsidR="009A2C92" w14:paraId="35DAFD8E" w14:textId="77777777" w:rsidTr="0022501E">
        <w:tc>
          <w:tcPr>
            <w:tcW w:w="3114" w:type="dxa"/>
            <w:vAlign w:val="center"/>
          </w:tcPr>
          <w:p w14:paraId="25B3DF31" w14:textId="77777777" w:rsidR="009A2C92" w:rsidRDefault="009A2C92">
            <w:pPr>
              <w:rPr>
                <w:szCs w:val="24"/>
              </w:rPr>
            </w:pPr>
            <w:r>
              <w:rPr>
                <w:szCs w:val="24"/>
              </w:rPr>
              <w:t>Workforce/s</w:t>
            </w:r>
          </w:p>
        </w:tc>
        <w:tc>
          <w:tcPr>
            <w:tcW w:w="6898" w:type="dxa"/>
            <w:vAlign w:val="center"/>
          </w:tcPr>
          <w:p w14:paraId="008628E1" w14:textId="29138FED" w:rsidR="009A2C92" w:rsidRPr="00075560" w:rsidRDefault="009A2C92">
            <w:pPr>
              <w:rPr>
                <w:szCs w:val="24"/>
                <w:lang w:val="en-GB" w:eastAsia="en-GB"/>
              </w:rPr>
            </w:pPr>
            <w:r w:rsidRPr="00C7197E">
              <w:rPr>
                <w:szCs w:val="24"/>
                <w:lang w:val="en-GB" w:eastAsia="en-GB"/>
              </w:rPr>
              <w:t xml:space="preserve">Workforces </w:t>
            </w:r>
            <w:r w:rsidR="00F57634">
              <w:rPr>
                <w:szCs w:val="24"/>
                <w:lang w:val="en-GB" w:eastAsia="en-GB"/>
              </w:rPr>
              <w:t>include</w:t>
            </w:r>
            <w:r w:rsidRPr="00C7197E">
              <w:rPr>
                <w:szCs w:val="24"/>
                <w:lang w:val="en-GB" w:eastAsia="en-GB"/>
              </w:rPr>
              <w:t xml:space="preserve"> clinical, kaiāwhina, peer, and cultural roles across a diverse range of support and service setting</w:t>
            </w:r>
            <w:r>
              <w:rPr>
                <w:szCs w:val="24"/>
                <w:lang w:val="en-GB" w:eastAsia="en-GB"/>
              </w:rPr>
              <w:t>s</w:t>
            </w:r>
            <w:r w:rsidRPr="00C7197E">
              <w:rPr>
                <w:szCs w:val="24"/>
                <w:lang w:val="en-GB" w:eastAsia="en-GB"/>
              </w:rPr>
              <w:t>.</w:t>
            </w:r>
          </w:p>
        </w:tc>
      </w:tr>
    </w:tbl>
    <w:p w14:paraId="5F68AD7F" w14:textId="77777777" w:rsidR="0022501E" w:rsidRDefault="0022501E">
      <w:pPr>
        <w:spacing w:line="259" w:lineRule="auto"/>
        <w:rPr>
          <w:rFonts w:ascii="Basic Sans" w:eastAsiaTheme="majorEastAsia" w:hAnsi="Basic Sans" w:cstheme="majorBidi"/>
          <w:color w:val="005E85"/>
          <w:sz w:val="56"/>
          <w:szCs w:val="56"/>
        </w:rPr>
      </w:pPr>
      <w:r>
        <w:rPr>
          <w:sz w:val="56"/>
          <w:szCs w:val="56"/>
        </w:rPr>
        <w:br w:type="page"/>
      </w:r>
    </w:p>
    <w:p w14:paraId="577F4C5E" w14:textId="77777777" w:rsidR="00FB3331" w:rsidRDefault="00FB3331" w:rsidP="00802923">
      <w:pPr>
        <w:pStyle w:val="Heading1"/>
        <w:rPr>
          <w:sz w:val="56"/>
          <w:szCs w:val="56"/>
        </w:rPr>
        <w:sectPr w:rsidR="00FB3331" w:rsidSect="00EA396D">
          <w:type w:val="continuous"/>
          <w:pgSz w:w="11910" w:h="16840"/>
          <w:pgMar w:top="1440" w:right="1440" w:bottom="1440" w:left="1440" w:header="709" w:footer="397" w:gutter="0"/>
          <w:cols w:space="708"/>
          <w:titlePg/>
          <w:docGrid w:linePitch="326"/>
        </w:sectPr>
      </w:pPr>
      <w:bookmarkStart w:id="24" w:name="_Appendix_2"/>
      <w:bookmarkEnd w:id="24"/>
    </w:p>
    <w:p w14:paraId="7422354B" w14:textId="0E5B4B69" w:rsidR="00802923" w:rsidRDefault="0022501E" w:rsidP="00802923">
      <w:pPr>
        <w:pStyle w:val="Heading1"/>
        <w:rPr>
          <w:sz w:val="56"/>
          <w:szCs w:val="56"/>
        </w:rPr>
      </w:pPr>
      <w:bookmarkStart w:id="25" w:name="_Toc135392326"/>
      <w:r>
        <w:rPr>
          <w:sz w:val="56"/>
          <w:szCs w:val="56"/>
        </w:rPr>
        <w:lastRenderedPageBreak/>
        <w:t>A</w:t>
      </w:r>
      <w:r w:rsidR="0055689C" w:rsidRPr="006A202C">
        <w:rPr>
          <w:sz w:val="56"/>
          <w:szCs w:val="56"/>
        </w:rPr>
        <w:t xml:space="preserve">ppendix </w:t>
      </w:r>
      <w:r w:rsidR="008D5EAB">
        <w:rPr>
          <w:sz w:val="56"/>
          <w:szCs w:val="56"/>
        </w:rPr>
        <w:t>3</w:t>
      </w:r>
      <w:r w:rsidR="009337FA">
        <w:rPr>
          <w:sz w:val="56"/>
          <w:szCs w:val="56"/>
        </w:rPr>
        <w:t xml:space="preserve">: </w:t>
      </w:r>
      <w:r w:rsidR="0059049F">
        <w:rPr>
          <w:sz w:val="56"/>
          <w:szCs w:val="56"/>
        </w:rPr>
        <w:t>Outcome priorities for 2023 monitoring</w:t>
      </w:r>
      <w:bookmarkEnd w:id="25"/>
      <w:r w:rsidR="0059049F">
        <w:rPr>
          <w:sz w:val="56"/>
          <w:szCs w:val="56"/>
        </w:rPr>
        <w:t xml:space="preserve"> </w:t>
      </w:r>
    </w:p>
    <w:p w14:paraId="4AE0F112" w14:textId="68BD5F4C" w:rsidR="00537B6E" w:rsidRDefault="007859E9" w:rsidP="00537B6E">
      <w:r>
        <w:t xml:space="preserve">Blue highlights </w:t>
      </w:r>
      <w:r w:rsidR="003207AA">
        <w:t xml:space="preserve">are </w:t>
      </w:r>
      <w:r w:rsidR="0074310C">
        <w:t xml:space="preserve">primary concepts for 2023; grey highlights </w:t>
      </w:r>
      <w:r w:rsidR="00C31A9E">
        <w:t>are</w:t>
      </w:r>
      <w:r w:rsidR="0074310C">
        <w:t xml:space="preserve"> highly valued but secondary.</w:t>
      </w:r>
      <w:r w:rsidR="00537B6E" w:rsidRPr="00537B6E">
        <w:t xml:space="preserve"> </w:t>
      </w:r>
      <w:r w:rsidR="00537B6E">
        <w:t>It is important to note that not all outcome concepts selected are present in the final shortlist. Some are not included due to lack of available data.</w:t>
      </w:r>
    </w:p>
    <w:p w14:paraId="469D7F55" w14:textId="77777777" w:rsidR="005F64D8" w:rsidRPr="005F64D8" w:rsidRDefault="005F64D8" w:rsidP="003F5725">
      <w:pPr>
        <w:pStyle w:val="Heading3"/>
        <w:rPr>
          <w:lang w:val="en-US"/>
        </w:rPr>
      </w:pPr>
      <w:r w:rsidRPr="005F64D8">
        <w:rPr>
          <w:lang w:val="en-US"/>
        </w:rPr>
        <w:t>Te Ao Māori Perspective</w:t>
      </w:r>
    </w:p>
    <w:p w14:paraId="232AAD22" w14:textId="3818F949" w:rsidR="005F64D8" w:rsidRPr="005F64D8" w:rsidRDefault="005F64D8" w:rsidP="003F5725">
      <w:pPr>
        <w:pStyle w:val="Heading4"/>
        <w:rPr>
          <w:lang w:val="en-US"/>
        </w:rPr>
      </w:pPr>
      <w:r w:rsidRPr="005F64D8">
        <w:rPr>
          <w:lang w:val="en-US"/>
        </w:rPr>
        <w:t xml:space="preserve">Mana Whakahaere – We (whānau) experience </w:t>
      </w:r>
      <w:r w:rsidR="00D71ED7">
        <w:rPr>
          <w:lang w:val="en-US"/>
        </w:rPr>
        <w:t>T</w:t>
      </w:r>
      <w:r w:rsidRPr="005F64D8">
        <w:rPr>
          <w:lang w:val="en-US"/>
        </w:rPr>
        <w:t>ino Rangatiratanga and feel that Te Tiriti o Waitangi is actively embedded in the mental health and addiction system and services.</w:t>
      </w:r>
    </w:p>
    <w:p w14:paraId="3740AF3E" w14:textId="3368B1E8" w:rsidR="005F64D8" w:rsidRPr="005F64D8" w:rsidRDefault="005F64D8" w:rsidP="005F64D8">
      <w:pPr>
        <w:rPr>
          <w:lang w:val="mi-NZ"/>
        </w:rPr>
      </w:pPr>
      <w:r w:rsidRPr="005F64D8">
        <w:rPr>
          <w:lang w:val="mi-NZ"/>
        </w:rPr>
        <w:t>Te Tiriti o Waitangi is the foundation to develop legislation and policy.</w:t>
      </w:r>
      <w:r w:rsidR="00022B3E">
        <w:rPr>
          <w:lang w:val="mi-NZ"/>
        </w:rPr>
        <w:t xml:space="preserve"> </w:t>
      </w:r>
    </w:p>
    <w:p w14:paraId="478FB8B6" w14:textId="77777777" w:rsidR="005F64D8" w:rsidRPr="005F64D8" w:rsidRDefault="005F64D8" w:rsidP="005F64D8">
      <w:pPr>
        <w:rPr>
          <w:lang w:val="mi-NZ"/>
        </w:rPr>
      </w:pPr>
      <w:r w:rsidRPr="005F64D8">
        <w:rPr>
          <w:highlight w:val="lightGray"/>
          <w:lang w:val="mi-NZ"/>
        </w:rPr>
        <w:t>Whānau develop strategies to address inequities across social determinants of health to achieve equitable wellbeing outcomes.</w:t>
      </w:r>
      <w:r w:rsidRPr="005F64D8">
        <w:rPr>
          <w:lang w:val="mi-NZ"/>
        </w:rPr>
        <w:t xml:space="preserve"> </w:t>
      </w:r>
    </w:p>
    <w:p w14:paraId="6FADFA20" w14:textId="77777777" w:rsidR="005F64D8" w:rsidRPr="005F64D8" w:rsidRDefault="005F64D8" w:rsidP="005F64D8">
      <w:pPr>
        <w:rPr>
          <w:lang w:val="mi-NZ"/>
        </w:rPr>
      </w:pPr>
      <w:r w:rsidRPr="005F64D8">
        <w:rPr>
          <w:lang w:val="mi-NZ"/>
        </w:rPr>
        <w:t xml:space="preserve">Whānau lead mental health and wellbeing resource and policy decision-making at every level. </w:t>
      </w:r>
    </w:p>
    <w:p w14:paraId="00619FEE" w14:textId="77777777" w:rsidR="005F64D8" w:rsidRPr="005F64D8" w:rsidRDefault="005F64D8" w:rsidP="005F64D8">
      <w:pPr>
        <w:rPr>
          <w:lang w:val="mi-NZ"/>
        </w:rPr>
      </w:pPr>
      <w:r w:rsidRPr="005F64D8">
        <w:rPr>
          <w:highlight w:val="cyan"/>
          <w:lang w:val="mi-NZ"/>
        </w:rPr>
        <w:t>Mātauranga Māori is recognised and valued alongside clinical views as integral to all that occurs within the system.</w:t>
      </w:r>
      <w:r w:rsidRPr="005F64D8">
        <w:rPr>
          <w:lang w:val="mi-NZ"/>
        </w:rPr>
        <w:t xml:space="preserve"> </w:t>
      </w:r>
    </w:p>
    <w:p w14:paraId="3C411C24" w14:textId="77777777" w:rsidR="005F64D8" w:rsidRPr="005F64D8" w:rsidRDefault="005F64D8" w:rsidP="005F64D8">
      <w:pPr>
        <w:rPr>
          <w:lang w:val="mi-NZ"/>
        </w:rPr>
      </w:pPr>
      <w:r w:rsidRPr="005F64D8">
        <w:rPr>
          <w:highlight w:val="lightGray"/>
          <w:lang w:val="mi-NZ"/>
        </w:rPr>
        <w:t>Māori are enabled to monitor compliance to Te Tiriti o Waitangi to address institutional racism and inequities in resourcing across the system.</w:t>
      </w:r>
      <w:r w:rsidRPr="005F64D8">
        <w:rPr>
          <w:lang w:val="mi-NZ"/>
        </w:rPr>
        <w:t xml:space="preserve"> </w:t>
      </w:r>
    </w:p>
    <w:p w14:paraId="28E17124" w14:textId="5B4BF835" w:rsidR="005F64D8" w:rsidRPr="005F64D8" w:rsidRDefault="005F64D8" w:rsidP="005F64D8">
      <w:pPr>
        <w:rPr>
          <w:lang w:val="mi-NZ"/>
        </w:rPr>
      </w:pPr>
      <w:r w:rsidRPr="005F64D8">
        <w:rPr>
          <w:highlight w:val="cyan"/>
          <w:lang w:val="mi-NZ"/>
        </w:rPr>
        <w:t>Māori data are protected, and outcomes and measures are defined and determined by whānau.</w:t>
      </w:r>
      <w:r w:rsidR="00B043E6">
        <w:rPr>
          <w:lang w:val="mi-NZ"/>
        </w:rPr>
        <w:t xml:space="preserve"> </w:t>
      </w:r>
    </w:p>
    <w:p w14:paraId="6BBE2EB1" w14:textId="77777777" w:rsidR="005F64D8" w:rsidRPr="005F64D8" w:rsidRDefault="005F64D8" w:rsidP="00131456">
      <w:pPr>
        <w:pStyle w:val="Heading4"/>
        <w:rPr>
          <w:lang w:val="mi-NZ"/>
        </w:rPr>
      </w:pPr>
      <w:r w:rsidRPr="005F64D8">
        <w:t>Mana Motuhake –</w:t>
      </w:r>
      <w:r w:rsidRPr="005F64D8">
        <w:rPr>
          <w:lang w:val="mi-NZ"/>
        </w:rPr>
        <w:t xml:space="preserve"> We lead and self-determine our pathways to pae ora, mauri ora and whānau ora.</w:t>
      </w:r>
    </w:p>
    <w:p w14:paraId="7A123A7A" w14:textId="151BBBE5" w:rsidR="005F64D8" w:rsidRPr="005F64D8" w:rsidRDefault="005F64D8" w:rsidP="005F64D8">
      <w:r w:rsidRPr="005F64D8">
        <w:rPr>
          <w:highlight w:val="lightGray"/>
        </w:rPr>
        <w:t>Whānau participate and lead locally, regionally</w:t>
      </w:r>
      <w:r w:rsidR="00D71ED7">
        <w:rPr>
          <w:highlight w:val="lightGray"/>
        </w:rPr>
        <w:t>,</w:t>
      </w:r>
      <w:r w:rsidRPr="005F64D8">
        <w:rPr>
          <w:highlight w:val="lightGray"/>
        </w:rPr>
        <w:t xml:space="preserve"> and nationally.</w:t>
      </w:r>
      <w:r w:rsidRPr="005F64D8">
        <w:t xml:space="preserve"> </w:t>
      </w:r>
    </w:p>
    <w:p w14:paraId="285A5607" w14:textId="77777777" w:rsidR="005F64D8" w:rsidRPr="005F64D8" w:rsidRDefault="005F64D8" w:rsidP="005F64D8">
      <w:r w:rsidRPr="005F64D8">
        <w:rPr>
          <w:highlight w:val="cyan"/>
        </w:rPr>
        <w:t>Whānau determine, design and co-create supports and services that whakamana the aspirations of Māori.</w:t>
      </w:r>
      <w:r w:rsidRPr="005F64D8">
        <w:t xml:space="preserve"> </w:t>
      </w:r>
    </w:p>
    <w:p w14:paraId="2CA32030" w14:textId="77777777" w:rsidR="005F64D8" w:rsidRPr="005F64D8" w:rsidRDefault="005F64D8" w:rsidP="005F64D8">
      <w:r w:rsidRPr="005F64D8">
        <w:rPr>
          <w:highlight w:val="lightGray"/>
        </w:rPr>
        <w:t>Whānau feedback is prioritised, and we lead the design of supports and services, delivery, and policy decision improvements.</w:t>
      </w:r>
      <w:r w:rsidRPr="005F64D8">
        <w:t xml:space="preserve"> </w:t>
      </w:r>
    </w:p>
    <w:p w14:paraId="09169C85" w14:textId="77777777" w:rsidR="005F64D8" w:rsidRPr="005F64D8" w:rsidRDefault="005F64D8" w:rsidP="005F64D8">
      <w:pPr>
        <w:rPr>
          <w:highlight w:val="cyan"/>
        </w:rPr>
      </w:pPr>
      <w:r w:rsidRPr="005F64D8">
        <w:rPr>
          <w:highlight w:val="cyan"/>
        </w:rPr>
        <w:t>Whānau lead trauma-responsive approaches to develop and strengthen resilience.</w:t>
      </w:r>
    </w:p>
    <w:p w14:paraId="437F4DF1" w14:textId="77777777" w:rsidR="005F64D8" w:rsidRPr="005F64D8" w:rsidRDefault="005F64D8" w:rsidP="005F64D8">
      <w:r w:rsidRPr="005F64D8">
        <w:rPr>
          <w:highlight w:val="cyan"/>
        </w:rPr>
        <w:t>Whānau wānanga solutions to experiences of distress, substance and gambling harm to determine supports and services.</w:t>
      </w:r>
    </w:p>
    <w:p w14:paraId="05DDF62A" w14:textId="77777777" w:rsidR="005F64D8" w:rsidRPr="005F64D8" w:rsidRDefault="005F64D8" w:rsidP="005F64D8">
      <w:r w:rsidRPr="005F64D8">
        <w:t>Whānau are enabled to be innovative and entrepreneurial.</w:t>
      </w:r>
    </w:p>
    <w:p w14:paraId="2F39540B" w14:textId="77777777" w:rsidR="005F64D8" w:rsidRPr="005F64D8" w:rsidRDefault="005F64D8" w:rsidP="00131456">
      <w:pPr>
        <w:pStyle w:val="Heading4"/>
      </w:pPr>
      <w:r w:rsidRPr="005F64D8">
        <w:lastRenderedPageBreak/>
        <w:t>Manawa Ora / Tūmanako – We have the right to choose supports and services that respond to our experiences, needs, and aspirations.</w:t>
      </w:r>
    </w:p>
    <w:p w14:paraId="4559F8F8" w14:textId="77777777" w:rsidR="005F64D8" w:rsidRPr="005F64D8" w:rsidRDefault="005F64D8" w:rsidP="005F64D8">
      <w:r w:rsidRPr="005F64D8">
        <w:t>Whānau have timely access to and choice of supports and services, inclusive of rongoā Māori.</w:t>
      </w:r>
    </w:p>
    <w:p w14:paraId="27B12D2B" w14:textId="7E5699CD" w:rsidR="005F64D8" w:rsidRPr="005F64D8" w:rsidRDefault="005F64D8" w:rsidP="005F64D8">
      <w:r w:rsidRPr="005F64D8">
        <w:rPr>
          <w:highlight w:val="lightGray"/>
        </w:rPr>
        <w:t>Whānau determine all workforce needs to ensure autonomy from prejudice and bias.</w:t>
      </w:r>
      <w:r w:rsidR="00022B3E">
        <w:t xml:space="preserve"> </w:t>
      </w:r>
    </w:p>
    <w:p w14:paraId="531E93C0" w14:textId="77777777" w:rsidR="005F64D8" w:rsidRPr="005F64D8" w:rsidRDefault="005F64D8" w:rsidP="005F64D8">
      <w:r w:rsidRPr="005F64D8">
        <w:t>Whānau determine responses to substance and gambling harm.</w:t>
      </w:r>
    </w:p>
    <w:p w14:paraId="57171161" w14:textId="77777777" w:rsidR="005F64D8" w:rsidRPr="005F64D8" w:rsidRDefault="005F64D8" w:rsidP="005F64D8">
      <w:pPr>
        <w:rPr>
          <w:highlight w:val="cyan"/>
        </w:rPr>
      </w:pPr>
      <w:r w:rsidRPr="005F64D8">
        <w:rPr>
          <w:highlight w:val="cyan"/>
        </w:rPr>
        <w:t>Whānau, hapū, and iwi are enabled to respond to experiences, hopes, aspirations, and needs of Māori.</w:t>
      </w:r>
    </w:p>
    <w:p w14:paraId="2B028DE8" w14:textId="77777777" w:rsidR="005F64D8" w:rsidRPr="005F64D8" w:rsidRDefault="005F64D8" w:rsidP="005F64D8">
      <w:r w:rsidRPr="005F64D8">
        <w:rPr>
          <w:highlight w:val="cyan"/>
        </w:rPr>
        <w:t>Whānau determine pathways identifying kaupapa Māori, iwi Māori, and whānau-led supports that are equitably resourced in our hapori.</w:t>
      </w:r>
    </w:p>
    <w:p w14:paraId="1C0AC4B1" w14:textId="77777777" w:rsidR="005F64D8" w:rsidRPr="005F64D8" w:rsidRDefault="005F64D8" w:rsidP="005F64D8">
      <w:r w:rsidRPr="005F64D8">
        <w:t>Tino rangatiratanga is embraced in services, enabling mana motuhake.</w:t>
      </w:r>
    </w:p>
    <w:p w14:paraId="642871BF" w14:textId="77777777" w:rsidR="005F64D8" w:rsidRPr="005F64D8" w:rsidRDefault="005F64D8" w:rsidP="005F64D8">
      <w:r w:rsidRPr="005F64D8">
        <w:rPr>
          <w:highlight w:val="lightGray"/>
        </w:rPr>
        <w:t>Whānau are resourced equitably to deliver timely supports and services determined by whānau.</w:t>
      </w:r>
    </w:p>
    <w:p w14:paraId="7EA0961B" w14:textId="77777777" w:rsidR="005F64D8" w:rsidRPr="005F64D8" w:rsidRDefault="005F64D8" w:rsidP="000914CB">
      <w:pPr>
        <w:pStyle w:val="Heading4"/>
      </w:pPr>
      <w:r w:rsidRPr="005F64D8">
        <w:t xml:space="preserve">Mana Tangata / Tū Tangata Mauri Ora </w:t>
      </w:r>
      <w:r w:rsidRPr="005F64D8">
        <w:rPr>
          <w:bCs/>
        </w:rPr>
        <w:t>–</w:t>
      </w:r>
      <w:r w:rsidRPr="005F64D8">
        <w:t xml:space="preserve"> We have a mental health and addiction system that is culturally, spiritually, relationally, and physically safe.</w:t>
      </w:r>
    </w:p>
    <w:p w14:paraId="71AB9553" w14:textId="3F6E360B" w:rsidR="005F64D8" w:rsidRPr="005F64D8" w:rsidRDefault="005F64D8" w:rsidP="005F64D8">
      <w:r w:rsidRPr="005F64D8">
        <w:rPr>
          <w:highlight w:val="cyan"/>
        </w:rPr>
        <w:t xml:space="preserve">Te </w:t>
      </w:r>
      <w:r w:rsidR="00D71ED7">
        <w:rPr>
          <w:highlight w:val="cyan"/>
        </w:rPr>
        <w:t>A</w:t>
      </w:r>
      <w:r w:rsidRPr="005F64D8">
        <w:rPr>
          <w:highlight w:val="cyan"/>
        </w:rPr>
        <w:t>o Māori is embedded in services to ensure culturally safe engagement that is holistic and healing.</w:t>
      </w:r>
      <w:r w:rsidR="00022B3E">
        <w:t xml:space="preserve"> </w:t>
      </w:r>
    </w:p>
    <w:p w14:paraId="5E8C7362" w14:textId="77777777" w:rsidR="005F64D8" w:rsidRPr="005F64D8" w:rsidRDefault="005F64D8" w:rsidP="005F64D8">
      <w:r w:rsidRPr="005F64D8">
        <w:t>Mana whānau and the right to Tino Rangatiratanga is acknowledged and valued in services.</w:t>
      </w:r>
    </w:p>
    <w:p w14:paraId="4D335589" w14:textId="77777777" w:rsidR="005F64D8" w:rsidRPr="005F64D8" w:rsidRDefault="005F64D8" w:rsidP="005F64D8">
      <w:r w:rsidRPr="005F64D8">
        <w:t>Whānau report positive experiences of seeking and receiving support that is free from prejudice, discrimination, and racism.</w:t>
      </w:r>
    </w:p>
    <w:p w14:paraId="456547EE" w14:textId="77777777" w:rsidR="005F64D8" w:rsidRPr="005F64D8" w:rsidRDefault="005F64D8" w:rsidP="005F64D8">
      <w:r w:rsidRPr="005F64D8">
        <w:t>Whānau lead strategies that address the effects of colonisation and intergenerational trauma.</w:t>
      </w:r>
    </w:p>
    <w:p w14:paraId="59854329" w14:textId="77777777" w:rsidR="005F64D8" w:rsidRPr="005F64D8" w:rsidRDefault="005F64D8" w:rsidP="005F64D8">
      <w:r w:rsidRPr="005F64D8">
        <w:rPr>
          <w:highlight w:val="cyan"/>
        </w:rPr>
        <w:t>Whānau experience support that prioritises wairuatanga, whānau, and physical wellbeing.</w:t>
      </w:r>
    </w:p>
    <w:p w14:paraId="686E6398" w14:textId="77777777" w:rsidR="005F64D8" w:rsidRPr="005F64D8" w:rsidRDefault="005F64D8" w:rsidP="005F64D8">
      <w:r w:rsidRPr="005F64D8">
        <w:t>Cultural assessments, approaches, and practises are valued as taonga tuku iho, and are respected equal to clinical approaches.</w:t>
      </w:r>
    </w:p>
    <w:p w14:paraId="6DEFA70A" w14:textId="77777777" w:rsidR="005F64D8" w:rsidRPr="005F64D8" w:rsidRDefault="005F64D8" w:rsidP="005F64D8">
      <w:r w:rsidRPr="005F64D8">
        <w:rPr>
          <w:highlight w:val="cyan"/>
        </w:rPr>
        <w:t>Coercive practices, including solitary confinement (seclusion), are eliminated.</w:t>
      </w:r>
    </w:p>
    <w:p w14:paraId="1DE82F42" w14:textId="77777777" w:rsidR="005F64D8" w:rsidRPr="005F64D8" w:rsidRDefault="005F64D8" w:rsidP="000914CB">
      <w:pPr>
        <w:pStyle w:val="Heading4"/>
      </w:pPr>
      <w:r w:rsidRPr="005F64D8">
        <w:t>Mana Whānau / Whanaungatanga – We have access to supports and services that enable connection to our whānau, whakapapa, hapū, and iwi.</w:t>
      </w:r>
    </w:p>
    <w:p w14:paraId="6F69BDEE" w14:textId="77777777" w:rsidR="005F64D8" w:rsidRPr="005F64D8" w:rsidRDefault="005F64D8" w:rsidP="005F64D8">
      <w:r w:rsidRPr="005F64D8">
        <w:rPr>
          <w:highlight w:val="cyan"/>
        </w:rPr>
        <w:t>Whakawhanaungatanga is valued in services to enable authentic relationships with whānau.</w:t>
      </w:r>
    </w:p>
    <w:p w14:paraId="46A85430" w14:textId="77777777" w:rsidR="005F64D8" w:rsidRPr="005F64D8" w:rsidRDefault="005F64D8" w:rsidP="005F64D8">
      <w:r w:rsidRPr="005F64D8">
        <w:t>Whānau are connected to support that contributes to Mauri ora.</w:t>
      </w:r>
    </w:p>
    <w:p w14:paraId="42B291AD" w14:textId="77777777" w:rsidR="005F64D8" w:rsidRPr="005F64D8" w:rsidRDefault="005F64D8" w:rsidP="005F64D8">
      <w:r w:rsidRPr="005F64D8">
        <w:rPr>
          <w:highlight w:val="lightGray"/>
        </w:rPr>
        <w:lastRenderedPageBreak/>
        <w:t>Whānau can access timely information, resourcing and supports, including digital support.</w:t>
      </w:r>
    </w:p>
    <w:p w14:paraId="578B6453" w14:textId="77777777" w:rsidR="005F64D8" w:rsidRPr="005F64D8" w:rsidRDefault="005F64D8" w:rsidP="005F64D8">
      <w:r w:rsidRPr="005F64D8">
        <w:t>Whānau experience reciprocal opportunities to contribute to pae ora – koha mai, koha atu.</w:t>
      </w:r>
    </w:p>
    <w:p w14:paraId="1994B320" w14:textId="0B02144E" w:rsidR="005F64D8" w:rsidRPr="005F64D8" w:rsidRDefault="005F64D8" w:rsidP="005F64D8">
      <w:r w:rsidRPr="005F64D8">
        <w:rPr>
          <w:highlight w:val="cyan"/>
        </w:rPr>
        <w:t>Whānau experience supports and services that acknowledge and value the importance of connection to whenua, whakapapa and ngā atua.</w:t>
      </w:r>
      <w:r w:rsidR="00022B3E">
        <w:t xml:space="preserve"> </w:t>
      </w:r>
    </w:p>
    <w:p w14:paraId="78A88679" w14:textId="77777777" w:rsidR="005F64D8" w:rsidRPr="005F64D8" w:rsidRDefault="005F64D8" w:rsidP="005F64D8">
      <w:r w:rsidRPr="005F64D8">
        <w:t>Whānau determine training and resources needed to extend workforce capability and capacity.</w:t>
      </w:r>
    </w:p>
    <w:p w14:paraId="743BC478" w14:textId="77777777" w:rsidR="005F64D8" w:rsidRPr="005F64D8" w:rsidRDefault="005F64D8" w:rsidP="00EA7F3C">
      <w:pPr>
        <w:pStyle w:val="Heading4"/>
      </w:pPr>
      <w:r w:rsidRPr="005F64D8">
        <w:t>Kotahitanga – We want supports and services to work collectively and cohesively to make a meaningful difference for us.</w:t>
      </w:r>
    </w:p>
    <w:p w14:paraId="33ED1AD1" w14:textId="77777777" w:rsidR="005F64D8" w:rsidRPr="005F64D8" w:rsidRDefault="005F64D8" w:rsidP="005F64D8">
      <w:r w:rsidRPr="005F64D8">
        <w:t>Whānau define wellbeing and recovery pathways are valued and respected.</w:t>
      </w:r>
    </w:p>
    <w:p w14:paraId="2A2A9B12" w14:textId="77777777" w:rsidR="005F64D8" w:rsidRPr="005F64D8" w:rsidRDefault="005F64D8" w:rsidP="005F64D8">
      <w:r w:rsidRPr="005F64D8">
        <w:rPr>
          <w:highlight w:val="cyan"/>
        </w:rPr>
        <w:t>Mātauranga Māori is equally valued alongside other worldviews.</w:t>
      </w:r>
      <w:r w:rsidRPr="005F64D8">
        <w:t xml:space="preserve"> </w:t>
      </w:r>
    </w:p>
    <w:p w14:paraId="3F8BBE88" w14:textId="77777777" w:rsidR="005F64D8" w:rsidRPr="005F64D8" w:rsidRDefault="005F64D8" w:rsidP="005F64D8">
      <w:r w:rsidRPr="005F64D8">
        <w:t xml:space="preserve">Māori values are reflected in services as evidenced by whānau. </w:t>
      </w:r>
    </w:p>
    <w:p w14:paraId="6F193BB3" w14:textId="77777777" w:rsidR="005F64D8" w:rsidRPr="005F64D8" w:rsidRDefault="005F64D8" w:rsidP="005F64D8">
      <w:r w:rsidRPr="005F64D8">
        <w:rPr>
          <w:highlight w:val="lightGray"/>
        </w:rPr>
        <w:t>Whānau strengths are illuminated and prioritised to effect meaningful difference and enable us to realise our full potential.</w:t>
      </w:r>
    </w:p>
    <w:p w14:paraId="36142921" w14:textId="77777777" w:rsidR="005F64D8" w:rsidRPr="005F64D8" w:rsidRDefault="005F64D8" w:rsidP="005F64D8">
      <w:r w:rsidRPr="005F64D8">
        <w:rPr>
          <w:highlight w:val="cyan"/>
        </w:rPr>
        <w:t>Whānau experience environments that are culturally safe and enabled to facilitate restoration processes, including pae oranga to address disparities inherent in criminal justice approaches.</w:t>
      </w:r>
    </w:p>
    <w:p w14:paraId="3E7AAE6E" w14:textId="77777777" w:rsidR="005F64D8" w:rsidRPr="005F64D8" w:rsidRDefault="005F64D8" w:rsidP="005F64D8">
      <w:r w:rsidRPr="005F64D8">
        <w:rPr>
          <w:highlight w:val="lightGray"/>
        </w:rPr>
        <w:t>Whānau experience opportunities to further education and employment aspirations.</w:t>
      </w:r>
    </w:p>
    <w:p w14:paraId="03828AD4" w14:textId="77777777" w:rsidR="005F64D8" w:rsidRPr="005F64D8" w:rsidRDefault="005F64D8" w:rsidP="00EA7F3C">
      <w:pPr>
        <w:pStyle w:val="Heading3"/>
        <w:rPr>
          <w:lang w:val="en-US"/>
        </w:rPr>
      </w:pPr>
      <w:r w:rsidRPr="005F64D8">
        <w:rPr>
          <w:lang w:val="en-US"/>
        </w:rPr>
        <w:t>Shared Perspective</w:t>
      </w:r>
    </w:p>
    <w:p w14:paraId="4214AAD3" w14:textId="77777777" w:rsidR="005F64D8" w:rsidRPr="005F64D8" w:rsidRDefault="005F64D8" w:rsidP="00EA7F3C">
      <w:pPr>
        <w:pStyle w:val="Heading4"/>
        <w:rPr>
          <w:lang w:val="mi-NZ"/>
        </w:rPr>
      </w:pPr>
      <w:r w:rsidRPr="005F64D8">
        <w:rPr>
          <w:lang w:val="mi-NZ"/>
        </w:rPr>
        <w:t>Equity – We (tāngata whaiora) want a mental health and addiction system that supports all of us and our whānau equitably.</w:t>
      </w:r>
    </w:p>
    <w:p w14:paraId="2DEA4941" w14:textId="77777777" w:rsidR="005F64D8" w:rsidRPr="005F64D8" w:rsidRDefault="005F64D8" w:rsidP="005F64D8">
      <w:r w:rsidRPr="005F64D8">
        <w:rPr>
          <w:highlight w:val="cyan"/>
        </w:rPr>
        <w:t>The mental health and addiction system fulfils Te Tiriti o Waitangi obligations.</w:t>
      </w:r>
    </w:p>
    <w:p w14:paraId="10090BF9" w14:textId="77777777" w:rsidR="005F64D8" w:rsidRPr="005F64D8" w:rsidRDefault="005F64D8" w:rsidP="005F64D8">
      <w:r w:rsidRPr="005F64D8">
        <w:t>Policy and laws effectively minimise the social, economic, environmental, and commercial determinants of distress, substance and gambling harm, and enable equitable wellbeing.</w:t>
      </w:r>
    </w:p>
    <w:p w14:paraId="461CFC44" w14:textId="77777777" w:rsidR="005F64D8" w:rsidRPr="005F64D8" w:rsidRDefault="005F64D8" w:rsidP="005F64D8">
      <w:r w:rsidRPr="005F64D8">
        <w:rPr>
          <w:highlight w:val="lightGray"/>
        </w:rPr>
        <w:t>We are valued for who we are. We are not disadvantaged by our diagnosis, ethnicity, age, identity, or disabilities.</w:t>
      </w:r>
    </w:p>
    <w:p w14:paraId="61068801" w14:textId="77777777" w:rsidR="005F64D8" w:rsidRPr="005F64D8" w:rsidRDefault="005F64D8" w:rsidP="005F64D8">
      <w:r w:rsidRPr="005F64D8">
        <w:rPr>
          <w:highlight w:val="cyan"/>
        </w:rPr>
        <w:t>Services take action to decolonise practise, increase workforce diversity, apply an intersectional lens, and address inequities and institutional racism.</w:t>
      </w:r>
    </w:p>
    <w:p w14:paraId="529C7D42" w14:textId="77777777" w:rsidR="005F64D8" w:rsidRPr="005F64D8" w:rsidRDefault="005F64D8" w:rsidP="005F64D8">
      <w:r w:rsidRPr="005F64D8">
        <w:t>Promotion and prevention strategies support equity.</w:t>
      </w:r>
    </w:p>
    <w:p w14:paraId="587E2039" w14:textId="77777777" w:rsidR="005F64D8" w:rsidRPr="005F64D8" w:rsidRDefault="005F64D8" w:rsidP="005F64D8">
      <w:r w:rsidRPr="005F64D8">
        <w:t>Investment in supports and services improves equity of access and outcomes.</w:t>
      </w:r>
    </w:p>
    <w:p w14:paraId="79A6FCFA" w14:textId="77777777" w:rsidR="005F64D8" w:rsidRPr="005F64D8" w:rsidRDefault="005F64D8" w:rsidP="005F64D8">
      <w:r w:rsidRPr="005F64D8">
        <w:rPr>
          <w:highlight w:val="cyan"/>
        </w:rPr>
        <w:t>The justice system actively diverts and connects us to health and wellbeing supports and services when we are experiencing distress, substance or gambling harm.</w:t>
      </w:r>
      <w:r w:rsidRPr="005F64D8">
        <w:t xml:space="preserve"> </w:t>
      </w:r>
    </w:p>
    <w:p w14:paraId="1643ED99" w14:textId="2E3BFB68" w:rsidR="005F64D8" w:rsidRPr="005F64D8" w:rsidRDefault="005F64D8" w:rsidP="005F64D8">
      <w:r w:rsidRPr="005F64D8">
        <w:rPr>
          <w:highlight w:val="lightGray"/>
        </w:rPr>
        <w:lastRenderedPageBreak/>
        <w:t>We benefit from timely mental health, alcohol, gambling, and drug law reform that puts human rights, wellbeing and equity at the heart.</w:t>
      </w:r>
      <w:r w:rsidR="00022B3E">
        <w:t xml:space="preserve"> </w:t>
      </w:r>
    </w:p>
    <w:p w14:paraId="46FEB3EA" w14:textId="0509E614" w:rsidR="005F64D8" w:rsidRPr="005F64D8" w:rsidRDefault="005F64D8" w:rsidP="007E4A4A">
      <w:pPr>
        <w:pStyle w:val="Heading4"/>
      </w:pPr>
      <w:r w:rsidRPr="005F64D8">
        <w:t>Participation and leadership – We lead and self-determine our pathways through distress, substance, or gambling harm to wellbeing and recovery.</w:t>
      </w:r>
      <w:r w:rsidR="00022B3E">
        <w:t xml:space="preserve"> </w:t>
      </w:r>
    </w:p>
    <w:p w14:paraId="3448EDBA" w14:textId="77777777" w:rsidR="005F64D8" w:rsidRPr="005F64D8" w:rsidRDefault="005F64D8" w:rsidP="005F64D8">
      <w:r w:rsidRPr="005F64D8">
        <w:t xml:space="preserve">We work in a wide range of leadership roles, where our lived experience, whānau experience, community connections and diversity are valued. </w:t>
      </w:r>
    </w:p>
    <w:p w14:paraId="6CD4CA9D" w14:textId="77777777" w:rsidR="005F64D8" w:rsidRPr="005F64D8" w:rsidRDefault="005F64D8" w:rsidP="005F64D8">
      <w:r w:rsidRPr="005F64D8">
        <w:t>Resourcing enables diverse, quality and sustainable leadership, and supports emerging leaders.</w:t>
      </w:r>
    </w:p>
    <w:p w14:paraId="3A6DE544" w14:textId="77777777" w:rsidR="005F64D8" w:rsidRPr="005F64D8" w:rsidRDefault="005F64D8" w:rsidP="005F64D8">
      <w:r w:rsidRPr="005F64D8">
        <w:rPr>
          <w:highlight w:val="lightGray"/>
        </w:rPr>
        <w:t>Strategies are led by those of us with experience of distress, gambling harm, alcohol harm, and harm from other drugs to eliminate prejudice, self-stigma and discrimination. This work is funded and evaluated.</w:t>
      </w:r>
      <w:r w:rsidRPr="005F64D8">
        <w:t xml:space="preserve"> </w:t>
      </w:r>
    </w:p>
    <w:p w14:paraId="250141D7" w14:textId="77777777" w:rsidR="005F64D8" w:rsidRPr="005F64D8" w:rsidRDefault="005F64D8" w:rsidP="005F64D8">
      <w:r w:rsidRPr="005F64D8">
        <w:rPr>
          <w:highlight w:val="cyan"/>
        </w:rPr>
        <w:t>Tāngata whaiora and whānau lead and co-produce policies, supports and services, responses, models of care, research, and training.</w:t>
      </w:r>
    </w:p>
    <w:p w14:paraId="3C478A4E" w14:textId="77777777" w:rsidR="005F64D8" w:rsidRPr="005F64D8" w:rsidRDefault="005F64D8" w:rsidP="005F64D8">
      <w:r w:rsidRPr="005F64D8">
        <w:t>When using supports and services, we are leaders in our care and decision-making. We can easily access our healthcare information. There is education and support to self-advocate and make informed decisions.</w:t>
      </w:r>
    </w:p>
    <w:p w14:paraId="1F91AAD4" w14:textId="228902F0" w:rsidR="005F64D8" w:rsidRPr="005F64D8" w:rsidRDefault="005F64D8" w:rsidP="005F64D8">
      <w:r w:rsidRPr="005F64D8">
        <w:rPr>
          <w:highlight w:val="cyan"/>
        </w:rPr>
        <w:t>Our engagement and feedback actively shapes supports, services, workforce, training, and policy.</w:t>
      </w:r>
      <w:r w:rsidR="00022B3E">
        <w:t xml:space="preserve"> </w:t>
      </w:r>
    </w:p>
    <w:p w14:paraId="32534E59" w14:textId="77777777" w:rsidR="005F64D8" w:rsidRPr="005F64D8" w:rsidRDefault="005F64D8" w:rsidP="00723B23">
      <w:pPr>
        <w:pStyle w:val="Heading4"/>
      </w:pPr>
      <w:r w:rsidRPr="005F64D8">
        <w:t>Access and options – We have the right to choose supports and services, when and where we need them, that respond to our experiences, needs, and aspirations, and believe in our capacity to thrive.</w:t>
      </w:r>
    </w:p>
    <w:p w14:paraId="40F1832D" w14:textId="77777777" w:rsidR="005F64D8" w:rsidRPr="005F64D8" w:rsidRDefault="005F64D8" w:rsidP="005F64D8">
      <w:r w:rsidRPr="005F64D8">
        <w:rPr>
          <w:highlight w:val="lightGray"/>
        </w:rPr>
        <w:t>We define what our experiences, needs and aspirations are. We can access different options and learn what works and doesn’t work for us.</w:t>
      </w:r>
    </w:p>
    <w:p w14:paraId="0C421CD5" w14:textId="77777777" w:rsidR="005F64D8" w:rsidRPr="005F64D8" w:rsidRDefault="005F64D8" w:rsidP="005F64D8">
      <w:r w:rsidRPr="005F64D8">
        <w:t xml:space="preserve">All supports and services are trauma-informed, culturally responsive and support our wairua, values and strengths. </w:t>
      </w:r>
    </w:p>
    <w:p w14:paraId="5F58D5CB" w14:textId="77777777" w:rsidR="005F64D8" w:rsidRPr="005F64D8" w:rsidRDefault="005F64D8" w:rsidP="005F64D8">
      <w:r w:rsidRPr="005F64D8">
        <w:rPr>
          <w:highlight w:val="cyan"/>
        </w:rPr>
        <w:t>We have meaningful choice in supports and services when we are experiencing any level of distress, substance, or gambling harm. These are accessible when we need them, without barriers.</w:t>
      </w:r>
      <w:r w:rsidRPr="005F64D8">
        <w:t xml:space="preserve"> </w:t>
      </w:r>
    </w:p>
    <w:p w14:paraId="6E0EB259" w14:textId="77777777" w:rsidR="005F64D8" w:rsidRPr="005F64D8" w:rsidRDefault="005F64D8" w:rsidP="005F64D8">
      <w:pPr>
        <w:rPr>
          <w:highlight w:val="lightGray"/>
        </w:rPr>
      </w:pPr>
      <w:r w:rsidRPr="005F64D8">
        <w:rPr>
          <w:highlight w:val="lightGray"/>
        </w:rPr>
        <w:t>Options include community and home-based supports, kaupapa Māori, peer-led, harm reduction, and family-based supports and services. We can access support to stay in, or return to our work, education, or parenting roles.</w:t>
      </w:r>
    </w:p>
    <w:p w14:paraId="44DCE5DC" w14:textId="77777777" w:rsidR="005F64D8" w:rsidRPr="005F64D8" w:rsidRDefault="005F64D8" w:rsidP="005F64D8">
      <w:r w:rsidRPr="005F64D8">
        <w:rPr>
          <w:highlight w:val="cyan"/>
        </w:rPr>
        <w:t>Our friends and whānau have meaningful choice of supports and services.</w:t>
      </w:r>
      <w:r w:rsidRPr="005F64D8">
        <w:t xml:space="preserve"> </w:t>
      </w:r>
    </w:p>
    <w:p w14:paraId="696B078E" w14:textId="77777777" w:rsidR="005F64D8" w:rsidRPr="005F64D8" w:rsidRDefault="005F64D8" w:rsidP="005F64D8">
      <w:r w:rsidRPr="005F64D8">
        <w:t>We have access to environments and supports that provide listening, respite, and healing.</w:t>
      </w:r>
    </w:p>
    <w:p w14:paraId="4A0DBC3C" w14:textId="77777777" w:rsidR="005F64D8" w:rsidRPr="005F64D8" w:rsidRDefault="005F64D8" w:rsidP="005F64D8">
      <w:r w:rsidRPr="005F64D8">
        <w:t xml:space="preserve">The system increasingly provides choice-based models of support, such as individualised funding and whānau funding models. </w:t>
      </w:r>
    </w:p>
    <w:p w14:paraId="0BFB27FC" w14:textId="77777777" w:rsidR="005F64D8" w:rsidRPr="005F64D8" w:rsidRDefault="005F64D8" w:rsidP="005F64D8">
      <w:r w:rsidRPr="005F64D8">
        <w:rPr>
          <w:highlight w:val="lightGray"/>
        </w:rPr>
        <w:lastRenderedPageBreak/>
        <w:t>Communities are enabled and resourced to develop and deliver their own responses to distress, trauma, harm from alcohol, other drugs, or gambling. Funding models recognise and value volunteers, whānau, peers, and community support groups.</w:t>
      </w:r>
    </w:p>
    <w:p w14:paraId="3D39AE63" w14:textId="77777777" w:rsidR="005F64D8" w:rsidRPr="005F64D8" w:rsidRDefault="005F64D8" w:rsidP="005F64D8">
      <w:r w:rsidRPr="005F64D8">
        <w:t xml:space="preserve">Community connections are an accessible ‘first port of call’ and an enduring resource, including non-biomedical and culturally grounded support. </w:t>
      </w:r>
    </w:p>
    <w:p w14:paraId="68E3DC83" w14:textId="77777777" w:rsidR="005F64D8" w:rsidRPr="005F64D8" w:rsidRDefault="005F64D8" w:rsidP="005F64D8">
      <w:r w:rsidRPr="005F64D8">
        <w:rPr>
          <w:highlight w:val="lightGray"/>
        </w:rPr>
        <w:t>We can access navigators and peer advocates to walk alongside us in our journeys.</w:t>
      </w:r>
    </w:p>
    <w:p w14:paraId="088F718C" w14:textId="77777777" w:rsidR="005F64D8" w:rsidRPr="005F64D8" w:rsidRDefault="005F64D8" w:rsidP="001D28F2">
      <w:pPr>
        <w:pStyle w:val="Heading4"/>
      </w:pPr>
      <w:r w:rsidRPr="005F64D8">
        <w:t>Safety and rights – We want a mental health and addiction system that understands and upholds our cultural, spiritual, relational, and physical safety, and our human rights.</w:t>
      </w:r>
    </w:p>
    <w:p w14:paraId="0203C72E" w14:textId="77777777" w:rsidR="005F64D8" w:rsidRPr="005F64D8" w:rsidRDefault="005F64D8" w:rsidP="005F64D8">
      <w:r w:rsidRPr="005F64D8">
        <w:t>The culture of the mental health and addiction system is relational, respectful, and values diversity. The impacts of colonisation and intergenerational trauma are acknowledged and understood.</w:t>
      </w:r>
    </w:p>
    <w:p w14:paraId="65FCCF7B" w14:textId="77777777" w:rsidR="005F64D8" w:rsidRPr="005F64D8" w:rsidRDefault="005F64D8" w:rsidP="005F64D8">
      <w:r w:rsidRPr="005F64D8">
        <w:rPr>
          <w:highlight w:val="cyan"/>
        </w:rPr>
        <w:t>Coercive practises, including solitary confinement (seclusion), are eliminated.</w:t>
      </w:r>
    </w:p>
    <w:p w14:paraId="2EB07C20" w14:textId="77777777" w:rsidR="005F64D8" w:rsidRPr="005F64D8" w:rsidRDefault="005F64D8" w:rsidP="005F64D8">
      <w:r w:rsidRPr="005F64D8">
        <w:t xml:space="preserve">Supports and services actively promote our individual and collective rights and our self-determination. </w:t>
      </w:r>
    </w:p>
    <w:p w14:paraId="4396AB52" w14:textId="77777777" w:rsidR="005F64D8" w:rsidRPr="005F64D8" w:rsidRDefault="005F64D8" w:rsidP="005F64D8">
      <w:r w:rsidRPr="005F64D8">
        <w:t xml:space="preserve">Tāngata whaiora and whānau report trust and validation in supports and services that are trauma-responsive, free from prejudice, discrimination, </w:t>
      </w:r>
      <w:r w:rsidRPr="005F64D8">
        <w:rPr>
          <w:highlight w:val="cyan"/>
        </w:rPr>
        <w:t>punitive practises</w:t>
      </w:r>
      <w:r w:rsidRPr="005F64D8">
        <w:t xml:space="preserve">, and racism. </w:t>
      </w:r>
    </w:p>
    <w:p w14:paraId="06373E83" w14:textId="77777777" w:rsidR="005F64D8" w:rsidRPr="005F64D8" w:rsidRDefault="005F64D8" w:rsidP="005F64D8">
      <w:r w:rsidRPr="005F64D8">
        <w:t xml:space="preserve">We have access to advocacy support when we need it, and timely resolution of complaints. </w:t>
      </w:r>
    </w:p>
    <w:p w14:paraId="1065D347" w14:textId="77777777" w:rsidR="005F64D8" w:rsidRPr="005F64D8" w:rsidRDefault="005F64D8" w:rsidP="005F64D8">
      <w:r w:rsidRPr="005F64D8">
        <w:rPr>
          <w:highlight w:val="lightGray"/>
        </w:rPr>
        <w:t>Processes are in place to restore relationships when harm occurs, enabling transparency, learning and improvement.</w:t>
      </w:r>
    </w:p>
    <w:p w14:paraId="2D66FA4D" w14:textId="77777777" w:rsidR="005F64D8" w:rsidRPr="005F64D8" w:rsidRDefault="005F64D8" w:rsidP="005F64D8">
      <w:r w:rsidRPr="005F64D8">
        <w:rPr>
          <w:highlight w:val="cyan"/>
        </w:rPr>
        <w:t>Our workforces are safe, cared for and well-resourced to support us and our whānau. Training and leadership enable harm reduction practices and holistic safety. Risk taking is seen as essential for recovery.</w:t>
      </w:r>
    </w:p>
    <w:p w14:paraId="629D1597" w14:textId="77777777" w:rsidR="005F64D8" w:rsidRPr="005F64D8" w:rsidRDefault="005F64D8" w:rsidP="005F64D8">
      <w:r w:rsidRPr="005F64D8">
        <w:t>Medication is prescribed safely, and we have support if we choose to come off psychiatric medication.</w:t>
      </w:r>
    </w:p>
    <w:p w14:paraId="3F5235D8" w14:textId="7AC4193B" w:rsidR="005F64D8" w:rsidRPr="005F64D8" w:rsidRDefault="005F64D8" w:rsidP="005F64D8">
      <w:r w:rsidRPr="005F64D8">
        <w:rPr>
          <w:highlight w:val="lightGray"/>
        </w:rPr>
        <w:t>Evidence</w:t>
      </w:r>
      <w:r w:rsidR="00E07E4A">
        <w:rPr>
          <w:highlight w:val="lightGray"/>
        </w:rPr>
        <w:t>-</w:t>
      </w:r>
      <w:r w:rsidRPr="005F64D8">
        <w:rPr>
          <w:highlight w:val="lightGray"/>
        </w:rPr>
        <w:t>based harm minimisation practices are used in places where people gamble, use alcohol, or use other drugs.</w:t>
      </w:r>
    </w:p>
    <w:p w14:paraId="4FE88033" w14:textId="77777777" w:rsidR="005F64D8" w:rsidRPr="005F64D8" w:rsidRDefault="005F64D8" w:rsidP="008B5C88">
      <w:pPr>
        <w:pStyle w:val="Heading4"/>
      </w:pPr>
      <w:r w:rsidRPr="005F64D8">
        <w:t>Connected care – We want supports and services to work collectively and cohesively for us, and see us as valued members of whānau, communities, and society.</w:t>
      </w:r>
    </w:p>
    <w:p w14:paraId="258B117A" w14:textId="77777777" w:rsidR="005F64D8" w:rsidRPr="005F64D8" w:rsidRDefault="005F64D8" w:rsidP="005F64D8">
      <w:r w:rsidRPr="005F64D8">
        <w:t xml:space="preserve">All tāngata whaiora and whānau can access culturally and linguistically appropriate tools and information to respond to distress, reflect on and minimise harm from alcohol, other drugs, or gambling, find support, and lead our wellbeing and recovery. </w:t>
      </w:r>
    </w:p>
    <w:p w14:paraId="632A2CD7" w14:textId="77777777" w:rsidR="005F64D8" w:rsidRPr="005F64D8" w:rsidRDefault="005F64D8" w:rsidP="005F64D8">
      <w:r w:rsidRPr="005F64D8">
        <w:rPr>
          <w:highlight w:val="cyan"/>
        </w:rPr>
        <w:t>Services communicate well with us, our whānau, and with each other. Our workforces are knowledgeable, skilled, empowered and fully culturally competent.</w:t>
      </w:r>
    </w:p>
    <w:p w14:paraId="640724CC" w14:textId="77777777" w:rsidR="005F64D8" w:rsidRPr="005F64D8" w:rsidRDefault="005F64D8" w:rsidP="005F64D8">
      <w:r w:rsidRPr="005F64D8">
        <w:rPr>
          <w:highlight w:val="lightGray"/>
        </w:rPr>
        <w:lastRenderedPageBreak/>
        <w:t>Services connect us with housing and social services, and to cultural, wairua, environment, whānau and community supports and resources.</w:t>
      </w:r>
    </w:p>
    <w:p w14:paraId="011B8725" w14:textId="77777777" w:rsidR="005F64D8" w:rsidRPr="005F64D8" w:rsidRDefault="005F64D8" w:rsidP="005F64D8">
      <w:r w:rsidRPr="005F64D8">
        <w:rPr>
          <w:highlight w:val="cyan"/>
        </w:rPr>
        <w:t>Effective connections between mental health services, addiction services and physical healthcare help us stay physically well.</w:t>
      </w:r>
      <w:r w:rsidRPr="005F64D8">
        <w:t xml:space="preserve"> </w:t>
      </w:r>
    </w:p>
    <w:p w14:paraId="181C5289" w14:textId="7A3BBB79" w:rsidR="005F64D8" w:rsidRPr="005F64D8" w:rsidRDefault="005F64D8" w:rsidP="005F64D8">
      <w:r w:rsidRPr="005F64D8">
        <w:t>We experience reciprocal opportunities to contribute to mental health and wellbeing. Our knowledge of recovery is valued.</w:t>
      </w:r>
      <w:r w:rsidR="00022B3E">
        <w:t xml:space="preserve"> </w:t>
      </w:r>
    </w:p>
    <w:p w14:paraId="11971F2D" w14:textId="2C1B1B5E" w:rsidR="005F64D8" w:rsidRPr="005F64D8" w:rsidRDefault="005F64D8" w:rsidP="005F64D8">
      <w:r w:rsidRPr="005F64D8">
        <w:t>Education effectively develops critical thinking skills that enable us to reduce harm from alcohol, other drugs and gambling and navigate distress.</w:t>
      </w:r>
      <w:r w:rsidR="00022B3E">
        <w:t xml:space="preserve"> </w:t>
      </w:r>
    </w:p>
    <w:p w14:paraId="6D93B250" w14:textId="77777777" w:rsidR="005F64D8" w:rsidRPr="005F64D8" w:rsidRDefault="005F64D8" w:rsidP="005F64D8">
      <w:r w:rsidRPr="005F64D8">
        <w:rPr>
          <w:highlight w:val="lightGray"/>
        </w:rPr>
        <w:t>Our communities and whānau understand and can respond to distress, substance harm, and gambling harm in compassionate, non-punitive, and inclusive ways.</w:t>
      </w:r>
    </w:p>
    <w:p w14:paraId="562C88A8" w14:textId="77777777" w:rsidR="005F64D8" w:rsidRPr="005F64D8" w:rsidRDefault="005F64D8" w:rsidP="004E0A23">
      <w:pPr>
        <w:pStyle w:val="Heading4"/>
      </w:pPr>
      <w:r w:rsidRPr="005F64D8">
        <w:t>Effectiveness – Supports, services and policy must make a meaningful difference in our lives, so that we are self-determining and thriving.</w:t>
      </w:r>
    </w:p>
    <w:p w14:paraId="05837252" w14:textId="77777777" w:rsidR="005F64D8" w:rsidRPr="005F64D8" w:rsidRDefault="005F64D8" w:rsidP="005F64D8">
      <w:r w:rsidRPr="005F64D8">
        <w:t xml:space="preserve">We benefit from dedicated action across government to prevent suicide, distress, substance harm and gambling harm, and to eliminate the physical health, income, and wellbeing inequities we experience. </w:t>
      </w:r>
    </w:p>
    <w:p w14:paraId="1EC56CBD" w14:textId="77777777" w:rsidR="005F64D8" w:rsidRPr="005F64D8" w:rsidRDefault="005F64D8" w:rsidP="005F64D8">
      <w:pPr>
        <w:rPr>
          <w:highlight w:val="cyan"/>
        </w:rPr>
      </w:pPr>
      <w:r w:rsidRPr="005F64D8">
        <w:rPr>
          <w:highlight w:val="cyan"/>
        </w:rPr>
        <w:t xml:space="preserve">A range of supports and services for tāngata whaiora and whānau are appropriately funded and staffed to provide high quality support. </w:t>
      </w:r>
    </w:p>
    <w:p w14:paraId="16E943F0" w14:textId="77777777" w:rsidR="005F64D8" w:rsidRPr="005F64D8" w:rsidRDefault="005F64D8" w:rsidP="005F64D8">
      <w:r w:rsidRPr="005F64D8">
        <w:rPr>
          <w:highlight w:val="cyan"/>
        </w:rPr>
        <w:t>Supports and services adapt to evidence, innovation, and best practise from clinical, mātauranga Māori and peer worldviews.</w:t>
      </w:r>
    </w:p>
    <w:p w14:paraId="0DE00749" w14:textId="77777777" w:rsidR="005F64D8" w:rsidRPr="005F64D8" w:rsidRDefault="005F64D8" w:rsidP="005F64D8">
      <w:r w:rsidRPr="005F64D8">
        <w:rPr>
          <w:highlight w:val="lightGray"/>
        </w:rPr>
        <w:t>Supports and services effectively contribute to our holistic wellbeing, address wider causes and consequences of distress, and support us to regain and maintain hope, purpose, and valued roles in our whānau and communities.</w:t>
      </w:r>
      <w:r w:rsidRPr="005F64D8">
        <w:t xml:space="preserve"> </w:t>
      </w:r>
    </w:p>
    <w:p w14:paraId="66843EBA" w14:textId="77777777" w:rsidR="005F64D8" w:rsidRPr="005F64D8" w:rsidRDefault="005F64D8" w:rsidP="005F64D8">
      <w:r w:rsidRPr="005F64D8">
        <w:t>Physical health services provide us with excellent care, address access barriers, biases, and diagnostic overshadowing.</w:t>
      </w:r>
    </w:p>
    <w:p w14:paraId="7A676326" w14:textId="77777777" w:rsidR="005F64D8" w:rsidRPr="005F64D8" w:rsidRDefault="005F64D8" w:rsidP="005F64D8">
      <w:r w:rsidRPr="005F64D8">
        <w:t>Safe processes, support and resources exist for tāngata whaiora and whānau to openly discuss any concerns about distress, or harm from substance use, or gambling.</w:t>
      </w:r>
    </w:p>
    <w:p w14:paraId="6B539320" w14:textId="77777777" w:rsidR="005F64D8" w:rsidRPr="005F64D8" w:rsidRDefault="005F64D8" w:rsidP="005F64D8">
      <w:r w:rsidRPr="005F64D8">
        <w:rPr>
          <w:highlight w:val="cyan"/>
        </w:rPr>
        <w:t>Our strengths and recovery stories are recognised and celebrated.</w:t>
      </w:r>
      <w:r w:rsidRPr="005F64D8">
        <w:t xml:space="preserve"> </w:t>
      </w:r>
    </w:p>
    <w:p w14:paraId="4F50F14D" w14:textId="458DEC83" w:rsidR="009453EA" w:rsidRDefault="005F64D8" w:rsidP="005F64D8">
      <w:pPr>
        <w:sectPr w:rsidR="009453EA" w:rsidSect="00EA396D">
          <w:type w:val="continuous"/>
          <w:pgSz w:w="11910" w:h="16840"/>
          <w:pgMar w:top="1440" w:right="1440" w:bottom="1440" w:left="1440" w:header="709" w:footer="397" w:gutter="0"/>
          <w:cols w:space="708"/>
          <w:titlePg/>
          <w:docGrid w:linePitch="326"/>
        </w:sectPr>
      </w:pPr>
      <w:r w:rsidRPr="000A267D">
        <w:rPr>
          <w:highlight w:val="lightGray"/>
        </w:rPr>
        <w:t>We experience self-defined recovery and holistic wellbeing (see He Ara Oranga wellbeing outcomes framework).</w:t>
      </w:r>
      <w:r w:rsidR="00802923">
        <w:t xml:space="preserve"> </w:t>
      </w:r>
    </w:p>
    <w:p w14:paraId="15D87C43" w14:textId="0E7AAC1B" w:rsidR="006A202C" w:rsidRDefault="0055689C" w:rsidP="0055689C">
      <w:pPr>
        <w:pStyle w:val="Heading1"/>
        <w:rPr>
          <w:sz w:val="56"/>
          <w:szCs w:val="56"/>
        </w:rPr>
      </w:pPr>
      <w:bookmarkStart w:id="26" w:name="_Appendix_3"/>
      <w:bookmarkStart w:id="27" w:name="_Ref135222374"/>
      <w:bookmarkStart w:id="28" w:name="_Toc135392327"/>
      <w:bookmarkEnd w:id="26"/>
      <w:r w:rsidRPr="00476648">
        <w:rPr>
          <w:color w:val="005E85" w:themeColor="accent4"/>
          <w:sz w:val="56"/>
          <w:szCs w:val="56"/>
        </w:rPr>
        <w:lastRenderedPageBreak/>
        <w:t xml:space="preserve">Appendix </w:t>
      </w:r>
      <w:bookmarkEnd w:id="19"/>
      <w:r w:rsidR="008D5EAB" w:rsidRPr="00476648">
        <w:rPr>
          <w:color w:val="005E85" w:themeColor="accent4"/>
          <w:sz w:val="56"/>
          <w:szCs w:val="56"/>
        </w:rPr>
        <w:t>4</w:t>
      </w:r>
      <w:bookmarkEnd w:id="27"/>
      <w:r w:rsidR="000A3B38" w:rsidRPr="00476648">
        <w:rPr>
          <w:color w:val="005E85" w:themeColor="accent4"/>
          <w:sz w:val="56"/>
          <w:szCs w:val="56"/>
        </w:rPr>
        <w:t xml:space="preserve">: Methods and measures </w:t>
      </w:r>
      <w:r w:rsidR="00CC5A04" w:rsidRPr="00476648">
        <w:rPr>
          <w:color w:val="005E85" w:themeColor="accent4"/>
          <w:sz w:val="56"/>
          <w:szCs w:val="56"/>
        </w:rPr>
        <w:t>shortlist</w:t>
      </w:r>
      <w:bookmarkEnd w:id="28"/>
    </w:p>
    <w:p w14:paraId="17E1C6D0" w14:textId="2A2DB2B3" w:rsidR="00CC5A04" w:rsidRDefault="00587F7D" w:rsidP="00CC5A04">
      <w:r>
        <w:t xml:space="preserve">This list contains 133 unique measures. </w:t>
      </w:r>
      <w:r w:rsidR="00CC5A04">
        <w:t>It includes the measures in Te Huringa and the Access and Choice programme report 2022.</w:t>
      </w:r>
    </w:p>
    <w:p w14:paraId="42B7AB3A" w14:textId="551C612D" w:rsidR="00806B30" w:rsidRDefault="00587F7D" w:rsidP="00CC5A04">
      <w:r>
        <w:t xml:space="preserve">Many measures are duplicated in the presentation by </w:t>
      </w:r>
      <w:r w:rsidR="00312FCB">
        <w:t>d</w:t>
      </w:r>
      <w:r>
        <w:t>omain below</w:t>
      </w:r>
      <w:r w:rsidR="00312FCB">
        <w:t xml:space="preserve"> </w:t>
      </w:r>
      <w:r w:rsidR="006C1288">
        <w:t xml:space="preserve">due to </w:t>
      </w:r>
      <w:r w:rsidR="004175B6">
        <w:t>mapping</w:t>
      </w:r>
      <w:r w:rsidR="006C1288">
        <w:t xml:space="preserve"> to multiple domains</w:t>
      </w:r>
      <w:r w:rsidR="00312FCB">
        <w:t>.</w:t>
      </w:r>
      <w:r w:rsidR="00CC5A04">
        <w:t xml:space="preserve"> </w:t>
      </w:r>
      <w:r w:rsidR="00806B30">
        <w:t xml:space="preserve">Note </w:t>
      </w:r>
      <w:r w:rsidR="00CC5A04">
        <w:t xml:space="preserve">there </w:t>
      </w:r>
      <w:r w:rsidR="00451565">
        <w:t>is</w:t>
      </w:r>
      <w:r w:rsidR="00CC5A04">
        <w:t xml:space="preserve"> </w:t>
      </w:r>
      <w:r w:rsidR="00BB10D8">
        <w:t>inconsistent</w:t>
      </w:r>
      <w:r w:rsidR="00806B30">
        <w:t xml:space="preserve"> expression of measures</w:t>
      </w:r>
      <w:r w:rsidR="00BB10D8">
        <w:t xml:space="preserve"> </w:t>
      </w:r>
      <w:r w:rsidR="007C1F27">
        <w:t xml:space="preserve">and </w:t>
      </w:r>
      <w:r w:rsidR="00BB10D8">
        <w:t xml:space="preserve">some varying levels of aggregation need to be addressed as </w:t>
      </w:r>
      <w:r w:rsidR="00B229EE">
        <w:t xml:space="preserve">we </w:t>
      </w:r>
      <w:r w:rsidR="00C0755E">
        <w:t xml:space="preserve">work on </w:t>
      </w:r>
      <w:r w:rsidR="007C1F27">
        <w:t xml:space="preserve">our </w:t>
      </w:r>
      <w:r w:rsidR="00C0755E">
        <w:t>vital few</w:t>
      </w:r>
      <w:r w:rsidR="007C1F27">
        <w:t xml:space="preserve"> measures.</w:t>
      </w:r>
    </w:p>
    <w:p w14:paraId="255AD152" w14:textId="57F49DFC" w:rsidR="0042741D" w:rsidRDefault="00CC5A04" w:rsidP="00CC5A04">
      <w:r>
        <w:t>Five</w:t>
      </w:r>
      <w:r w:rsidR="00826AB7">
        <w:t xml:space="preserve"> measures in blue text are </w:t>
      </w:r>
      <w:r w:rsidR="0080570F">
        <w:t xml:space="preserve">tāngata whaiora </w:t>
      </w:r>
      <w:r w:rsidR="00826AB7">
        <w:t>outcome measures</w:t>
      </w:r>
      <w:r w:rsidR="00194FE7">
        <w:t>.</w:t>
      </w:r>
      <w:r w:rsidR="00826AB7">
        <w:t xml:space="preserve"> </w:t>
      </w:r>
      <w:r w:rsidR="00194FE7">
        <w:t>S</w:t>
      </w:r>
      <w:r w:rsidR="006D34C2">
        <w:t xml:space="preserve">ee </w:t>
      </w:r>
      <w:r>
        <w:t xml:space="preserve">Appendix 5 </w:t>
      </w:r>
      <w:r w:rsidR="006D34C2">
        <w:t xml:space="preserve">for </w:t>
      </w:r>
      <w:r w:rsidR="0080570F">
        <w:t xml:space="preserve">the </w:t>
      </w:r>
      <w:r w:rsidR="00B02937">
        <w:t>full</w:t>
      </w:r>
      <w:r w:rsidR="005E1325">
        <w:t xml:space="preserve"> list</w:t>
      </w:r>
      <w:r w:rsidR="0080570F">
        <w:t xml:space="preserve"> which includes He Ara Oranga tāngata whaiora outcome measures.</w:t>
      </w:r>
    </w:p>
    <w:tbl>
      <w:tblPr>
        <w:tblStyle w:val="TableGridLight"/>
        <w:tblW w:w="8931"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2694"/>
        <w:gridCol w:w="860"/>
        <w:gridCol w:w="5377"/>
      </w:tblGrid>
      <w:tr w:rsidR="00E33090" w:rsidRPr="00E33090" w14:paraId="090CC81D" w14:textId="77777777" w:rsidTr="00476648">
        <w:trPr>
          <w:trHeight w:val="300"/>
          <w:tblHeader/>
        </w:trPr>
        <w:tc>
          <w:tcPr>
            <w:tcW w:w="2694" w:type="dxa"/>
            <w:shd w:val="clear" w:color="auto" w:fill="DFE7EE"/>
            <w:hideMark/>
          </w:tcPr>
          <w:p w14:paraId="73C614E2"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Framework domain</w:t>
            </w:r>
          </w:p>
        </w:tc>
        <w:tc>
          <w:tcPr>
            <w:tcW w:w="860" w:type="dxa"/>
            <w:shd w:val="clear" w:color="auto" w:fill="DFE7EE"/>
            <w:noWrap/>
            <w:hideMark/>
          </w:tcPr>
          <w:p w14:paraId="111C1E1C"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ID</w:t>
            </w:r>
          </w:p>
        </w:tc>
        <w:tc>
          <w:tcPr>
            <w:tcW w:w="5377" w:type="dxa"/>
            <w:shd w:val="clear" w:color="auto" w:fill="DFE7EE"/>
            <w:hideMark/>
          </w:tcPr>
          <w:p w14:paraId="7EBBE352"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Measure</w:t>
            </w:r>
          </w:p>
        </w:tc>
      </w:tr>
      <w:tr w:rsidR="00E33090" w:rsidRPr="00E33090" w14:paraId="31BDAB01" w14:textId="77777777" w:rsidTr="00476648">
        <w:trPr>
          <w:trHeight w:val="300"/>
        </w:trPr>
        <w:tc>
          <w:tcPr>
            <w:tcW w:w="2694" w:type="dxa"/>
            <w:vMerge w:val="restart"/>
            <w:noWrap/>
            <w:hideMark/>
          </w:tcPr>
          <w:p w14:paraId="3AFCA5A9"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Kotahitanga</w:t>
            </w:r>
          </w:p>
        </w:tc>
        <w:tc>
          <w:tcPr>
            <w:tcW w:w="860" w:type="dxa"/>
            <w:noWrap/>
            <w:hideMark/>
          </w:tcPr>
          <w:p w14:paraId="096C079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1019</w:t>
            </w:r>
          </w:p>
        </w:tc>
        <w:tc>
          <w:tcPr>
            <w:tcW w:w="5377" w:type="dxa"/>
            <w:hideMark/>
          </w:tcPr>
          <w:p w14:paraId="106C9C87"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and % of kaupapa Māori NGO MHA services</w:t>
            </w:r>
          </w:p>
        </w:tc>
      </w:tr>
      <w:tr w:rsidR="00E33090" w:rsidRPr="00E33090" w14:paraId="2AA52D8D" w14:textId="77777777" w:rsidTr="00476648">
        <w:trPr>
          <w:trHeight w:val="300"/>
        </w:trPr>
        <w:tc>
          <w:tcPr>
            <w:tcW w:w="2694" w:type="dxa"/>
            <w:vMerge/>
            <w:noWrap/>
            <w:hideMark/>
          </w:tcPr>
          <w:p w14:paraId="05851040"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CCD14C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1020</w:t>
            </w:r>
          </w:p>
        </w:tc>
        <w:tc>
          <w:tcPr>
            <w:tcW w:w="5377" w:type="dxa"/>
            <w:hideMark/>
          </w:tcPr>
          <w:p w14:paraId="42A40D76"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Kaupapa Māori primary &amp; community MHA services</w:t>
            </w:r>
          </w:p>
        </w:tc>
      </w:tr>
      <w:tr w:rsidR="00E33090" w:rsidRPr="00E33090" w14:paraId="3F2C7ED1" w14:textId="77777777" w:rsidTr="00476648">
        <w:trPr>
          <w:trHeight w:val="300"/>
        </w:trPr>
        <w:tc>
          <w:tcPr>
            <w:tcW w:w="2694" w:type="dxa"/>
            <w:vMerge/>
            <w:noWrap/>
            <w:hideMark/>
          </w:tcPr>
          <w:p w14:paraId="02258067"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3BBA597"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1022</w:t>
            </w:r>
          </w:p>
        </w:tc>
        <w:tc>
          <w:tcPr>
            <w:tcW w:w="5377" w:type="dxa"/>
            <w:hideMark/>
          </w:tcPr>
          <w:p w14:paraId="00CC7837"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IPMHA, Kaupapa Māori, Pacific, Youth services</w:t>
            </w:r>
          </w:p>
        </w:tc>
      </w:tr>
      <w:tr w:rsidR="00E33090" w:rsidRPr="00E33090" w14:paraId="00F4D481" w14:textId="77777777" w:rsidTr="00476648">
        <w:trPr>
          <w:trHeight w:val="300"/>
        </w:trPr>
        <w:tc>
          <w:tcPr>
            <w:tcW w:w="2694" w:type="dxa"/>
            <w:vMerge/>
            <w:noWrap/>
            <w:hideMark/>
          </w:tcPr>
          <w:p w14:paraId="7D8429B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241A24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1023</w:t>
            </w:r>
          </w:p>
        </w:tc>
        <w:tc>
          <w:tcPr>
            <w:tcW w:w="5377" w:type="dxa"/>
            <w:hideMark/>
          </w:tcPr>
          <w:p w14:paraId="3AFC6D2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Kaupapa Māori primary &amp; community MHA services - service activity (people seen, sessions delivered)</w:t>
            </w:r>
          </w:p>
        </w:tc>
      </w:tr>
      <w:tr w:rsidR="00E33090" w:rsidRPr="00E33090" w14:paraId="010DBC73" w14:textId="77777777" w:rsidTr="00476648">
        <w:trPr>
          <w:trHeight w:val="300"/>
        </w:trPr>
        <w:tc>
          <w:tcPr>
            <w:tcW w:w="2694" w:type="dxa"/>
            <w:vMerge/>
            <w:noWrap/>
            <w:hideMark/>
          </w:tcPr>
          <w:p w14:paraId="643AF0C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435322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1024</w:t>
            </w:r>
          </w:p>
        </w:tc>
        <w:tc>
          <w:tcPr>
            <w:tcW w:w="5377" w:type="dxa"/>
            <w:hideMark/>
          </w:tcPr>
          <w:p w14:paraId="47D2E7A7" w14:textId="48FC25C9"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IPMHA</w:t>
            </w:r>
            <w:r w:rsidR="00BF7037" w:rsidRPr="00E33090">
              <w:rPr>
                <w:rFonts w:ascii="Calibri" w:eastAsia="Times New Roman" w:hAnsi="Calibri" w:cs="Calibri"/>
                <w:color w:val="000000"/>
                <w:sz w:val="22"/>
                <w:lang w:eastAsia="en-NZ"/>
              </w:rPr>
              <w:t xml:space="preserve">, </w:t>
            </w:r>
            <w:r w:rsidRPr="00E33090">
              <w:rPr>
                <w:rFonts w:ascii="Calibri" w:eastAsia="Times New Roman" w:hAnsi="Calibri" w:cs="Calibri"/>
                <w:color w:val="000000"/>
                <w:sz w:val="22"/>
                <w:lang w:eastAsia="en-NZ"/>
              </w:rPr>
              <w:t>Kaupapa Māori</w:t>
            </w:r>
            <w:r w:rsidR="00BF7037" w:rsidRPr="00E33090">
              <w:rPr>
                <w:rFonts w:ascii="Calibri" w:eastAsia="Times New Roman" w:hAnsi="Calibri" w:cs="Calibri"/>
                <w:color w:val="000000"/>
                <w:sz w:val="22"/>
                <w:lang w:eastAsia="en-NZ"/>
              </w:rPr>
              <w:t>,</w:t>
            </w:r>
            <w:r w:rsidRPr="00E33090">
              <w:rPr>
                <w:rFonts w:ascii="Calibri" w:eastAsia="Times New Roman" w:hAnsi="Calibri" w:cs="Calibri"/>
                <w:color w:val="000000"/>
                <w:sz w:val="22"/>
                <w:lang w:eastAsia="en-NZ"/>
              </w:rPr>
              <w:t xml:space="preserve"> Pacific</w:t>
            </w:r>
            <w:r w:rsidR="00BF7037" w:rsidRPr="00E33090">
              <w:rPr>
                <w:rFonts w:ascii="Calibri" w:eastAsia="Times New Roman" w:hAnsi="Calibri" w:cs="Calibri"/>
                <w:color w:val="000000"/>
                <w:sz w:val="22"/>
                <w:lang w:eastAsia="en-NZ"/>
              </w:rPr>
              <w:t>,</w:t>
            </w:r>
            <w:r w:rsidRPr="00E33090">
              <w:rPr>
                <w:rFonts w:ascii="Calibri" w:eastAsia="Times New Roman" w:hAnsi="Calibri" w:cs="Calibri"/>
                <w:color w:val="000000"/>
                <w:sz w:val="22"/>
                <w:lang w:eastAsia="en-NZ"/>
              </w:rPr>
              <w:t xml:space="preserve"> Youth services - service activity (people seen, sessions delivered)</w:t>
            </w:r>
          </w:p>
        </w:tc>
      </w:tr>
      <w:tr w:rsidR="00E33090" w:rsidRPr="00E33090" w14:paraId="13DECA58" w14:textId="77777777" w:rsidTr="00476648">
        <w:trPr>
          <w:trHeight w:val="300"/>
        </w:trPr>
        <w:tc>
          <w:tcPr>
            <w:tcW w:w="2694" w:type="dxa"/>
            <w:vMerge/>
            <w:noWrap/>
            <w:hideMark/>
          </w:tcPr>
          <w:p w14:paraId="239D2BE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FAAD7E2"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1072</w:t>
            </w:r>
          </w:p>
        </w:tc>
        <w:tc>
          <w:tcPr>
            <w:tcW w:w="5377" w:type="dxa"/>
            <w:hideMark/>
          </w:tcPr>
          <w:p w14:paraId="3828E4D0"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about coordination of care between different service providers</w:t>
            </w:r>
          </w:p>
        </w:tc>
      </w:tr>
      <w:tr w:rsidR="00E33090" w:rsidRPr="00E33090" w14:paraId="7D0A552A" w14:textId="77777777" w:rsidTr="00476648">
        <w:trPr>
          <w:trHeight w:val="300"/>
        </w:trPr>
        <w:tc>
          <w:tcPr>
            <w:tcW w:w="2694" w:type="dxa"/>
            <w:vMerge/>
            <w:noWrap/>
            <w:hideMark/>
          </w:tcPr>
          <w:p w14:paraId="17DE25B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059F9D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1073</w:t>
            </w:r>
          </w:p>
        </w:tc>
        <w:tc>
          <w:tcPr>
            <w:tcW w:w="5377" w:type="dxa"/>
            <w:hideMark/>
          </w:tcPr>
          <w:p w14:paraId="56D3239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that were about coordination or inappropriate follow up by service providers</w:t>
            </w:r>
          </w:p>
        </w:tc>
      </w:tr>
      <w:tr w:rsidR="00E33090" w:rsidRPr="00E33090" w14:paraId="7A3E58D8" w14:textId="77777777" w:rsidTr="00476648">
        <w:trPr>
          <w:trHeight w:val="300"/>
        </w:trPr>
        <w:tc>
          <w:tcPr>
            <w:tcW w:w="2694" w:type="dxa"/>
            <w:vMerge/>
            <w:noWrap/>
            <w:hideMark/>
          </w:tcPr>
          <w:p w14:paraId="0380065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17EF8D6"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1244</w:t>
            </w:r>
          </w:p>
        </w:tc>
        <w:tc>
          <w:tcPr>
            <w:tcW w:w="5377" w:type="dxa"/>
            <w:hideMark/>
          </w:tcPr>
          <w:p w14:paraId="5F1D1869"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Availability of Kaupapa Māori primary &amp; community MHA services (population / service coverage)</w:t>
            </w:r>
          </w:p>
        </w:tc>
      </w:tr>
      <w:tr w:rsidR="00E33090" w:rsidRPr="00E33090" w14:paraId="4CCF6CF0" w14:textId="77777777" w:rsidTr="00476648">
        <w:trPr>
          <w:trHeight w:val="300"/>
        </w:trPr>
        <w:tc>
          <w:tcPr>
            <w:tcW w:w="2694" w:type="dxa"/>
            <w:vMerge/>
            <w:noWrap/>
            <w:hideMark/>
          </w:tcPr>
          <w:p w14:paraId="6138CDF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B41EEC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1245</w:t>
            </w:r>
          </w:p>
        </w:tc>
        <w:tc>
          <w:tcPr>
            <w:tcW w:w="5377" w:type="dxa"/>
            <w:hideMark/>
          </w:tcPr>
          <w:p w14:paraId="0B72C3D5"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FTE of staff contracted (funded) and staff employed into IPMHA, Kaupapa Māori, Pacific, Youth service delivery positions by roles</w:t>
            </w:r>
          </w:p>
        </w:tc>
      </w:tr>
      <w:tr w:rsidR="00E33090" w:rsidRPr="00E33090" w14:paraId="6249CAE2" w14:textId="77777777" w:rsidTr="00476648">
        <w:trPr>
          <w:trHeight w:val="300"/>
        </w:trPr>
        <w:tc>
          <w:tcPr>
            <w:tcW w:w="2694" w:type="dxa"/>
            <w:vMerge/>
            <w:noWrap/>
            <w:hideMark/>
          </w:tcPr>
          <w:p w14:paraId="41648BD6"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95558BF"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1264</w:t>
            </w:r>
          </w:p>
        </w:tc>
        <w:tc>
          <w:tcPr>
            <w:tcW w:w="5377" w:type="dxa"/>
            <w:hideMark/>
          </w:tcPr>
          <w:p w14:paraId="6A3A8694" w14:textId="6332F53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 measure from Te Pou NGO survey relating to cultural roles in the MHA workforce</w:t>
            </w:r>
            <w:r w:rsidR="009E7966">
              <w:rPr>
                <w:rFonts w:ascii="Calibri" w:eastAsia="Times New Roman" w:hAnsi="Calibri" w:cs="Calibri"/>
                <w:color w:val="000000"/>
                <w:sz w:val="22"/>
                <w:lang w:eastAsia="en-NZ"/>
              </w:rPr>
              <w:t xml:space="preserve"> to be developed</w:t>
            </w:r>
            <w:r w:rsidRPr="00E33090">
              <w:rPr>
                <w:rFonts w:ascii="Calibri" w:eastAsia="Times New Roman" w:hAnsi="Calibri" w:cs="Calibri"/>
                <w:color w:val="000000"/>
                <w:sz w:val="22"/>
                <w:lang w:eastAsia="en-NZ"/>
              </w:rPr>
              <w:t>]</w:t>
            </w:r>
          </w:p>
        </w:tc>
      </w:tr>
      <w:tr w:rsidR="00E33090" w:rsidRPr="00E33090" w14:paraId="18C32302" w14:textId="77777777" w:rsidTr="00476648">
        <w:trPr>
          <w:trHeight w:val="300"/>
        </w:trPr>
        <w:tc>
          <w:tcPr>
            <w:tcW w:w="2694" w:type="dxa"/>
            <w:vMerge w:val="restart"/>
            <w:noWrap/>
            <w:hideMark/>
          </w:tcPr>
          <w:p w14:paraId="488A0B85"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Mana Motuhake</w:t>
            </w:r>
          </w:p>
        </w:tc>
        <w:tc>
          <w:tcPr>
            <w:tcW w:w="860" w:type="dxa"/>
            <w:noWrap/>
            <w:hideMark/>
          </w:tcPr>
          <w:p w14:paraId="72E8D936"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1084</w:t>
            </w:r>
          </w:p>
        </w:tc>
        <w:tc>
          <w:tcPr>
            <w:tcW w:w="5377" w:type="dxa"/>
            <w:hideMark/>
          </w:tcPr>
          <w:p w14:paraId="69E1DC09"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FTE of staff contracted (funded) and staff employed into IPMHA, Kaupapa Māori, Pacific, Youth service delivery positions by roles</w:t>
            </w:r>
          </w:p>
        </w:tc>
      </w:tr>
      <w:tr w:rsidR="00E33090" w:rsidRPr="00E33090" w14:paraId="0AA5E911" w14:textId="77777777" w:rsidTr="00476648">
        <w:trPr>
          <w:trHeight w:val="300"/>
        </w:trPr>
        <w:tc>
          <w:tcPr>
            <w:tcW w:w="2694" w:type="dxa"/>
            <w:vMerge/>
            <w:noWrap/>
            <w:hideMark/>
          </w:tcPr>
          <w:p w14:paraId="7D31282B"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1DF01B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1085</w:t>
            </w:r>
          </w:p>
        </w:tc>
        <w:tc>
          <w:tcPr>
            <w:tcW w:w="5377" w:type="dxa"/>
            <w:hideMark/>
          </w:tcPr>
          <w:p w14:paraId="4350B7B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FTE of staff contracted (funded) and staff employed into IPMHA, Kaupapa Māori, Pacific, Youth service delivery positions by roles</w:t>
            </w:r>
          </w:p>
        </w:tc>
      </w:tr>
      <w:tr w:rsidR="00E33090" w:rsidRPr="00E33090" w14:paraId="2E40B5A4" w14:textId="77777777" w:rsidTr="00476648">
        <w:trPr>
          <w:trHeight w:val="300"/>
        </w:trPr>
        <w:tc>
          <w:tcPr>
            <w:tcW w:w="2694" w:type="dxa"/>
            <w:vMerge/>
            <w:noWrap/>
            <w:hideMark/>
          </w:tcPr>
          <w:p w14:paraId="61BA7EB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A9BA28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1086</w:t>
            </w:r>
          </w:p>
        </w:tc>
        <w:tc>
          <w:tcPr>
            <w:tcW w:w="5377" w:type="dxa"/>
            <w:hideMark/>
          </w:tcPr>
          <w:p w14:paraId="4FB6AE1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FTE of staff contracted (funded) and staff employed into IPMHA, Kaupapa Māori, Pacific, Youth service delivery positions by roles</w:t>
            </w:r>
          </w:p>
        </w:tc>
      </w:tr>
      <w:tr w:rsidR="00E33090" w:rsidRPr="00E33090" w14:paraId="6914B6B5" w14:textId="77777777" w:rsidTr="00476648">
        <w:trPr>
          <w:trHeight w:val="300"/>
        </w:trPr>
        <w:tc>
          <w:tcPr>
            <w:tcW w:w="2694" w:type="dxa"/>
            <w:vMerge/>
            <w:noWrap/>
            <w:hideMark/>
          </w:tcPr>
          <w:p w14:paraId="26CB76A0"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6928D06"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1087</w:t>
            </w:r>
          </w:p>
        </w:tc>
        <w:tc>
          <w:tcPr>
            <w:tcW w:w="5377" w:type="dxa"/>
            <w:hideMark/>
          </w:tcPr>
          <w:p w14:paraId="1F39022A"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about mental health and addiction services about access to those services</w:t>
            </w:r>
          </w:p>
        </w:tc>
      </w:tr>
      <w:tr w:rsidR="00E33090" w:rsidRPr="00E33090" w14:paraId="21820F72" w14:textId="77777777" w:rsidTr="00476648">
        <w:trPr>
          <w:trHeight w:val="300"/>
        </w:trPr>
        <w:tc>
          <w:tcPr>
            <w:tcW w:w="2694" w:type="dxa"/>
            <w:vMerge/>
            <w:noWrap/>
            <w:hideMark/>
          </w:tcPr>
          <w:p w14:paraId="242FF71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F28165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1090</w:t>
            </w:r>
          </w:p>
        </w:tc>
        <w:tc>
          <w:tcPr>
            <w:tcW w:w="5377" w:type="dxa"/>
            <w:hideMark/>
          </w:tcPr>
          <w:p w14:paraId="1FEEA6C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aged under 25 years able to access specialist mental health services within three weeks of referral</w:t>
            </w:r>
          </w:p>
        </w:tc>
      </w:tr>
      <w:tr w:rsidR="00E33090" w:rsidRPr="00E33090" w14:paraId="1A168CEC" w14:textId="77777777" w:rsidTr="00476648">
        <w:trPr>
          <w:trHeight w:val="300"/>
        </w:trPr>
        <w:tc>
          <w:tcPr>
            <w:tcW w:w="2694" w:type="dxa"/>
            <w:vMerge/>
            <w:noWrap/>
            <w:hideMark/>
          </w:tcPr>
          <w:p w14:paraId="135424C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E12B55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1092</w:t>
            </w:r>
          </w:p>
        </w:tc>
        <w:tc>
          <w:tcPr>
            <w:tcW w:w="5377" w:type="dxa"/>
            <w:hideMark/>
          </w:tcPr>
          <w:p w14:paraId="4EC2968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and % of kaupapa Māori NGO MHA services</w:t>
            </w:r>
          </w:p>
        </w:tc>
      </w:tr>
      <w:tr w:rsidR="00E33090" w:rsidRPr="00E33090" w14:paraId="672C763D" w14:textId="77777777" w:rsidTr="00476648">
        <w:trPr>
          <w:trHeight w:val="600"/>
        </w:trPr>
        <w:tc>
          <w:tcPr>
            <w:tcW w:w="2694" w:type="dxa"/>
            <w:vMerge/>
            <w:noWrap/>
            <w:hideMark/>
          </w:tcPr>
          <w:p w14:paraId="45A29AF3"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A1F379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1094</w:t>
            </w:r>
          </w:p>
        </w:tc>
        <w:tc>
          <w:tcPr>
            <w:tcW w:w="5377" w:type="dxa"/>
            <w:hideMark/>
          </w:tcPr>
          <w:p w14:paraId="6AA56BF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treatment days delivered across 11 different specialist mental health and addiction services (total treatment days) (Individual treatment sessions, Community support, Coordination of care, Contacts with family / whānau, Group programmes, Crisis attendances, Day programmes, Peer support contacts, Māori specific interventions, Pacific specific interventions, Opioid substitution treatment service)</w:t>
            </w:r>
          </w:p>
        </w:tc>
      </w:tr>
      <w:tr w:rsidR="00E33090" w:rsidRPr="00E33090" w14:paraId="30060070" w14:textId="77777777" w:rsidTr="00476648">
        <w:trPr>
          <w:trHeight w:val="300"/>
        </w:trPr>
        <w:tc>
          <w:tcPr>
            <w:tcW w:w="2694" w:type="dxa"/>
            <w:vMerge/>
            <w:noWrap/>
            <w:hideMark/>
          </w:tcPr>
          <w:p w14:paraId="75B8B81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A7AC69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1109</w:t>
            </w:r>
          </w:p>
        </w:tc>
        <w:tc>
          <w:tcPr>
            <w:tcW w:w="5377" w:type="dxa"/>
            <w:hideMark/>
          </w:tcPr>
          <w:p w14:paraId="63222583"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treatment days involving family and whānau provided by services</w:t>
            </w:r>
          </w:p>
        </w:tc>
      </w:tr>
      <w:tr w:rsidR="00E33090" w:rsidRPr="00E33090" w14:paraId="0F7042C0" w14:textId="77777777" w:rsidTr="00476648">
        <w:trPr>
          <w:trHeight w:val="300"/>
        </w:trPr>
        <w:tc>
          <w:tcPr>
            <w:tcW w:w="2694" w:type="dxa"/>
            <w:vMerge/>
            <w:noWrap/>
            <w:hideMark/>
          </w:tcPr>
          <w:p w14:paraId="40082F1A"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503C8FF"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1111</w:t>
            </w:r>
          </w:p>
        </w:tc>
        <w:tc>
          <w:tcPr>
            <w:tcW w:w="5377" w:type="dxa"/>
            <w:hideMark/>
          </w:tcPr>
          <w:p w14:paraId="4D429C3A"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tāngata whaiora and whānau who report that their plan is reviewed regularly</w:t>
            </w:r>
          </w:p>
        </w:tc>
      </w:tr>
      <w:tr w:rsidR="00E33090" w:rsidRPr="00E33090" w14:paraId="5EB2368D" w14:textId="77777777" w:rsidTr="00476648">
        <w:trPr>
          <w:trHeight w:val="300"/>
        </w:trPr>
        <w:tc>
          <w:tcPr>
            <w:tcW w:w="2694" w:type="dxa"/>
            <w:vMerge/>
            <w:noWrap/>
            <w:hideMark/>
          </w:tcPr>
          <w:p w14:paraId="410C80BC"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7B37BB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1114</w:t>
            </w:r>
          </w:p>
        </w:tc>
        <w:tc>
          <w:tcPr>
            <w:tcW w:w="5377" w:type="dxa"/>
            <w:hideMark/>
          </w:tcPr>
          <w:p w14:paraId="5B9E305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tāngata whaiora and whānau who report they feel involved in decisions about their care</w:t>
            </w:r>
          </w:p>
        </w:tc>
      </w:tr>
      <w:tr w:rsidR="00E33090" w:rsidRPr="00E33090" w14:paraId="0A8C301B" w14:textId="77777777" w:rsidTr="00476648">
        <w:trPr>
          <w:trHeight w:val="300"/>
        </w:trPr>
        <w:tc>
          <w:tcPr>
            <w:tcW w:w="2694" w:type="dxa"/>
            <w:vMerge/>
            <w:noWrap/>
            <w:hideMark/>
          </w:tcPr>
          <w:p w14:paraId="2684BF3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DA9532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1208</w:t>
            </w:r>
          </w:p>
        </w:tc>
        <w:tc>
          <w:tcPr>
            <w:tcW w:w="5377" w:type="dxa"/>
            <w:hideMark/>
          </w:tcPr>
          <w:p w14:paraId="73E74698"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xml:space="preserve">Complete roll-out of the Access and Choice programme for primary mental health and addiction support services so that access is available for 325,000 people per year by the end of June 2024 </w:t>
            </w:r>
          </w:p>
        </w:tc>
      </w:tr>
      <w:tr w:rsidR="00E33090" w:rsidRPr="00E33090" w14:paraId="53BD08B2" w14:textId="77777777" w:rsidTr="00476648">
        <w:trPr>
          <w:trHeight w:val="300"/>
        </w:trPr>
        <w:tc>
          <w:tcPr>
            <w:tcW w:w="2694" w:type="dxa"/>
            <w:vMerge/>
            <w:noWrap/>
            <w:hideMark/>
          </w:tcPr>
          <w:p w14:paraId="2C93EDBA"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213C1B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1237</w:t>
            </w:r>
          </w:p>
        </w:tc>
        <w:tc>
          <w:tcPr>
            <w:tcW w:w="5377" w:type="dxa"/>
            <w:hideMark/>
          </w:tcPr>
          <w:p w14:paraId="0AFAD4A9"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treatment days involving family and whānau provided by services</w:t>
            </w:r>
          </w:p>
        </w:tc>
      </w:tr>
      <w:tr w:rsidR="00E33090" w:rsidRPr="00E33090" w14:paraId="0657352C" w14:textId="77777777" w:rsidTr="00476648">
        <w:trPr>
          <w:trHeight w:val="300"/>
        </w:trPr>
        <w:tc>
          <w:tcPr>
            <w:tcW w:w="2694" w:type="dxa"/>
            <w:vMerge/>
            <w:noWrap/>
            <w:hideMark/>
          </w:tcPr>
          <w:p w14:paraId="1FAFBA23"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384941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1259</w:t>
            </w:r>
          </w:p>
        </w:tc>
        <w:tc>
          <w:tcPr>
            <w:tcW w:w="5377" w:type="dxa"/>
            <w:hideMark/>
          </w:tcPr>
          <w:p w14:paraId="0031820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total mental health workforce accounted for by the mental health peer workforce</w:t>
            </w:r>
          </w:p>
        </w:tc>
      </w:tr>
      <w:tr w:rsidR="00E33090" w:rsidRPr="00E33090" w14:paraId="03F1FE59" w14:textId="77777777" w:rsidTr="00476648">
        <w:trPr>
          <w:trHeight w:val="300"/>
        </w:trPr>
        <w:tc>
          <w:tcPr>
            <w:tcW w:w="2694" w:type="dxa"/>
            <w:vMerge w:val="restart"/>
            <w:noWrap/>
            <w:hideMark/>
          </w:tcPr>
          <w:p w14:paraId="34865A4D"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Mana Tangata / Tū Tangata Mauri Ora</w:t>
            </w:r>
          </w:p>
        </w:tc>
        <w:tc>
          <w:tcPr>
            <w:tcW w:w="860" w:type="dxa"/>
            <w:noWrap/>
            <w:hideMark/>
          </w:tcPr>
          <w:p w14:paraId="214317C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1028</w:t>
            </w:r>
          </w:p>
        </w:tc>
        <w:tc>
          <w:tcPr>
            <w:tcW w:w="5377" w:type="dxa"/>
            <w:hideMark/>
          </w:tcPr>
          <w:p w14:paraId="25F35AE0"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scholarships/bursaries each year and total $ value for Māori students pursuing a career in MHA</w:t>
            </w:r>
          </w:p>
        </w:tc>
      </w:tr>
      <w:tr w:rsidR="00E33090" w:rsidRPr="00E33090" w14:paraId="0E0A215D" w14:textId="77777777" w:rsidTr="00476648">
        <w:trPr>
          <w:trHeight w:val="300"/>
        </w:trPr>
        <w:tc>
          <w:tcPr>
            <w:tcW w:w="2694" w:type="dxa"/>
            <w:vMerge/>
            <w:noWrap/>
            <w:hideMark/>
          </w:tcPr>
          <w:p w14:paraId="1435AD1B"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A3EB23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1031</w:t>
            </w:r>
          </w:p>
        </w:tc>
        <w:tc>
          <w:tcPr>
            <w:tcW w:w="5377" w:type="dxa"/>
            <w:hideMark/>
          </w:tcPr>
          <w:p w14:paraId="02478D73" w14:textId="3969BE53"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 measure from Te Pou NGO survey relating to cultural roles in the MHA workforce</w:t>
            </w:r>
            <w:r w:rsidR="003A1789">
              <w:rPr>
                <w:rFonts w:ascii="Calibri" w:eastAsia="Times New Roman" w:hAnsi="Calibri" w:cs="Calibri"/>
                <w:color w:val="000000"/>
                <w:sz w:val="22"/>
                <w:lang w:eastAsia="en-NZ"/>
              </w:rPr>
              <w:t xml:space="preserve"> to be developed</w:t>
            </w:r>
            <w:r w:rsidRPr="00E33090">
              <w:rPr>
                <w:rFonts w:ascii="Calibri" w:eastAsia="Times New Roman" w:hAnsi="Calibri" w:cs="Calibri"/>
                <w:color w:val="000000"/>
                <w:sz w:val="22"/>
                <w:lang w:eastAsia="en-NZ"/>
              </w:rPr>
              <w:t>]</w:t>
            </w:r>
          </w:p>
        </w:tc>
      </w:tr>
      <w:tr w:rsidR="00E33090" w:rsidRPr="00E33090" w14:paraId="1F45180A" w14:textId="77777777" w:rsidTr="00476648">
        <w:trPr>
          <w:trHeight w:val="300"/>
        </w:trPr>
        <w:tc>
          <w:tcPr>
            <w:tcW w:w="2694" w:type="dxa"/>
            <w:vMerge/>
            <w:noWrap/>
            <w:hideMark/>
          </w:tcPr>
          <w:p w14:paraId="07B72DFA"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96B728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1105</w:t>
            </w:r>
          </w:p>
        </w:tc>
        <w:tc>
          <w:tcPr>
            <w:tcW w:w="5377" w:type="dxa"/>
            <w:hideMark/>
          </w:tcPr>
          <w:p w14:paraId="4A14E940"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places for Māori and Pacific cultural competence training each year</w:t>
            </w:r>
          </w:p>
        </w:tc>
      </w:tr>
      <w:tr w:rsidR="00E33090" w:rsidRPr="00E33090" w14:paraId="418F17DE" w14:textId="77777777" w:rsidTr="00476648">
        <w:trPr>
          <w:trHeight w:val="300"/>
        </w:trPr>
        <w:tc>
          <w:tcPr>
            <w:tcW w:w="2694" w:type="dxa"/>
            <w:vMerge/>
            <w:noWrap/>
            <w:hideMark/>
          </w:tcPr>
          <w:p w14:paraId="05B1A11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A7DC75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1121</w:t>
            </w:r>
          </w:p>
        </w:tc>
        <w:tc>
          <w:tcPr>
            <w:tcW w:w="5377" w:type="dxa"/>
            <w:hideMark/>
          </w:tcPr>
          <w:p w14:paraId="1654781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Average length of detention under the Substance Addiction (Compulsory Assessment and Treatment) Act 2017</w:t>
            </w:r>
          </w:p>
        </w:tc>
      </w:tr>
      <w:tr w:rsidR="00E33090" w:rsidRPr="00E33090" w14:paraId="4DD0396E" w14:textId="77777777" w:rsidTr="00476648">
        <w:trPr>
          <w:trHeight w:val="300"/>
        </w:trPr>
        <w:tc>
          <w:tcPr>
            <w:tcW w:w="2694" w:type="dxa"/>
            <w:vMerge/>
            <w:noWrap/>
            <w:hideMark/>
          </w:tcPr>
          <w:p w14:paraId="1683A64C"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38F67A2"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1122</w:t>
            </w:r>
          </w:p>
        </w:tc>
        <w:tc>
          <w:tcPr>
            <w:tcW w:w="5377" w:type="dxa"/>
            <w:hideMark/>
          </w:tcPr>
          <w:p w14:paraId="3F878A4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Length of time spent subject to community orders (section 29) under the Mental Health Act for Māori, Pacific peoples and people of other ethnicities</w:t>
            </w:r>
          </w:p>
        </w:tc>
      </w:tr>
      <w:tr w:rsidR="00E33090" w:rsidRPr="00E33090" w14:paraId="7DFA39AB" w14:textId="77777777" w:rsidTr="00476648">
        <w:trPr>
          <w:trHeight w:val="300"/>
        </w:trPr>
        <w:tc>
          <w:tcPr>
            <w:tcW w:w="2694" w:type="dxa"/>
            <w:vMerge/>
            <w:noWrap/>
            <w:hideMark/>
          </w:tcPr>
          <w:p w14:paraId="292E4A35"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FE1953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1123</w:t>
            </w:r>
          </w:p>
        </w:tc>
        <w:tc>
          <w:tcPr>
            <w:tcW w:w="5377" w:type="dxa"/>
            <w:hideMark/>
          </w:tcPr>
          <w:p w14:paraId="3C254CA5"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Length of time spent subject to inpatient orders (section 30) under the Mental Health Act for Māori, Pacific peoples and people of other ethnicities</w:t>
            </w:r>
          </w:p>
        </w:tc>
      </w:tr>
      <w:tr w:rsidR="00E33090" w:rsidRPr="00E33090" w14:paraId="56543137" w14:textId="77777777" w:rsidTr="00476648">
        <w:trPr>
          <w:trHeight w:val="300"/>
        </w:trPr>
        <w:tc>
          <w:tcPr>
            <w:tcW w:w="2694" w:type="dxa"/>
            <w:vMerge/>
            <w:noWrap/>
            <w:hideMark/>
          </w:tcPr>
          <w:p w14:paraId="5F11529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69B850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1124</w:t>
            </w:r>
          </w:p>
        </w:tc>
        <w:tc>
          <w:tcPr>
            <w:tcW w:w="5377" w:type="dxa"/>
            <w:hideMark/>
          </w:tcPr>
          <w:p w14:paraId="074AA979"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required to undergo assessment under sections 11, 13 and 14(4) of the Mental Health Act</w:t>
            </w:r>
          </w:p>
        </w:tc>
      </w:tr>
      <w:tr w:rsidR="00E33090" w:rsidRPr="00E33090" w14:paraId="1E1C400F" w14:textId="77777777" w:rsidTr="00476648">
        <w:trPr>
          <w:trHeight w:val="300"/>
        </w:trPr>
        <w:tc>
          <w:tcPr>
            <w:tcW w:w="2694" w:type="dxa"/>
            <w:vMerge/>
            <w:noWrap/>
            <w:hideMark/>
          </w:tcPr>
          <w:p w14:paraId="1516807A"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B4B8EF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1156</w:t>
            </w:r>
          </w:p>
        </w:tc>
        <w:tc>
          <w:tcPr>
            <w:tcW w:w="5377" w:type="dxa"/>
            <w:hideMark/>
          </w:tcPr>
          <w:p w14:paraId="3CB8F1A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serious adverse events (suspected suicide, serious self-harm, and serious adverse behaviour) are reported in mental health and addiction services (DHBs only)</w:t>
            </w:r>
          </w:p>
        </w:tc>
      </w:tr>
      <w:tr w:rsidR="00E33090" w:rsidRPr="00E33090" w14:paraId="04023575" w14:textId="77777777" w:rsidTr="00476648">
        <w:trPr>
          <w:trHeight w:val="300"/>
        </w:trPr>
        <w:tc>
          <w:tcPr>
            <w:tcW w:w="2694" w:type="dxa"/>
            <w:vMerge/>
            <w:noWrap/>
            <w:hideMark/>
          </w:tcPr>
          <w:p w14:paraId="681AD2B5"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81248E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1170</w:t>
            </w:r>
          </w:p>
        </w:tc>
        <w:tc>
          <w:tcPr>
            <w:tcW w:w="5377" w:type="dxa"/>
            <w:hideMark/>
          </w:tcPr>
          <w:p w14:paraId="208406B6"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Vacancy rate in the NGO MHA workforce</w:t>
            </w:r>
          </w:p>
        </w:tc>
      </w:tr>
      <w:tr w:rsidR="00E33090" w:rsidRPr="00E33090" w14:paraId="7BA49669" w14:textId="77777777" w:rsidTr="00476648">
        <w:trPr>
          <w:trHeight w:val="300"/>
        </w:trPr>
        <w:tc>
          <w:tcPr>
            <w:tcW w:w="2694" w:type="dxa"/>
            <w:vMerge/>
            <w:noWrap/>
            <w:hideMark/>
          </w:tcPr>
          <w:p w14:paraId="460B60F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D94B71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1171</w:t>
            </w:r>
          </w:p>
        </w:tc>
        <w:tc>
          <w:tcPr>
            <w:tcW w:w="5377" w:type="dxa"/>
            <w:hideMark/>
          </w:tcPr>
          <w:p w14:paraId="0D406D0F" w14:textId="6B9379CC"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xml:space="preserve">[Narrative </w:t>
            </w:r>
            <w:r w:rsidR="002A1742">
              <w:rPr>
                <w:rFonts w:ascii="Calibri" w:eastAsia="Times New Roman" w:hAnsi="Calibri" w:cs="Calibri"/>
                <w:color w:val="000000"/>
                <w:sz w:val="22"/>
                <w:lang w:eastAsia="en-NZ"/>
              </w:rPr>
              <w:t>relating to</w:t>
            </w:r>
            <w:r w:rsidRPr="00E33090">
              <w:rPr>
                <w:rFonts w:ascii="Calibri" w:eastAsia="Times New Roman" w:hAnsi="Calibri" w:cs="Calibri"/>
                <w:color w:val="000000"/>
                <w:sz w:val="22"/>
                <w:lang w:eastAsia="en-NZ"/>
              </w:rPr>
              <w:t xml:space="preserve"> developments with Te Rau Ora's Whanau Workforce Development Programme]</w:t>
            </w:r>
          </w:p>
        </w:tc>
      </w:tr>
      <w:tr w:rsidR="00E33090" w:rsidRPr="00E33090" w14:paraId="00552C9E" w14:textId="77777777" w:rsidTr="00476648">
        <w:trPr>
          <w:trHeight w:val="300"/>
        </w:trPr>
        <w:tc>
          <w:tcPr>
            <w:tcW w:w="2694" w:type="dxa"/>
            <w:vMerge/>
            <w:noWrap/>
            <w:hideMark/>
          </w:tcPr>
          <w:p w14:paraId="3AA94BC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BCDBB7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1174</w:t>
            </w:r>
          </w:p>
        </w:tc>
        <w:tc>
          <w:tcPr>
            <w:tcW w:w="5377" w:type="dxa"/>
            <w:hideMark/>
          </w:tcPr>
          <w:p w14:paraId="6E9C617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about mental health and addiction services that include issues with communication</w:t>
            </w:r>
          </w:p>
        </w:tc>
      </w:tr>
      <w:tr w:rsidR="00E33090" w:rsidRPr="00E33090" w14:paraId="6AF90DCC" w14:textId="77777777" w:rsidTr="00476648">
        <w:trPr>
          <w:trHeight w:val="300"/>
        </w:trPr>
        <w:tc>
          <w:tcPr>
            <w:tcW w:w="2694" w:type="dxa"/>
            <w:vMerge/>
            <w:noWrap/>
            <w:hideMark/>
          </w:tcPr>
          <w:p w14:paraId="55209922"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E9FA3A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1175</w:t>
            </w:r>
          </w:p>
        </w:tc>
        <w:tc>
          <w:tcPr>
            <w:tcW w:w="5377" w:type="dxa"/>
            <w:hideMark/>
          </w:tcPr>
          <w:p w14:paraId="2D568355"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about mental health and addiction services were about inadequate or inappropriate care</w:t>
            </w:r>
          </w:p>
        </w:tc>
      </w:tr>
      <w:tr w:rsidR="00E33090" w:rsidRPr="00E33090" w14:paraId="22CC5BF8" w14:textId="77777777" w:rsidTr="00476648">
        <w:trPr>
          <w:trHeight w:val="300"/>
        </w:trPr>
        <w:tc>
          <w:tcPr>
            <w:tcW w:w="2694" w:type="dxa"/>
            <w:vMerge/>
            <w:noWrap/>
            <w:hideMark/>
          </w:tcPr>
          <w:p w14:paraId="7D5614EB"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A6D69E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1200</w:t>
            </w:r>
          </w:p>
        </w:tc>
        <w:tc>
          <w:tcPr>
            <w:tcW w:w="5377" w:type="dxa"/>
            <w:hideMark/>
          </w:tcPr>
          <w:p w14:paraId="028426A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FTE rongoā Māori practitioner vacancies in NGOs A&amp;D services</w:t>
            </w:r>
          </w:p>
        </w:tc>
      </w:tr>
      <w:tr w:rsidR="00E33090" w:rsidRPr="00E33090" w14:paraId="6FB8F1C1" w14:textId="77777777" w:rsidTr="00476648">
        <w:trPr>
          <w:trHeight w:val="300"/>
        </w:trPr>
        <w:tc>
          <w:tcPr>
            <w:tcW w:w="2694" w:type="dxa"/>
            <w:vMerge/>
            <w:noWrap/>
            <w:hideMark/>
          </w:tcPr>
          <w:p w14:paraId="7B5432D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82EF1D7"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1201</w:t>
            </w:r>
          </w:p>
        </w:tc>
        <w:tc>
          <w:tcPr>
            <w:tcW w:w="5377" w:type="dxa"/>
            <w:hideMark/>
          </w:tcPr>
          <w:p w14:paraId="6C00A4A3"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FTE rongoā Māori practitioner vacancies in NGOs MH services</w:t>
            </w:r>
          </w:p>
        </w:tc>
      </w:tr>
      <w:tr w:rsidR="00E33090" w:rsidRPr="00E33090" w14:paraId="3F78388F" w14:textId="77777777" w:rsidTr="00476648">
        <w:trPr>
          <w:trHeight w:val="300"/>
        </w:trPr>
        <w:tc>
          <w:tcPr>
            <w:tcW w:w="2694" w:type="dxa"/>
            <w:vMerge/>
            <w:noWrap/>
            <w:hideMark/>
          </w:tcPr>
          <w:p w14:paraId="4280F58E"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85913F6"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1202</w:t>
            </w:r>
          </w:p>
        </w:tc>
        <w:tc>
          <w:tcPr>
            <w:tcW w:w="5377" w:type="dxa"/>
            <w:hideMark/>
          </w:tcPr>
          <w:p w14:paraId="3C5FBA3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FTE rongoā Māori practitioners employed in NGOs A&amp;D services</w:t>
            </w:r>
          </w:p>
        </w:tc>
      </w:tr>
      <w:tr w:rsidR="00E33090" w:rsidRPr="00E33090" w14:paraId="0300BD90" w14:textId="77777777" w:rsidTr="00476648">
        <w:trPr>
          <w:trHeight w:val="300"/>
        </w:trPr>
        <w:tc>
          <w:tcPr>
            <w:tcW w:w="2694" w:type="dxa"/>
            <w:vMerge/>
            <w:noWrap/>
            <w:hideMark/>
          </w:tcPr>
          <w:p w14:paraId="6AD0E67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B266EF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1203</w:t>
            </w:r>
          </w:p>
        </w:tc>
        <w:tc>
          <w:tcPr>
            <w:tcW w:w="5377" w:type="dxa"/>
            <w:hideMark/>
          </w:tcPr>
          <w:p w14:paraId="3C7C2E15"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FTE rongoā Māori practitioners employed in NGOs MH services</w:t>
            </w:r>
          </w:p>
        </w:tc>
      </w:tr>
      <w:tr w:rsidR="00E33090" w:rsidRPr="00E33090" w14:paraId="43702B4C" w14:textId="77777777" w:rsidTr="00476648">
        <w:trPr>
          <w:trHeight w:val="300"/>
        </w:trPr>
        <w:tc>
          <w:tcPr>
            <w:tcW w:w="2694" w:type="dxa"/>
            <w:vMerge/>
            <w:noWrap/>
            <w:hideMark/>
          </w:tcPr>
          <w:p w14:paraId="79994C4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91073D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1214</w:t>
            </w:r>
          </w:p>
        </w:tc>
        <w:tc>
          <w:tcPr>
            <w:tcW w:w="5377" w:type="dxa"/>
            <w:hideMark/>
          </w:tcPr>
          <w:p w14:paraId="573911E4" w14:textId="38276EC0" w:rsidR="00E33090" w:rsidRPr="00E33090" w:rsidRDefault="002A1742" w:rsidP="00E33090">
            <w:pPr>
              <w:spacing w:line="240" w:lineRule="auto"/>
              <w:rPr>
                <w:rFonts w:ascii="Calibri" w:eastAsia="Times New Roman" w:hAnsi="Calibri" w:cs="Calibri"/>
                <w:color w:val="000000"/>
                <w:sz w:val="22"/>
                <w:lang w:eastAsia="en-NZ"/>
              </w:rPr>
            </w:pPr>
            <w:r>
              <w:rPr>
                <w:rFonts w:ascii="Calibri" w:eastAsia="Times New Roman" w:hAnsi="Calibri" w:cs="Calibri"/>
                <w:color w:val="000000"/>
                <w:sz w:val="22"/>
                <w:lang w:eastAsia="en-NZ"/>
              </w:rPr>
              <w:t>%</w:t>
            </w:r>
            <w:r w:rsidR="00E33090" w:rsidRPr="00E33090">
              <w:rPr>
                <w:rFonts w:ascii="Calibri" w:eastAsia="Times New Roman" w:hAnsi="Calibri" w:cs="Calibri"/>
                <w:color w:val="000000"/>
                <w:sz w:val="22"/>
                <w:lang w:eastAsia="en-NZ"/>
              </w:rPr>
              <w:t xml:space="preserve"> of spend of HNZ total budget on mental health [&amp; total </w:t>
            </w:r>
            <w:r w:rsidR="00805A7B">
              <w:rPr>
                <w:rFonts w:ascii="Calibri" w:eastAsia="Times New Roman" w:hAnsi="Calibri" w:cs="Calibri"/>
                <w:color w:val="000000"/>
                <w:sz w:val="22"/>
                <w:lang w:eastAsia="en-NZ"/>
              </w:rPr>
              <w:t>spend</w:t>
            </w:r>
            <w:r w:rsidR="00C30AEC" w:rsidRPr="00E33090">
              <w:rPr>
                <w:rFonts w:ascii="Calibri" w:eastAsia="Times New Roman" w:hAnsi="Calibri" w:cs="Calibri"/>
                <w:color w:val="000000"/>
                <w:sz w:val="22"/>
                <w:lang w:eastAsia="en-NZ"/>
              </w:rPr>
              <w:t>]</w:t>
            </w:r>
          </w:p>
        </w:tc>
      </w:tr>
      <w:tr w:rsidR="00E33090" w:rsidRPr="00E33090" w14:paraId="53F94D44" w14:textId="77777777" w:rsidTr="00476648">
        <w:trPr>
          <w:trHeight w:val="300"/>
        </w:trPr>
        <w:tc>
          <w:tcPr>
            <w:tcW w:w="2694" w:type="dxa"/>
            <w:vMerge/>
            <w:noWrap/>
            <w:hideMark/>
          </w:tcPr>
          <w:p w14:paraId="65CAA26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9C62AB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1257</w:t>
            </w:r>
          </w:p>
        </w:tc>
        <w:tc>
          <w:tcPr>
            <w:tcW w:w="5377" w:type="dxa"/>
            <w:hideMark/>
          </w:tcPr>
          <w:p w14:paraId="326125F1"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about coordination of care between different service providers</w:t>
            </w:r>
          </w:p>
        </w:tc>
      </w:tr>
      <w:tr w:rsidR="00E33090" w:rsidRPr="00E33090" w14:paraId="3B486D74" w14:textId="77777777" w:rsidTr="00476648">
        <w:trPr>
          <w:trHeight w:val="300"/>
        </w:trPr>
        <w:tc>
          <w:tcPr>
            <w:tcW w:w="2694" w:type="dxa"/>
            <w:vMerge/>
            <w:noWrap/>
            <w:hideMark/>
          </w:tcPr>
          <w:p w14:paraId="4DC39AF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41CFC26"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1258</w:t>
            </w:r>
          </w:p>
        </w:tc>
        <w:tc>
          <w:tcPr>
            <w:tcW w:w="5377" w:type="dxa"/>
            <w:hideMark/>
          </w:tcPr>
          <w:p w14:paraId="470238C3"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that were about coordination or inappropriate follow up by service providers</w:t>
            </w:r>
          </w:p>
        </w:tc>
      </w:tr>
      <w:tr w:rsidR="00E33090" w:rsidRPr="00E33090" w14:paraId="14CA2BA2" w14:textId="77777777" w:rsidTr="00476648">
        <w:trPr>
          <w:trHeight w:val="300"/>
        </w:trPr>
        <w:tc>
          <w:tcPr>
            <w:tcW w:w="2694" w:type="dxa"/>
            <w:vMerge/>
            <w:noWrap/>
            <w:hideMark/>
          </w:tcPr>
          <w:p w14:paraId="46721372"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160D88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1340</w:t>
            </w:r>
          </w:p>
        </w:tc>
        <w:tc>
          <w:tcPr>
            <w:tcW w:w="5377" w:type="dxa"/>
            <w:hideMark/>
          </w:tcPr>
          <w:p w14:paraId="1B5E8968"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Māori in Te Whatu Ora (former DHB) MHA workforce</w:t>
            </w:r>
          </w:p>
        </w:tc>
      </w:tr>
      <w:tr w:rsidR="00E33090" w:rsidRPr="00E33090" w14:paraId="4E561381" w14:textId="77777777" w:rsidTr="00476648">
        <w:trPr>
          <w:trHeight w:val="300"/>
        </w:trPr>
        <w:tc>
          <w:tcPr>
            <w:tcW w:w="2694" w:type="dxa"/>
            <w:vMerge/>
            <w:noWrap/>
            <w:hideMark/>
          </w:tcPr>
          <w:p w14:paraId="1E109DD6"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E83E25F"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1343</w:t>
            </w:r>
          </w:p>
        </w:tc>
        <w:tc>
          <w:tcPr>
            <w:tcW w:w="5377" w:type="dxa"/>
            <w:hideMark/>
          </w:tcPr>
          <w:p w14:paraId="2490493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[Narrative from or link to Te Rau Ora report on school pipeline for Māori into health &amp; social care careers - findings apply to employment opportunities more generally, could also draw on their analysis of the broader Māori workforce)</w:t>
            </w:r>
          </w:p>
        </w:tc>
      </w:tr>
      <w:tr w:rsidR="00E33090" w:rsidRPr="00E33090" w14:paraId="23425739" w14:textId="77777777" w:rsidTr="00476648">
        <w:trPr>
          <w:trHeight w:val="300"/>
        </w:trPr>
        <w:tc>
          <w:tcPr>
            <w:tcW w:w="2694" w:type="dxa"/>
            <w:vMerge w:val="restart"/>
            <w:noWrap/>
            <w:hideMark/>
          </w:tcPr>
          <w:p w14:paraId="7A30EA90"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Mana Whakahaere</w:t>
            </w:r>
          </w:p>
        </w:tc>
        <w:tc>
          <w:tcPr>
            <w:tcW w:w="860" w:type="dxa"/>
            <w:noWrap/>
            <w:hideMark/>
          </w:tcPr>
          <w:p w14:paraId="41A39CE2"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1193</w:t>
            </w:r>
          </w:p>
        </w:tc>
        <w:tc>
          <w:tcPr>
            <w:tcW w:w="5377" w:type="dxa"/>
            <w:hideMark/>
          </w:tcPr>
          <w:p w14:paraId="3CC66CA2" w14:textId="12433200"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xml:space="preserve">[Possible measures </w:t>
            </w:r>
            <w:r w:rsidR="00900212">
              <w:rPr>
                <w:rFonts w:ascii="Calibri" w:eastAsia="Times New Roman" w:hAnsi="Calibri" w:cs="Calibri"/>
                <w:color w:val="000000"/>
                <w:sz w:val="22"/>
                <w:lang w:eastAsia="en-NZ"/>
              </w:rPr>
              <w:t>from</w:t>
            </w:r>
            <w:r w:rsidRPr="00E33090">
              <w:rPr>
                <w:rFonts w:ascii="Calibri" w:eastAsia="Times New Roman" w:hAnsi="Calibri" w:cs="Calibri"/>
                <w:color w:val="000000"/>
                <w:sz w:val="22"/>
                <w:lang w:eastAsia="en-NZ"/>
              </w:rPr>
              <w:t xml:space="preserve"> Te Rau Ora's survey of public health contracting]</w:t>
            </w:r>
          </w:p>
        </w:tc>
      </w:tr>
      <w:tr w:rsidR="00E33090" w:rsidRPr="00E33090" w14:paraId="0A02ACB4" w14:textId="77777777" w:rsidTr="00476648">
        <w:trPr>
          <w:trHeight w:val="300"/>
        </w:trPr>
        <w:tc>
          <w:tcPr>
            <w:tcW w:w="2694" w:type="dxa"/>
            <w:vMerge/>
            <w:noWrap/>
            <w:hideMark/>
          </w:tcPr>
          <w:p w14:paraId="2E58CED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0037442"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1249</w:t>
            </w:r>
          </w:p>
        </w:tc>
        <w:tc>
          <w:tcPr>
            <w:tcW w:w="5377" w:type="dxa"/>
            <w:hideMark/>
          </w:tcPr>
          <w:p w14:paraId="3F8FC84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Kaupapa Māori primary &amp; community MHA services</w:t>
            </w:r>
          </w:p>
        </w:tc>
      </w:tr>
      <w:tr w:rsidR="00E33090" w:rsidRPr="00E33090" w14:paraId="334B07FD" w14:textId="77777777" w:rsidTr="00476648">
        <w:trPr>
          <w:trHeight w:val="300"/>
        </w:trPr>
        <w:tc>
          <w:tcPr>
            <w:tcW w:w="2694" w:type="dxa"/>
            <w:vMerge/>
            <w:noWrap/>
            <w:hideMark/>
          </w:tcPr>
          <w:p w14:paraId="0304178B"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F07E08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1250</w:t>
            </w:r>
          </w:p>
        </w:tc>
        <w:tc>
          <w:tcPr>
            <w:tcW w:w="5377" w:type="dxa"/>
            <w:hideMark/>
          </w:tcPr>
          <w:p w14:paraId="7C3C6065"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IPMHA, Kaupapa Māori, Pacific, Youth services</w:t>
            </w:r>
          </w:p>
        </w:tc>
      </w:tr>
      <w:tr w:rsidR="00E33090" w:rsidRPr="00E33090" w14:paraId="4E5E6C04" w14:textId="77777777" w:rsidTr="00476648">
        <w:trPr>
          <w:trHeight w:val="300"/>
        </w:trPr>
        <w:tc>
          <w:tcPr>
            <w:tcW w:w="2694" w:type="dxa"/>
            <w:vMerge/>
            <w:noWrap/>
            <w:hideMark/>
          </w:tcPr>
          <w:p w14:paraId="696EE41C"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E31E9C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1261</w:t>
            </w:r>
          </w:p>
        </w:tc>
        <w:tc>
          <w:tcPr>
            <w:tcW w:w="5377" w:type="dxa"/>
            <w:hideMark/>
          </w:tcPr>
          <w:p w14:paraId="3BE153F3"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scholarships/bursaries each year and total $ value for Māori students pursuing a career in MHA</w:t>
            </w:r>
          </w:p>
        </w:tc>
      </w:tr>
      <w:tr w:rsidR="00E33090" w:rsidRPr="00E33090" w14:paraId="129E4ABC" w14:textId="77777777" w:rsidTr="00476648">
        <w:trPr>
          <w:trHeight w:val="300"/>
        </w:trPr>
        <w:tc>
          <w:tcPr>
            <w:tcW w:w="2694" w:type="dxa"/>
            <w:vMerge w:val="restart"/>
            <w:noWrap/>
            <w:hideMark/>
          </w:tcPr>
          <w:p w14:paraId="3FBAC41E"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Mana Whānau / Whanaungatanga</w:t>
            </w:r>
          </w:p>
        </w:tc>
        <w:tc>
          <w:tcPr>
            <w:tcW w:w="860" w:type="dxa"/>
            <w:noWrap/>
            <w:hideMark/>
          </w:tcPr>
          <w:p w14:paraId="7B02859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1195</w:t>
            </w:r>
          </w:p>
        </w:tc>
        <w:tc>
          <w:tcPr>
            <w:tcW w:w="5377" w:type="dxa"/>
            <w:hideMark/>
          </w:tcPr>
          <w:p w14:paraId="2ACCEC9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Māori in Te Whatu Ora (former DHB) MHA workforce compared with the percentage of Māori in the population</w:t>
            </w:r>
          </w:p>
        </w:tc>
      </w:tr>
      <w:tr w:rsidR="00E33090" w:rsidRPr="00E33090" w14:paraId="4BA9231F" w14:textId="77777777" w:rsidTr="00476648">
        <w:trPr>
          <w:trHeight w:val="300"/>
        </w:trPr>
        <w:tc>
          <w:tcPr>
            <w:tcW w:w="2694" w:type="dxa"/>
            <w:vMerge/>
            <w:noWrap/>
            <w:hideMark/>
          </w:tcPr>
          <w:p w14:paraId="3ABFBDD6"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8E2881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1251</w:t>
            </w:r>
          </w:p>
        </w:tc>
        <w:tc>
          <w:tcPr>
            <w:tcW w:w="5377" w:type="dxa"/>
            <w:hideMark/>
          </w:tcPr>
          <w:p w14:paraId="558ADF66"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IPMHA, Kaupapa Māori, Pacific, Youth services</w:t>
            </w:r>
          </w:p>
        </w:tc>
      </w:tr>
      <w:tr w:rsidR="00E33090" w:rsidRPr="00E33090" w14:paraId="10A96A6B" w14:textId="77777777" w:rsidTr="00476648">
        <w:trPr>
          <w:trHeight w:val="300"/>
        </w:trPr>
        <w:tc>
          <w:tcPr>
            <w:tcW w:w="2694" w:type="dxa"/>
            <w:vMerge/>
            <w:noWrap/>
            <w:hideMark/>
          </w:tcPr>
          <w:p w14:paraId="6D4B10B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3CD499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1252</w:t>
            </w:r>
          </w:p>
        </w:tc>
        <w:tc>
          <w:tcPr>
            <w:tcW w:w="5377" w:type="dxa"/>
            <w:hideMark/>
          </w:tcPr>
          <w:p w14:paraId="258C411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Kaupapa Māori primary &amp; community MHA services - service activity (people seen, sessions delivered)</w:t>
            </w:r>
          </w:p>
        </w:tc>
      </w:tr>
      <w:tr w:rsidR="00E33090" w:rsidRPr="00E33090" w14:paraId="40035A99" w14:textId="77777777" w:rsidTr="00476648">
        <w:trPr>
          <w:trHeight w:val="300"/>
        </w:trPr>
        <w:tc>
          <w:tcPr>
            <w:tcW w:w="2694" w:type="dxa"/>
            <w:vMerge/>
            <w:noWrap/>
            <w:hideMark/>
          </w:tcPr>
          <w:p w14:paraId="7950B020"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781C27F"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1253</w:t>
            </w:r>
          </w:p>
        </w:tc>
        <w:tc>
          <w:tcPr>
            <w:tcW w:w="5377" w:type="dxa"/>
            <w:hideMark/>
          </w:tcPr>
          <w:p w14:paraId="380F5A2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IPMHA/Kaupapa Māori/ Pacific/ Youth services - service activity (people seen, sessions delivered)</w:t>
            </w:r>
          </w:p>
        </w:tc>
      </w:tr>
      <w:tr w:rsidR="00E33090" w:rsidRPr="00E33090" w14:paraId="16FE1FF5" w14:textId="77777777" w:rsidTr="00476648">
        <w:trPr>
          <w:trHeight w:val="300"/>
        </w:trPr>
        <w:tc>
          <w:tcPr>
            <w:tcW w:w="2694" w:type="dxa"/>
            <w:vMerge/>
            <w:noWrap/>
            <w:hideMark/>
          </w:tcPr>
          <w:p w14:paraId="263BD29E"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00BCAF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1278</w:t>
            </w:r>
          </w:p>
        </w:tc>
        <w:tc>
          <w:tcPr>
            <w:tcW w:w="5377" w:type="dxa"/>
            <w:hideMark/>
          </w:tcPr>
          <w:p w14:paraId="3F756DB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treatment days involving family and whānau provided by services</w:t>
            </w:r>
          </w:p>
        </w:tc>
      </w:tr>
      <w:tr w:rsidR="00E33090" w:rsidRPr="00E33090" w14:paraId="22D56CDF" w14:textId="77777777" w:rsidTr="00476648">
        <w:trPr>
          <w:trHeight w:val="300"/>
        </w:trPr>
        <w:tc>
          <w:tcPr>
            <w:tcW w:w="2694" w:type="dxa"/>
            <w:vMerge/>
            <w:noWrap/>
            <w:hideMark/>
          </w:tcPr>
          <w:p w14:paraId="1C83018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8DD8256"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1279</w:t>
            </w:r>
          </w:p>
        </w:tc>
        <w:tc>
          <w:tcPr>
            <w:tcW w:w="5377" w:type="dxa"/>
            <w:hideMark/>
          </w:tcPr>
          <w:p w14:paraId="14DDFA3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tāngata whaiora and whānau who report that their plan is reviewed regularly</w:t>
            </w:r>
          </w:p>
        </w:tc>
      </w:tr>
      <w:tr w:rsidR="00E33090" w:rsidRPr="00E33090" w14:paraId="361E93B7" w14:textId="77777777" w:rsidTr="00476648">
        <w:trPr>
          <w:trHeight w:val="300"/>
        </w:trPr>
        <w:tc>
          <w:tcPr>
            <w:tcW w:w="2694" w:type="dxa"/>
            <w:vMerge/>
            <w:noWrap/>
            <w:hideMark/>
          </w:tcPr>
          <w:p w14:paraId="545F9F87"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377CF7D"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1280</w:t>
            </w:r>
          </w:p>
        </w:tc>
        <w:tc>
          <w:tcPr>
            <w:tcW w:w="5377" w:type="dxa"/>
            <w:hideMark/>
          </w:tcPr>
          <w:p w14:paraId="565FD94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tāngata whaiora and whānau who report they feel involved in decisions about their care</w:t>
            </w:r>
          </w:p>
        </w:tc>
      </w:tr>
      <w:tr w:rsidR="00E33090" w:rsidRPr="00E33090" w14:paraId="2B547F5F" w14:textId="77777777" w:rsidTr="00476648">
        <w:trPr>
          <w:trHeight w:val="300"/>
        </w:trPr>
        <w:tc>
          <w:tcPr>
            <w:tcW w:w="2694" w:type="dxa"/>
            <w:vMerge w:val="restart"/>
            <w:noWrap/>
            <w:hideMark/>
          </w:tcPr>
          <w:p w14:paraId="307616A9"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Manawa Ora / Tūmanako</w:t>
            </w:r>
          </w:p>
        </w:tc>
        <w:tc>
          <w:tcPr>
            <w:tcW w:w="860" w:type="dxa"/>
            <w:noWrap/>
            <w:hideMark/>
          </w:tcPr>
          <w:p w14:paraId="3D50241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164</w:t>
            </w:r>
          </w:p>
        </w:tc>
        <w:tc>
          <w:tcPr>
            <w:tcW w:w="5377" w:type="dxa"/>
            <w:hideMark/>
          </w:tcPr>
          <w:p w14:paraId="46865AC1"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Kaupapa Māori primary &amp; community MHA services - service activity (people seen, sessions delivered)</w:t>
            </w:r>
          </w:p>
        </w:tc>
      </w:tr>
      <w:tr w:rsidR="00E33090" w:rsidRPr="00E33090" w14:paraId="7E0A11A1" w14:textId="77777777" w:rsidTr="00476648">
        <w:trPr>
          <w:trHeight w:val="300"/>
        </w:trPr>
        <w:tc>
          <w:tcPr>
            <w:tcW w:w="2694" w:type="dxa"/>
            <w:vMerge/>
            <w:noWrap/>
            <w:hideMark/>
          </w:tcPr>
          <w:p w14:paraId="1FFCD2A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129377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813</w:t>
            </w:r>
          </w:p>
        </w:tc>
        <w:tc>
          <w:tcPr>
            <w:tcW w:w="5377" w:type="dxa"/>
            <w:hideMark/>
          </w:tcPr>
          <w:p w14:paraId="6540B26E" w14:textId="4BC4B869"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xml:space="preserve">[Narrative or possible measures from Te Rau Ora He Ara Waiora Report from a </w:t>
            </w:r>
            <w:r w:rsidR="00AC7FE4" w:rsidRPr="00E33090">
              <w:rPr>
                <w:rFonts w:ascii="Calibri" w:eastAsia="Times New Roman" w:hAnsi="Calibri" w:cs="Calibri"/>
                <w:color w:val="000000"/>
                <w:sz w:val="22"/>
                <w:lang w:eastAsia="en-NZ"/>
              </w:rPr>
              <w:t>small-scale</w:t>
            </w:r>
            <w:r w:rsidRPr="00E33090">
              <w:rPr>
                <w:rFonts w:ascii="Calibri" w:eastAsia="Times New Roman" w:hAnsi="Calibri" w:cs="Calibri"/>
                <w:color w:val="000000"/>
                <w:sz w:val="22"/>
                <w:lang w:eastAsia="en-NZ"/>
              </w:rPr>
              <w:t xml:space="preserve"> survey of kaimahi in AOD services]</w:t>
            </w:r>
          </w:p>
        </w:tc>
      </w:tr>
      <w:tr w:rsidR="00E33090" w:rsidRPr="00E33090" w14:paraId="1DE08586" w14:textId="77777777" w:rsidTr="00476648">
        <w:trPr>
          <w:trHeight w:val="300"/>
        </w:trPr>
        <w:tc>
          <w:tcPr>
            <w:tcW w:w="2694" w:type="dxa"/>
            <w:vMerge/>
            <w:noWrap/>
            <w:hideMark/>
          </w:tcPr>
          <w:p w14:paraId="0DF22FD0"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F20F2DD"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1095</w:t>
            </w:r>
          </w:p>
        </w:tc>
        <w:tc>
          <w:tcPr>
            <w:tcW w:w="5377" w:type="dxa"/>
            <w:hideMark/>
          </w:tcPr>
          <w:p w14:paraId="4E11D9E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Kaupapa Māori primary &amp; community MHA services</w:t>
            </w:r>
          </w:p>
        </w:tc>
      </w:tr>
      <w:tr w:rsidR="00E33090" w:rsidRPr="00E33090" w14:paraId="6B018C61" w14:textId="77777777" w:rsidTr="00476648">
        <w:trPr>
          <w:trHeight w:val="300"/>
        </w:trPr>
        <w:tc>
          <w:tcPr>
            <w:tcW w:w="2694" w:type="dxa"/>
            <w:vMerge/>
            <w:noWrap/>
            <w:hideMark/>
          </w:tcPr>
          <w:p w14:paraId="4AC52FEC"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9CC403D"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1097</w:t>
            </w:r>
          </w:p>
        </w:tc>
        <w:tc>
          <w:tcPr>
            <w:tcW w:w="5377" w:type="dxa"/>
            <w:hideMark/>
          </w:tcPr>
          <w:p w14:paraId="7BC90CE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IPMHA, Kaupapa Māori, Pacific, Youth services</w:t>
            </w:r>
          </w:p>
        </w:tc>
      </w:tr>
      <w:tr w:rsidR="00E33090" w:rsidRPr="00E33090" w14:paraId="1AAF98A7" w14:textId="77777777" w:rsidTr="00476648">
        <w:trPr>
          <w:trHeight w:val="300"/>
        </w:trPr>
        <w:tc>
          <w:tcPr>
            <w:tcW w:w="2694" w:type="dxa"/>
            <w:vMerge/>
            <w:noWrap/>
            <w:hideMark/>
          </w:tcPr>
          <w:p w14:paraId="234D1CBC"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0542BC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1098</w:t>
            </w:r>
          </w:p>
        </w:tc>
        <w:tc>
          <w:tcPr>
            <w:tcW w:w="5377" w:type="dxa"/>
            <w:hideMark/>
          </w:tcPr>
          <w:p w14:paraId="181FE56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Investment in workforce development</w:t>
            </w:r>
          </w:p>
        </w:tc>
      </w:tr>
      <w:tr w:rsidR="00E33090" w:rsidRPr="00E33090" w14:paraId="7C9CACCF" w14:textId="77777777" w:rsidTr="00476648">
        <w:trPr>
          <w:trHeight w:val="300"/>
        </w:trPr>
        <w:tc>
          <w:tcPr>
            <w:tcW w:w="2694" w:type="dxa"/>
            <w:vMerge/>
            <w:noWrap/>
            <w:hideMark/>
          </w:tcPr>
          <w:p w14:paraId="0FB5CFE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CF5DC5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1100</w:t>
            </w:r>
          </w:p>
        </w:tc>
        <w:tc>
          <w:tcPr>
            <w:tcW w:w="5377" w:type="dxa"/>
            <w:hideMark/>
          </w:tcPr>
          <w:p w14:paraId="0F13908A"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Presenting issues to IPMHA services</w:t>
            </w:r>
          </w:p>
        </w:tc>
      </w:tr>
      <w:tr w:rsidR="00E33090" w:rsidRPr="00E33090" w14:paraId="0DEAD8D3" w14:textId="77777777" w:rsidTr="00476648">
        <w:trPr>
          <w:trHeight w:val="300"/>
        </w:trPr>
        <w:tc>
          <w:tcPr>
            <w:tcW w:w="2694" w:type="dxa"/>
            <w:vMerge/>
            <w:noWrap/>
            <w:hideMark/>
          </w:tcPr>
          <w:p w14:paraId="59C5B38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084466A"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1101</w:t>
            </w:r>
          </w:p>
        </w:tc>
        <w:tc>
          <w:tcPr>
            <w:tcW w:w="5377" w:type="dxa"/>
            <w:hideMark/>
          </w:tcPr>
          <w:p w14:paraId="3D8E0F39"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Spending on mental health and addiction services (HNZ &amp; MHA &amp; MoH expenditure) disaggregated by specified services, and total expenditure for Māori MHA services or teams (both DHB and NGO)</w:t>
            </w:r>
          </w:p>
        </w:tc>
      </w:tr>
      <w:tr w:rsidR="00E33090" w:rsidRPr="00E33090" w14:paraId="1202C307" w14:textId="77777777" w:rsidTr="00476648">
        <w:trPr>
          <w:trHeight w:val="300"/>
        </w:trPr>
        <w:tc>
          <w:tcPr>
            <w:tcW w:w="2694" w:type="dxa"/>
            <w:vMerge/>
            <w:noWrap/>
            <w:hideMark/>
          </w:tcPr>
          <w:p w14:paraId="047B2DF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49E24C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1102</w:t>
            </w:r>
          </w:p>
        </w:tc>
        <w:tc>
          <w:tcPr>
            <w:tcW w:w="5377" w:type="dxa"/>
            <w:hideMark/>
          </w:tcPr>
          <w:p w14:paraId="41F5E945"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Kaupapa Māori primary &amp; community MHA services - service activity (people seen, sessions delivered)</w:t>
            </w:r>
          </w:p>
        </w:tc>
      </w:tr>
      <w:tr w:rsidR="00E33090" w:rsidRPr="00E33090" w14:paraId="2618805D" w14:textId="77777777" w:rsidTr="00476648">
        <w:trPr>
          <w:trHeight w:val="300"/>
        </w:trPr>
        <w:tc>
          <w:tcPr>
            <w:tcW w:w="2694" w:type="dxa"/>
            <w:vMerge/>
            <w:noWrap/>
            <w:hideMark/>
          </w:tcPr>
          <w:p w14:paraId="24C28B96"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671B60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1103</w:t>
            </w:r>
          </w:p>
        </w:tc>
        <w:tc>
          <w:tcPr>
            <w:tcW w:w="5377" w:type="dxa"/>
            <w:hideMark/>
          </w:tcPr>
          <w:p w14:paraId="6361481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IPMHA/Kaupapa Māori/ Pacific/ Youth services - service activity (people seen, sessions delivered)</w:t>
            </w:r>
          </w:p>
        </w:tc>
      </w:tr>
      <w:tr w:rsidR="00E33090" w:rsidRPr="00E33090" w14:paraId="340F8151" w14:textId="77777777" w:rsidTr="00476648">
        <w:trPr>
          <w:trHeight w:val="300"/>
        </w:trPr>
        <w:tc>
          <w:tcPr>
            <w:tcW w:w="2694" w:type="dxa"/>
            <w:vMerge/>
            <w:noWrap/>
            <w:hideMark/>
          </w:tcPr>
          <w:p w14:paraId="6CC018D0"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084D64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1199</w:t>
            </w:r>
          </w:p>
        </w:tc>
        <w:tc>
          <w:tcPr>
            <w:tcW w:w="5377" w:type="dxa"/>
            <w:hideMark/>
          </w:tcPr>
          <w:p w14:paraId="231D3F3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FTE of staff contracted (funded) and staff employed into Kaupapa Māori primary &amp; community MHA service delivery positions by roles</w:t>
            </w:r>
          </w:p>
        </w:tc>
      </w:tr>
      <w:tr w:rsidR="00E33090" w:rsidRPr="00E33090" w14:paraId="012F827C" w14:textId="77777777" w:rsidTr="00476648">
        <w:trPr>
          <w:trHeight w:val="300"/>
        </w:trPr>
        <w:tc>
          <w:tcPr>
            <w:tcW w:w="2694" w:type="dxa"/>
            <w:vMerge/>
            <w:noWrap/>
            <w:hideMark/>
          </w:tcPr>
          <w:p w14:paraId="392AFF7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1988DA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1307</w:t>
            </w:r>
          </w:p>
        </w:tc>
        <w:tc>
          <w:tcPr>
            <w:tcW w:w="5377" w:type="dxa"/>
            <w:hideMark/>
          </w:tcPr>
          <w:p w14:paraId="147FAD7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Kaupapa Māori primary &amp; community MHA services</w:t>
            </w:r>
          </w:p>
        </w:tc>
      </w:tr>
      <w:tr w:rsidR="00E33090" w:rsidRPr="00E33090" w14:paraId="75CF153F" w14:textId="77777777" w:rsidTr="00476648">
        <w:trPr>
          <w:trHeight w:val="300"/>
        </w:trPr>
        <w:tc>
          <w:tcPr>
            <w:tcW w:w="2694" w:type="dxa"/>
            <w:vMerge/>
            <w:noWrap/>
            <w:hideMark/>
          </w:tcPr>
          <w:p w14:paraId="187B0B9B"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379051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1308</w:t>
            </w:r>
          </w:p>
        </w:tc>
        <w:tc>
          <w:tcPr>
            <w:tcW w:w="5377" w:type="dxa"/>
            <w:hideMark/>
          </w:tcPr>
          <w:p w14:paraId="14C572BA"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IPMHA, Kaupapa Māori, Pacific, Youth services</w:t>
            </w:r>
          </w:p>
        </w:tc>
      </w:tr>
      <w:tr w:rsidR="00E33090" w:rsidRPr="00E33090" w14:paraId="0A01AB8B" w14:textId="77777777" w:rsidTr="00476648">
        <w:trPr>
          <w:trHeight w:val="300"/>
        </w:trPr>
        <w:tc>
          <w:tcPr>
            <w:tcW w:w="2694" w:type="dxa"/>
            <w:vMerge/>
            <w:noWrap/>
            <w:hideMark/>
          </w:tcPr>
          <w:p w14:paraId="532F1475"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030B9D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1310</w:t>
            </w:r>
          </w:p>
        </w:tc>
        <w:tc>
          <w:tcPr>
            <w:tcW w:w="5377" w:type="dxa"/>
            <w:hideMark/>
          </w:tcPr>
          <w:p w14:paraId="7855AE03"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Investment in workforce development</w:t>
            </w:r>
          </w:p>
        </w:tc>
      </w:tr>
      <w:tr w:rsidR="00E33090" w:rsidRPr="00E33090" w14:paraId="77CF71FF" w14:textId="77777777" w:rsidTr="00476648">
        <w:trPr>
          <w:trHeight w:val="300"/>
        </w:trPr>
        <w:tc>
          <w:tcPr>
            <w:tcW w:w="2694" w:type="dxa"/>
            <w:vMerge/>
            <w:noWrap/>
            <w:hideMark/>
          </w:tcPr>
          <w:p w14:paraId="1D57205B"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280F20A"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1312</w:t>
            </w:r>
          </w:p>
        </w:tc>
        <w:tc>
          <w:tcPr>
            <w:tcW w:w="5377" w:type="dxa"/>
            <w:hideMark/>
          </w:tcPr>
          <w:p w14:paraId="17D23F3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Presenting issues to IPMHA services</w:t>
            </w:r>
          </w:p>
        </w:tc>
      </w:tr>
      <w:tr w:rsidR="00E33090" w:rsidRPr="00E33090" w14:paraId="56B29026" w14:textId="77777777" w:rsidTr="00476648">
        <w:trPr>
          <w:trHeight w:val="300"/>
        </w:trPr>
        <w:tc>
          <w:tcPr>
            <w:tcW w:w="2694" w:type="dxa"/>
            <w:vMerge/>
            <w:noWrap/>
            <w:hideMark/>
          </w:tcPr>
          <w:p w14:paraId="1EBC396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5F31F87"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1313</w:t>
            </w:r>
          </w:p>
        </w:tc>
        <w:tc>
          <w:tcPr>
            <w:tcW w:w="5377" w:type="dxa"/>
            <w:hideMark/>
          </w:tcPr>
          <w:p w14:paraId="4B0D423A"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Spending on mental health and addiction services (HNZ &amp; MHA &amp; MoH expenditure) disaggregated by specified services, and total expenditure for Māori MHA services or teams (both DHB and NGO)</w:t>
            </w:r>
          </w:p>
        </w:tc>
      </w:tr>
      <w:tr w:rsidR="00E33090" w:rsidRPr="00E33090" w14:paraId="258550AE" w14:textId="77777777" w:rsidTr="00476648">
        <w:trPr>
          <w:trHeight w:val="300"/>
        </w:trPr>
        <w:tc>
          <w:tcPr>
            <w:tcW w:w="2694" w:type="dxa"/>
            <w:vMerge/>
            <w:noWrap/>
            <w:hideMark/>
          </w:tcPr>
          <w:p w14:paraId="0837F86B"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641DA9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1314</w:t>
            </w:r>
          </w:p>
        </w:tc>
        <w:tc>
          <w:tcPr>
            <w:tcW w:w="5377" w:type="dxa"/>
            <w:hideMark/>
          </w:tcPr>
          <w:p w14:paraId="076AC146"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Kaupapa Māori primary &amp; community MHA services - service activity (people seen, sessions delivered)</w:t>
            </w:r>
          </w:p>
        </w:tc>
      </w:tr>
      <w:tr w:rsidR="00E33090" w:rsidRPr="00E33090" w14:paraId="51732053" w14:textId="77777777" w:rsidTr="00476648">
        <w:trPr>
          <w:trHeight w:val="300"/>
        </w:trPr>
        <w:tc>
          <w:tcPr>
            <w:tcW w:w="2694" w:type="dxa"/>
            <w:vMerge/>
            <w:noWrap/>
            <w:hideMark/>
          </w:tcPr>
          <w:p w14:paraId="4E484DFC"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6E498A2"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1315</w:t>
            </w:r>
          </w:p>
        </w:tc>
        <w:tc>
          <w:tcPr>
            <w:tcW w:w="5377" w:type="dxa"/>
            <w:hideMark/>
          </w:tcPr>
          <w:p w14:paraId="4AC061C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IPMHA/Kaupapa Māori/ Pacific/ Youth services - service activity (people seen, sessions delivered)</w:t>
            </w:r>
          </w:p>
        </w:tc>
      </w:tr>
      <w:tr w:rsidR="00E33090" w:rsidRPr="00E33090" w14:paraId="0D6F5439" w14:textId="77777777" w:rsidTr="00476648">
        <w:trPr>
          <w:trHeight w:val="300"/>
        </w:trPr>
        <w:tc>
          <w:tcPr>
            <w:tcW w:w="2694" w:type="dxa"/>
            <w:vMerge/>
            <w:noWrap/>
            <w:hideMark/>
          </w:tcPr>
          <w:p w14:paraId="062E279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3B1B9DA"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1344</w:t>
            </w:r>
          </w:p>
        </w:tc>
        <w:tc>
          <w:tcPr>
            <w:tcW w:w="5377" w:type="dxa"/>
            <w:hideMark/>
          </w:tcPr>
          <w:p w14:paraId="4433AC8C"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IPMHA, Kaupapa Māori, Pacific, Youth services</w:t>
            </w:r>
          </w:p>
        </w:tc>
      </w:tr>
      <w:tr w:rsidR="00E33090" w:rsidRPr="00E33090" w14:paraId="278F83A6" w14:textId="77777777" w:rsidTr="00476648">
        <w:trPr>
          <w:trHeight w:val="300"/>
        </w:trPr>
        <w:tc>
          <w:tcPr>
            <w:tcW w:w="2694" w:type="dxa"/>
            <w:vMerge w:val="restart"/>
            <w:noWrap/>
            <w:hideMark/>
          </w:tcPr>
          <w:p w14:paraId="04498148"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Access &amp; options</w:t>
            </w:r>
          </w:p>
        </w:tc>
        <w:tc>
          <w:tcPr>
            <w:tcW w:w="860" w:type="dxa"/>
            <w:noWrap/>
            <w:hideMark/>
          </w:tcPr>
          <w:p w14:paraId="12F160A2"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21</w:t>
            </w:r>
          </w:p>
        </w:tc>
        <w:tc>
          <w:tcPr>
            <w:tcW w:w="5377" w:type="dxa"/>
            <w:hideMark/>
          </w:tcPr>
          <w:p w14:paraId="5114D72C"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using acute inpatient care</w:t>
            </w:r>
          </w:p>
        </w:tc>
      </w:tr>
      <w:tr w:rsidR="00E33090" w:rsidRPr="00E33090" w14:paraId="1177AFFE" w14:textId="77777777" w:rsidTr="00476648">
        <w:trPr>
          <w:trHeight w:val="300"/>
        </w:trPr>
        <w:tc>
          <w:tcPr>
            <w:tcW w:w="2694" w:type="dxa"/>
            <w:vMerge/>
            <w:noWrap/>
            <w:hideMark/>
          </w:tcPr>
          <w:p w14:paraId="4C3EA9D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B07A7D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43</w:t>
            </w:r>
          </w:p>
        </w:tc>
        <w:tc>
          <w:tcPr>
            <w:tcW w:w="5377" w:type="dxa"/>
            <w:hideMark/>
          </w:tcPr>
          <w:p w14:paraId="0FBE455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FTE of staff contracted (funded) and staff employed into IPMHA, Kaupapa Māori, Pacific, Youth service delivery positions by roles</w:t>
            </w:r>
          </w:p>
        </w:tc>
      </w:tr>
      <w:tr w:rsidR="00E33090" w:rsidRPr="00E33090" w14:paraId="5B54255D" w14:textId="77777777" w:rsidTr="00476648">
        <w:trPr>
          <w:trHeight w:val="300"/>
        </w:trPr>
        <w:tc>
          <w:tcPr>
            <w:tcW w:w="2694" w:type="dxa"/>
            <w:vMerge/>
            <w:noWrap/>
            <w:hideMark/>
          </w:tcPr>
          <w:p w14:paraId="2C35F8B7"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D933D5A"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48</w:t>
            </w:r>
          </w:p>
        </w:tc>
        <w:tc>
          <w:tcPr>
            <w:tcW w:w="5377" w:type="dxa"/>
            <w:hideMark/>
          </w:tcPr>
          <w:p w14:paraId="04A57A5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bed nights used in acute inpatient care</w:t>
            </w:r>
          </w:p>
        </w:tc>
      </w:tr>
      <w:tr w:rsidR="00E33090" w:rsidRPr="00E33090" w14:paraId="593101F7" w14:textId="77777777" w:rsidTr="00476648">
        <w:trPr>
          <w:trHeight w:val="300"/>
        </w:trPr>
        <w:tc>
          <w:tcPr>
            <w:tcW w:w="2694" w:type="dxa"/>
            <w:vMerge/>
            <w:noWrap/>
            <w:hideMark/>
          </w:tcPr>
          <w:p w14:paraId="5F65234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6078016"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49</w:t>
            </w:r>
          </w:p>
        </w:tc>
        <w:tc>
          <w:tcPr>
            <w:tcW w:w="5377" w:type="dxa"/>
            <w:hideMark/>
          </w:tcPr>
          <w:p w14:paraId="28C99A4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using rehabilitation or residential care</w:t>
            </w:r>
          </w:p>
        </w:tc>
      </w:tr>
      <w:tr w:rsidR="00E33090" w:rsidRPr="00E33090" w14:paraId="576EB242" w14:textId="77777777" w:rsidTr="00476648">
        <w:trPr>
          <w:trHeight w:val="300"/>
        </w:trPr>
        <w:tc>
          <w:tcPr>
            <w:tcW w:w="2694" w:type="dxa"/>
            <w:vMerge/>
            <w:noWrap/>
            <w:hideMark/>
          </w:tcPr>
          <w:p w14:paraId="5A52A18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F0BD5C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50</w:t>
            </w:r>
          </w:p>
        </w:tc>
        <w:tc>
          <w:tcPr>
            <w:tcW w:w="5377" w:type="dxa"/>
            <w:hideMark/>
          </w:tcPr>
          <w:p w14:paraId="7414A79A"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bed nights used in rehabilitation or residential care</w:t>
            </w:r>
          </w:p>
        </w:tc>
      </w:tr>
      <w:tr w:rsidR="00E33090" w:rsidRPr="00E33090" w14:paraId="1702CDA7" w14:textId="77777777" w:rsidTr="00476648">
        <w:trPr>
          <w:trHeight w:val="300"/>
        </w:trPr>
        <w:tc>
          <w:tcPr>
            <w:tcW w:w="2694" w:type="dxa"/>
            <w:vMerge/>
            <w:noWrap/>
            <w:hideMark/>
          </w:tcPr>
          <w:p w14:paraId="02F56A6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BFF2E5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51</w:t>
            </w:r>
          </w:p>
        </w:tc>
        <w:tc>
          <w:tcPr>
            <w:tcW w:w="5377" w:type="dxa"/>
            <w:hideMark/>
          </w:tcPr>
          <w:p w14:paraId="27A24376"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using crisis respite care</w:t>
            </w:r>
          </w:p>
        </w:tc>
      </w:tr>
      <w:tr w:rsidR="00E33090" w:rsidRPr="00E33090" w14:paraId="210EFF1F" w14:textId="77777777" w:rsidTr="00476648">
        <w:trPr>
          <w:trHeight w:val="300"/>
        </w:trPr>
        <w:tc>
          <w:tcPr>
            <w:tcW w:w="2694" w:type="dxa"/>
            <w:vMerge/>
            <w:noWrap/>
            <w:hideMark/>
          </w:tcPr>
          <w:p w14:paraId="27002357"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B58814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52</w:t>
            </w:r>
          </w:p>
        </w:tc>
        <w:tc>
          <w:tcPr>
            <w:tcW w:w="5377" w:type="dxa"/>
            <w:hideMark/>
          </w:tcPr>
          <w:p w14:paraId="1D64048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bed nights used in crisis respite care</w:t>
            </w:r>
          </w:p>
        </w:tc>
      </w:tr>
      <w:tr w:rsidR="00E33090" w:rsidRPr="00E33090" w14:paraId="564B1098" w14:textId="77777777" w:rsidTr="00476648">
        <w:trPr>
          <w:trHeight w:val="300"/>
        </w:trPr>
        <w:tc>
          <w:tcPr>
            <w:tcW w:w="2694" w:type="dxa"/>
            <w:vMerge/>
            <w:noWrap/>
            <w:hideMark/>
          </w:tcPr>
          <w:p w14:paraId="4DF397C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512D7F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53</w:t>
            </w:r>
          </w:p>
        </w:tc>
        <w:tc>
          <w:tcPr>
            <w:tcW w:w="5377" w:type="dxa"/>
            <w:hideMark/>
          </w:tcPr>
          <w:p w14:paraId="0EF4897C"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using forensic secure inpatient services</w:t>
            </w:r>
          </w:p>
        </w:tc>
      </w:tr>
      <w:tr w:rsidR="00E33090" w:rsidRPr="00E33090" w14:paraId="2E3A993A" w14:textId="77777777" w:rsidTr="00476648">
        <w:trPr>
          <w:trHeight w:val="300"/>
        </w:trPr>
        <w:tc>
          <w:tcPr>
            <w:tcW w:w="2694" w:type="dxa"/>
            <w:vMerge/>
            <w:noWrap/>
            <w:hideMark/>
          </w:tcPr>
          <w:p w14:paraId="5DFF0E9A"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CE0078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54</w:t>
            </w:r>
          </w:p>
        </w:tc>
        <w:tc>
          <w:tcPr>
            <w:tcW w:w="5377" w:type="dxa"/>
            <w:hideMark/>
          </w:tcPr>
          <w:p w14:paraId="598DC139"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bed nights used in forensic secure inpatient services</w:t>
            </w:r>
          </w:p>
        </w:tc>
      </w:tr>
      <w:tr w:rsidR="00E33090" w:rsidRPr="00E33090" w14:paraId="180B4A0D" w14:textId="77777777" w:rsidTr="00476648">
        <w:trPr>
          <w:trHeight w:val="300"/>
        </w:trPr>
        <w:tc>
          <w:tcPr>
            <w:tcW w:w="2694" w:type="dxa"/>
            <w:vMerge/>
            <w:noWrap/>
            <w:hideMark/>
          </w:tcPr>
          <w:p w14:paraId="55C7553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B1E236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55</w:t>
            </w:r>
          </w:p>
        </w:tc>
        <w:tc>
          <w:tcPr>
            <w:tcW w:w="5377" w:type="dxa"/>
            <w:hideMark/>
          </w:tcPr>
          <w:p w14:paraId="2E413E99"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using substance use medical withdrawal management (detoxification)</w:t>
            </w:r>
          </w:p>
        </w:tc>
      </w:tr>
      <w:tr w:rsidR="00E33090" w:rsidRPr="00E33090" w14:paraId="3E1C2F59" w14:textId="77777777" w:rsidTr="00476648">
        <w:trPr>
          <w:trHeight w:val="300"/>
        </w:trPr>
        <w:tc>
          <w:tcPr>
            <w:tcW w:w="2694" w:type="dxa"/>
            <w:vMerge/>
            <w:noWrap/>
            <w:hideMark/>
          </w:tcPr>
          <w:p w14:paraId="0C10759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E7C059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56</w:t>
            </w:r>
          </w:p>
        </w:tc>
        <w:tc>
          <w:tcPr>
            <w:tcW w:w="5377" w:type="dxa"/>
            <w:hideMark/>
          </w:tcPr>
          <w:p w14:paraId="26EF1C4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bed nights used in substance use medical withdrawal management (detoxification)</w:t>
            </w:r>
          </w:p>
        </w:tc>
      </w:tr>
      <w:tr w:rsidR="00E33090" w:rsidRPr="00E33090" w14:paraId="4CA970AB" w14:textId="77777777" w:rsidTr="00476648">
        <w:trPr>
          <w:trHeight w:val="300"/>
        </w:trPr>
        <w:tc>
          <w:tcPr>
            <w:tcW w:w="2694" w:type="dxa"/>
            <w:vMerge/>
            <w:noWrap/>
            <w:hideMark/>
          </w:tcPr>
          <w:p w14:paraId="7C8D498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349D0D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57</w:t>
            </w:r>
          </w:p>
        </w:tc>
        <w:tc>
          <w:tcPr>
            <w:tcW w:w="5377" w:type="dxa"/>
            <w:hideMark/>
          </w:tcPr>
          <w:p w14:paraId="51DDFFC1"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using substance use residential treatment</w:t>
            </w:r>
          </w:p>
        </w:tc>
      </w:tr>
      <w:tr w:rsidR="00E33090" w:rsidRPr="00E33090" w14:paraId="2A423A69" w14:textId="77777777" w:rsidTr="00476648">
        <w:trPr>
          <w:trHeight w:val="300"/>
        </w:trPr>
        <w:tc>
          <w:tcPr>
            <w:tcW w:w="2694" w:type="dxa"/>
            <w:vMerge/>
            <w:noWrap/>
            <w:hideMark/>
          </w:tcPr>
          <w:p w14:paraId="09B4B332"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44B2D3F"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58</w:t>
            </w:r>
          </w:p>
        </w:tc>
        <w:tc>
          <w:tcPr>
            <w:tcW w:w="5377" w:type="dxa"/>
            <w:hideMark/>
          </w:tcPr>
          <w:p w14:paraId="0313D0E9"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bed nights used in substance use residential treatment</w:t>
            </w:r>
          </w:p>
        </w:tc>
      </w:tr>
      <w:tr w:rsidR="00E33090" w:rsidRPr="00E33090" w14:paraId="249876C3" w14:textId="77777777" w:rsidTr="00476648">
        <w:trPr>
          <w:trHeight w:val="300"/>
        </w:trPr>
        <w:tc>
          <w:tcPr>
            <w:tcW w:w="2694" w:type="dxa"/>
            <w:vMerge/>
            <w:noWrap/>
            <w:hideMark/>
          </w:tcPr>
          <w:p w14:paraId="0914934A"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56333C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59</w:t>
            </w:r>
          </w:p>
        </w:tc>
        <w:tc>
          <w:tcPr>
            <w:tcW w:w="5377" w:type="dxa"/>
            <w:hideMark/>
          </w:tcPr>
          <w:p w14:paraId="79C563F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about mental health and addiction services about access to those services</w:t>
            </w:r>
          </w:p>
        </w:tc>
      </w:tr>
      <w:tr w:rsidR="00E33090" w:rsidRPr="00E33090" w14:paraId="7AB198AC" w14:textId="77777777" w:rsidTr="00476648">
        <w:trPr>
          <w:trHeight w:val="300"/>
        </w:trPr>
        <w:tc>
          <w:tcPr>
            <w:tcW w:w="2694" w:type="dxa"/>
            <w:vMerge/>
            <w:noWrap/>
            <w:hideMark/>
          </w:tcPr>
          <w:p w14:paraId="09563E45"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C9F9E7A"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73</w:t>
            </w:r>
          </w:p>
        </w:tc>
        <w:tc>
          <w:tcPr>
            <w:tcW w:w="5377" w:type="dxa"/>
            <w:hideMark/>
          </w:tcPr>
          <w:p w14:paraId="228F9E1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&amp; rate of Police events related to mental distress or suicide attempts (contacts that police code as related to either "mental health" 1M or "attempted suicide" 1X)</w:t>
            </w:r>
          </w:p>
        </w:tc>
      </w:tr>
      <w:tr w:rsidR="00E33090" w:rsidRPr="00E33090" w14:paraId="791E31E8" w14:textId="77777777" w:rsidTr="00476648">
        <w:trPr>
          <w:trHeight w:val="300"/>
        </w:trPr>
        <w:tc>
          <w:tcPr>
            <w:tcW w:w="2694" w:type="dxa"/>
            <w:vMerge/>
            <w:noWrap/>
            <w:hideMark/>
          </w:tcPr>
          <w:p w14:paraId="117DB7F7"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F07360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74</w:t>
            </w:r>
          </w:p>
        </w:tc>
        <w:tc>
          <w:tcPr>
            <w:tcW w:w="5377" w:type="dxa"/>
            <w:hideMark/>
          </w:tcPr>
          <w:p w14:paraId="72B0865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aged under 25 years able to access specialist mental health services within three weeks of referral</w:t>
            </w:r>
          </w:p>
        </w:tc>
      </w:tr>
      <w:tr w:rsidR="00E33090" w:rsidRPr="00E33090" w14:paraId="2CF16A09" w14:textId="77777777" w:rsidTr="00476648">
        <w:trPr>
          <w:trHeight w:val="300"/>
        </w:trPr>
        <w:tc>
          <w:tcPr>
            <w:tcW w:w="2694" w:type="dxa"/>
            <w:vMerge/>
            <w:noWrap/>
            <w:hideMark/>
          </w:tcPr>
          <w:p w14:paraId="059286D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14C902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77</w:t>
            </w:r>
          </w:p>
        </w:tc>
        <w:tc>
          <w:tcPr>
            <w:tcW w:w="5377" w:type="dxa"/>
            <w:hideMark/>
          </w:tcPr>
          <w:p w14:paraId="5143B130"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waiting (≤48 hours, ≤3 weeks, ≤8 weeks) to access DHB mental health services following first referral</w:t>
            </w:r>
          </w:p>
        </w:tc>
      </w:tr>
      <w:tr w:rsidR="00E33090" w:rsidRPr="00E33090" w14:paraId="438CC390" w14:textId="77777777" w:rsidTr="00476648">
        <w:trPr>
          <w:trHeight w:val="300"/>
        </w:trPr>
        <w:tc>
          <w:tcPr>
            <w:tcW w:w="2694" w:type="dxa"/>
            <w:vMerge/>
            <w:noWrap/>
            <w:hideMark/>
          </w:tcPr>
          <w:p w14:paraId="24A84FB6"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806AD0A"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78</w:t>
            </w:r>
          </w:p>
        </w:tc>
        <w:tc>
          <w:tcPr>
            <w:tcW w:w="5377" w:type="dxa"/>
            <w:hideMark/>
          </w:tcPr>
          <w:p w14:paraId="6329541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xml:space="preserve">% waiting (≤48 hours, ≤3 weeks and ≤8 weeks) to access addiction services following first referral </w:t>
            </w:r>
          </w:p>
        </w:tc>
      </w:tr>
      <w:tr w:rsidR="00E33090" w:rsidRPr="00E33090" w14:paraId="581D4B69" w14:textId="77777777" w:rsidTr="00476648">
        <w:trPr>
          <w:trHeight w:val="300"/>
        </w:trPr>
        <w:tc>
          <w:tcPr>
            <w:tcW w:w="2694" w:type="dxa"/>
            <w:vMerge/>
            <w:noWrap/>
            <w:hideMark/>
          </w:tcPr>
          <w:p w14:paraId="03FD6B02"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BFEEF2A"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84</w:t>
            </w:r>
          </w:p>
        </w:tc>
        <w:tc>
          <w:tcPr>
            <w:tcW w:w="5377" w:type="dxa"/>
            <w:hideMark/>
          </w:tcPr>
          <w:p w14:paraId="6E29E403"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Average wait times in ED for a mental health related inpatient bed</w:t>
            </w:r>
          </w:p>
        </w:tc>
      </w:tr>
      <w:tr w:rsidR="00E33090" w:rsidRPr="00E33090" w14:paraId="6895CBAE" w14:textId="77777777" w:rsidTr="00476648">
        <w:trPr>
          <w:trHeight w:val="300"/>
        </w:trPr>
        <w:tc>
          <w:tcPr>
            <w:tcW w:w="2694" w:type="dxa"/>
            <w:vMerge/>
            <w:noWrap/>
            <w:hideMark/>
          </w:tcPr>
          <w:p w14:paraId="7B8F657C"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7354726"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85</w:t>
            </w:r>
          </w:p>
        </w:tc>
        <w:tc>
          <w:tcPr>
            <w:tcW w:w="5377" w:type="dxa"/>
            <w:hideMark/>
          </w:tcPr>
          <w:p w14:paraId="61F75571"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Average wait times with support calls (all Whakarongorau call platforms, not texts)</w:t>
            </w:r>
          </w:p>
        </w:tc>
      </w:tr>
      <w:tr w:rsidR="00E33090" w:rsidRPr="00E33090" w14:paraId="01D06BC3" w14:textId="77777777" w:rsidTr="00476648">
        <w:trPr>
          <w:trHeight w:val="300"/>
        </w:trPr>
        <w:tc>
          <w:tcPr>
            <w:tcW w:w="2694" w:type="dxa"/>
            <w:vMerge/>
            <w:noWrap/>
            <w:hideMark/>
          </w:tcPr>
          <w:p w14:paraId="6CECD193"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430F88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89</w:t>
            </w:r>
          </w:p>
        </w:tc>
        <w:tc>
          <w:tcPr>
            <w:tcW w:w="5377" w:type="dxa"/>
            <w:hideMark/>
          </w:tcPr>
          <w:p w14:paraId="75BA295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the population seen by MH&amp;A services (DHBs, NGOs and all services) broken down by Child &amp; youth (0 -19); Adult (20-64); Older adult (65+); Māori, Pacific)</w:t>
            </w:r>
          </w:p>
        </w:tc>
      </w:tr>
      <w:tr w:rsidR="00E33090" w:rsidRPr="00E33090" w14:paraId="03E69E87" w14:textId="77777777" w:rsidTr="00476648">
        <w:trPr>
          <w:trHeight w:val="300"/>
        </w:trPr>
        <w:tc>
          <w:tcPr>
            <w:tcW w:w="2694" w:type="dxa"/>
            <w:vMerge/>
            <w:noWrap/>
            <w:hideMark/>
          </w:tcPr>
          <w:p w14:paraId="53942D60"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69D95C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93</w:t>
            </w:r>
          </w:p>
        </w:tc>
        <w:tc>
          <w:tcPr>
            <w:tcW w:w="5377" w:type="dxa"/>
            <w:hideMark/>
          </w:tcPr>
          <w:p w14:paraId="16883F07"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&amp; rate of tāngata whai ora with recorded NGO activity in the 28 days before an inpatient stay</w:t>
            </w:r>
          </w:p>
        </w:tc>
      </w:tr>
      <w:tr w:rsidR="00E33090" w:rsidRPr="00E33090" w14:paraId="7406DE52" w14:textId="77777777" w:rsidTr="00476648">
        <w:trPr>
          <w:trHeight w:val="300"/>
        </w:trPr>
        <w:tc>
          <w:tcPr>
            <w:tcW w:w="2694" w:type="dxa"/>
            <w:vMerge/>
            <w:noWrap/>
            <w:hideMark/>
          </w:tcPr>
          <w:p w14:paraId="0D7F6B5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C46868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95</w:t>
            </w:r>
          </w:p>
        </w:tc>
        <w:tc>
          <w:tcPr>
            <w:tcW w:w="5377" w:type="dxa"/>
            <w:hideMark/>
          </w:tcPr>
          <w:p w14:paraId="68A3EEA3"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and % of kaupapa Māori NGO MHA services</w:t>
            </w:r>
          </w:p>
        </w:tc>
      </w:tr>
      <w:tr w:rsidR="00E33090" w:rsidRPr="00E33090" w14:paraId="5FEDAD92" w14:textId="77777777" w:rsidTr="00476648">
        <w:trPr>
          <w:trHeight w:val="300"/>
        </w:trPr>
        <w:tc>
          <w:tcPr>
            <w:tcW w:w="2694" w:type="dxa"/>
            <w:vMerge/>
            <w:noWrap/>
            <w:hideMark/>
          </w:tcPr>
          <w:p w14:paraId="7E43FA7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0ECB6A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97</w:t>
            </w:r>
          </w:p>
        </w:tc>
        <w:tc>
          <w:tcPr>
            <w:tcW w:w="5377" w:type="dxa"/>
            <w:hideMark/>
          </w:tcPr>
          <w:p w14:paraId="6427A4E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and % of Pasifika led NGO MHA services</w:t>
            </w:r>
          </w:p>
        </w:tc>
      </w:tr>
      <w:tr w:rsidR="00E33090" w:rsidRPr="00E33090" w14:paraId="3F1FAA15" w14:textId="77777777" w:rsidTr="00476648">
        <w:trPr>
          <w:trHeight w:val="300"/>
        </w:trPr>
        <w:tc>
          <w:tcPr>
            <w:tcW w:w="2694" w:type="dxa"/>
            <w:vMerge/>
            <w:noWrap/>
            <w:hideMark/>
          </w:tcPr>
          <w:p w14:paraId="7E6A11A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633378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109</w:t>
            </w:r>
          </w:p>
        </w:tc>
        <w:tc>
          <w:tcPr>
            <w:tcW w:w="5377" w:type="dxa"/>
            <w:hideMark/>
          </w:tcPr>
          <w:p w14:paraId="35E5775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initial dispensings of mental health and substance use medications - antidepressants</w:t>
            </w:r>
          </w:p>
        </w:tc>
      </w:tr>
      <w:tr w:rsidR="00E33090" w:rsidRPr="00E33090" w14:paraId="5393FAD7" w14:textId="77777777" w:rsidTr="00476648">
        <w:trPr>
          <w:trHeight w:val="300"/>
        </w:trPr>
        <w:tc>
          <w:tcPr>
            <w:tcW w:w="2694" w:type="dxa"/>
            <w:vMerge/>
            <w:noWrap/>
            <w:hideMark/>
          </w:tcPr>
          <w:p w14:paraId="146C3E2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79A58EF"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110</w:t>
            </w:r>
          </w:p>
        </w:tc>
        <w:tc>
          <w:tcPr>
            <w:tcW w:w="5377" w:type="dxa"/>
            <w:hideMark/>
          </w:tcPr>
          <w:p w14:paraId="175283B8"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initial dispensings of mental health and substance use medications - antipsychotics</w:t>
            </w:r>
          </w:p>
        </w:tc>
      </w:tr>
      <w:tr w:rsidR="00E33090" w:rsidRPr="00E33090" w14:paraId="6F2D74F2" w14:textId="77777777" w:rsidTr="00476648">
        <w:trPr>
          <w:trHeight w:val="300"/>
        </w:trPr>
        <w:tc>
          <w:tcPr>
            <w:tcW w:w="2694" w:type="dxa"/>
            <w:vMerge/>
            <w:noWrap/>
            <w:hideMark/>
          </w:tcPr>
          <w:p w14:paraId="11DFD52E"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3020E2A"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111</w:t>
            </w:r>
          </w:p>
        </w:tc>
        <w:tc>
          <w:tcPr>
            <w:tcW w:w="5377" w:type="dxa"/>
            <w:hideMark/>
          </w:tcPr>
          <w:p w14:paraId="10E653E7"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initial dispensings of mental health and substance use medications - anxiolytics</w:t>
            </w:r>
          </w:p>
        </w:tc>
      </w:tr>
      <w:tr w:rsidR="00E33090" w:rsidRPr="00E33090" w14:paraId="262490D0" w14:textId="77777777" w:rsidTr="00476648">
        <w:trPr>
          <w:trHeight w:val="300"/>
        </w:trPr>
        <w:tc>
          <w:tcPr>
            <w:tcW w:w="2694" w:type="dxa"/>
            <w:vMerge/>
            <w:noWrap/>
            <w:hideMark/>
          </w:tcPr>
          <w:p w14:paraId="2E1E9E35"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7A8143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112</w:t>
            </w:r>
          </w:p>
        </w:tc>
        <w:tc>
          <w:tcPr>
            <w:tcW w:w="5377" w:type="dxa"/>
            <w:hideMark/>
          </w:tcPr>
          <w:p w14:paraId="361D892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initial dispensings of opioid substitution treatment for opioid dependence</w:t>
            </w:r>
          </w:p>
        </w:tc>
      </w:tr>
      <w:tr w:rsidR="00E33090" w:rsidRPr="00E33090" w14:paraId="434F8CFB" w14:textId="77777777" w:rsidTr="00476648">
        <w:trPr>
          <w:trHeight w:val="300"/>
        </w:trPr>
        <w:tc>
          <w:tcPr>
            <w:tcW w:w="2694" w:type="dxa"/>
            <w:vMerge/>
            <w:noWrap/>
            <w:hideMark/>
          </w:tcPr>
          <w:p w14:paraId="6381263A"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CA4693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113</w:t>
            </w:r>
          </w:p>
        </w:tc>
        <w:tc>
          <w:tcPr>
            <w:tcW w:w="5377" w:type="dxa"/>
            <w:hideMark/>
          </w:tcPr>
          <w:p w14:paraId="7A66581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xml:space="preserve"># of people receiving opioid substitution treatment in primary care (may be coded as GP case management?) </w:t>
            </w:r>
          </w:p>
        </w:tc>
      </w:tr>
      <w:tr w:rsidR="00E33090" w:rsidRPr="00E33090" w14:paraId="32558397" w14:textId="77777777" w:rsidTr="00476648">
        <w:trPr>
          <w:trHeight w:val="300"/>
        </w:trPr>
        <w:tc>
          <w:tcPr>
            <w:tcW w:w="2694" w:type="dxa"/>
            <w:vMerge/>
            <w:noWrap/>
            <w:hideMark/>
          </w:tcPr>
          <w:p w14:paraId="00E0EA3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F86C43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114</w:t>
            </w:r>
          </w:p>
        </w:tc>
        <w:tc>
          <w:tcPr>
            <w:tcW w:w="5377" w:type="dxa"/>
            <w:hideMark/>
          </w:tcPr>
          <w:p w14:paraId="0021F8E1"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currently on waiting list for opioid substitution treatment</w:t>
            </w:r>
          </w:p>
        </w:tc>
      </w:tr>
      <w:tr w:rsidR="00E33090" w:rsidRPr="00E33090" w14:paraId="4C804863" w14:textId="77777777" w:rsidTr="00476648">
        <w:trPr>
          <w:trHeight w:val="300"/>
        </w:trPr>
        <w:tc>
          <w:tcPr>
            <w:tcW w:w="2694" w:type="dxa"/>
            <w:vMerge/>
            <w:noWrap/>
            <w:hideMark/>
          </w:tcPr>
          <w:p w14:paraId="1D414DE6"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D563BD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115</w:t>
            </w:r>
          </w:p>
        </w:tc>
        <w:tc>
          <w:tcPr>
            <w:tcW w:w="5377" w:type="dxa"/>
            <w:hideMark/>
          </w:tcPr>
          <w:p w14:paraId="20432F7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Average length of time on waiting list for opioid substitution treatment</w:t>
            </w:r>
          </w:p>
        </w:tc>
      </w:tr>
      <w:tr w:rsidR="00E33090" w:rsidRPr="00E33090" w14:paraId="5EDED180" w14:textId="77777777" w:rsidTr="00476648">
        <w:trPr>
          <w:trHeight w:val="300"/>
        </w:trPr>
        <w:tc>
          <w:tcPr>
            <w:tcW w:w="2694" w:type="dxa"/>
            <w:vMerge/>
            <w:noWrap/>
            <w:hideMark/>
          </w:tcPr>
          <w:p w14:paraId="0CF27893"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D084CB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117</w:t>
            </w:r>
          </w:p>
        </w:tc>
        <w:tc>
          <w:tcPr>
            <w:tcW w:w="5377" w:type="dxa"/>
            <w:hideMark/>
          </w:tcPr>
          <w:p w14:paraId="52749E0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opioid substitution treatment places available</w:t>
            </w:r>
          </w:p>
        </w:tc>
      </w:tr>
      <w:tr w:rsidR="00E33090" w:rsidRPr="00E33090" w14:paraId="2BAD052C" w14:textId="77777777" w:rsidTr="00476648">
        <w:trPr>
          <w:trHeight w:val="300"/>
        </w:trPr>
        <w:tc>
          <w:tcPr>
            <w:tcW w:w="2694" w:type="dxa"/>
            <w:vMerge/>
            <w:noWrap/>
            <w:hideMark/>
          </w:tcPr>
          <w:p w14:paraId="22938322"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01A7CF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122</w:t>
            </w:r>
          </w:p>
        </w:tc>
        <w:tc>
          <w:tcPr>
            <w:tcW w:w="5377" w:type="dxa"/>
            <w:hideMark/>
          </w:tcPr>
          <w:p w14:paraId="6339638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accessing primary mental health services (% population)</w:t>
            </w:r>
          </w:p>
        </w:tc>
      </w:tr>
      <w:tr w:rsidR="00E33090" w:rsidRPr="00E33090" w14:paraId="02F872F7" w14:textId="77777777" w:rsidTr="00476648">
        <w:trPr>
          <w:trHeight w:val="300"/>
        </w:trPr>
        <w:tc>
          <w:tcPr>
            <w:tcW w:w="2694" w:type="dxa"/>
            <w:vMerge/>
            <w:noWrap/>
            <w:hideMark/>
          </w:tcPr>
          <w:p w14:paraId="1167E58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9DE599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123</w:t>
            </w:r>
          </w:p>
        </w:tc>
        <w:tc>
          <w:tcPr>
            <w:tcW w:w="5377" w:type="dxa"/>
            <w:hideMark/>
          </w:tcPr>
          <w:p w14:paraId="4220E4D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accessing specialist mental health and addiction services (% population) (disaggregated by each type and Māori and non-Māori MHA services)</w:t>
            </w:r>
          </w:p>
        </w:tc>
      </w:tr>
      <w:tr w:rsidR="00E33090" w:rsidRPr="00E33090" w14:paraId="646E6866" w14:textId="77777777" w:rsidTr="00476648">
        <w:trPr>
          <w:trHeight w:val="600"/>
        </w:trPr>
        <w:tc>
          <w:tcPr>
            <w:tcW w:w="2694" w:type="dxa"/>
            <w:vMerge/>
            <w:noWrap/>
            <w:hideMark/>
          </w:tcPr>
          <w:p w14:paraId="2A70381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E257DF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124</w:t>
            </w:r>
          </w:p>
        </w:tc>
        <w:tc>
          <w:tcPr>
            <w:tcW w:w="5377" w:type="dxa"/>
            <w:hideMark/>
          </w:tcPr>
          <w:p w14:paraId="6F5D2C03" w14:textId="58520FB9"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contacting national mental health and addiction telehealth services (# of unique users and # of total contacts) - 1737 / Need to talk, 1737 Peer support, Alcohol and drug helpline,</w:t>
            </w:r>
            <w:r w:rsidR="00022B3E">
              <w:rPr>
                <w:rFonts w:ascii="Calibri" w:eastAsia="Times New Roman" w:hAnsi="Calibri" w:cs="Calibri"/>
                <w:color w:val="000000"/>
                <w:sz w:val="22"/>
                <w:lang w:eastAsia="en-NZ"/>
              </w:rPr>
              <w:t xml:space="preserve"> </w:t>
            </w:r>
            <w:r w:rsidRPr="00E33090">
              <w:rPr>
                <w:rFonts w:ascii="Calibri" w:eastAsia="Times New Roman" w:hAnsi="Calibri" w:cs="Calibri"/>
                <w:color w:val="000000"/>
                <w:sz w:val="22"/>
                <w:lang w:eastAsia="en-NZ"/>
              </w:rPr>
              <w:t>Depression helpline,</w:t>
            </w:r>
            <w:r w:rsidR="00022B3E">
              <w:rPr>
                <w:rFonts w:ascii="Calibri" w:eastAsia="Times New Roman" w:hAnsi="Calibri" w:cs="Calibri"/>
                <w:color w:val="000000"/>
                <w:sz w:val="22"/>
                <w:lang w:eastAsia="en-NZ"/>
              </w:rPr>
              <w:t xml:space="preserve"> </w:t>
            </w:r>
            <w:r w:rsidRPr="00E33090">
              <w:rPr>
                <w:rFonts w:ascii="Calibri" w:eastAsia="Times New Roman" w:hAnsi="Calibri" w:cs="Calibri"/>
                <w:color w:val="000000"/>
                <w:sz w:val="22"/>
                <w:lang w:eastAsia="en-NZ"/>
              </w:rPr>
              <w:t>Gambling helpline,</w:t>
            </w:r>
            <w:r w:rsidR="00022B3E">
              <w:rPr>
                <w:rFonts w:ascii="Calibri" w:eastAsia="Times New Roman" w:hAnsi="Calibri" w:cs="Calibri"/>
                <w:color w:val="000000"/>
                <w:sz w:val="22"/>
                <w:lang w:eastAsia="en-NZ"/>
              </w:rPr>
              <w:t xml:space="preserve"> </w:t>
            </w:r>
            <w:r w:rsidRPr="00E33090">
              <w:rPr>
                <w:rFonts w:ascii="Calibri" w:eastAsia="Times New Roman" w:hAnsi="Calibri" w:cs="Calibri"/>
                <w:color w:val="000000"/>
                <w:sz w:val="22"/>
                <w:lang w:eastAsia="en-NZ"/>
              </w:rPr>
              <w:t xml:space="preserve">[Other Whakarongorau MHA telehealth services as suggested] </w:t>
            </w:r>
          </w:p>
        </w:tc>
      </w:tr>
      <w:tr w:rsidR="00E33090" w:rsidRPr="00E33090" w14:paraId="7FBBB131" w14:textId="77777777" w:rsidTr="00476648">
        <w:trPr>
          <w:trHeight w:val="300"/>
        </w:trPr>
        <w:tc>
          <w:tcPr>
            <w:tcW w:w="2694" w:type="dxa"/>
            <w:vMerge/>
            <w:noWrap/>
            <w:hideMark/>
          </w:tcPr>
          <w:p w14:paraId="175E1FB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0F2977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125</w:t>
            </w:r>
          </w:p>
        </w:tc>
        <w:tc>
          <w:tcPr>
            <w:tcW w:w="5377" w:type="dxa"/>
            <w:hideMark/>
          </w:tcPr>
          <w:p w14:paraId="45A901E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contacting national mental health and addiction telehealth services (# of unique users) and # of total contacts - Alcohol and other drug helplines (Living Sober, The Level)</w:t>
            </w:r>
          </w:p>
        </w:tc>
      </w:tr>
      <w:tr w:rsidR="00E33090" w:rsidRPr="00E33090" w14:paraId="36A24B5B" w14:textId="77777777" w:rsidTr="00476648">
        <w:trPr>
          <w:trHeight w:val="300"/>
        </w:trPr>
        <w:tc>
          <w:tcPr>
            <w:tcW w:w="2694" w:type="dxa"/>
            <w:vMerge/>
            <w:noWrap/>
            <w:hideMark/>
          </w:tcPr>
          <w:p w14:paraId="628BBD86"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5F2A7E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126</w:t>
            </w:r>
          </w:p>
        </w:tc>
        <w:tc>
          <w:tcPr>
            <w:tcW w:w="5377" w:type="dxa"/>
            <w:hideMark/>
          </w:tcPr>
          <w:p w14:paraId="69211EAA"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contacting national mental health and addiction telehealth services (# of unique users) and # of total contacts - Depression helpline</w:t>
            </w:r>
          </w:p>
        </w:tc>
      </w:tr>
      <w:tr w:rsidR="00E33090" w:rsidRPr="00E33090" w14:paraId="1981947A" w14:textId="77777777" w:rsidTr="00476648">
        <w:trPr>
          <w:trHeight w:val="300"/>
        </w:trPr>
        <w:tc>
          <w:tcPr>
            <w:tcW w:w="2694" w:type="dxa"/>
            <w:vMerge/>
            <w:noWrap/>
            <w:hideMark/>
          </w:tcPr>
          <w:p w14:paraId="0D10C31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71923A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127</w:t>
            </w:r>
          </w:p>
        </w:tc>
        <w:tc>
          <w:tcPr>
            <w:tcW w:w="5377" w:type="dxa"/>
            <w:hideMark/>
          </w:tcPr>
          <w:p w14:paraId="7A79460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contacting national mental health and addiction telehealth services (# of unique users) and # of total contacts - Gambling helpline</w:t>
            </w:r>
          </w:p>
        </w:tc>
      </w:tr>
      <w:tr w:rsidR="00E33090" w:rsidRPr="00E33090" w14:paraId="24DB636B" w14:textId="77777777" w:rsidTr="00476648">
        <w:trPr>
          <w:trHeight w:val="300"/>
        </w:trPr>
        <w:tc>
          <w:tcPr>
            <w:tcW w:w="2694" w:type="dxa"/>
            <w:vMerge/>
            <w:noWrap/>
            <w:hideMark/>
          </w:tcPr>
          <w:p w14:paraId="300B149B"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4223DA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128</w:t>
            </w:r>
          </w:p>
        </w:tc>
        <w:tc>
          <w:tcPr>
            <w:tcW w:w="5377" w:type="dxa"/>
            <w:hideMark/>
          </w:tcPr>
          <w:p w14:paraId="20A2E943"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using national mental health and addiction online platforms (# of unique visitors); and # of total sessions</w:t>
            </w:r>
          </w:p>
        </w:tc>
      </w:tr>
      <w:tr w:rsidR="00E33090" w:rsidRPr="00E33090" w14:paraId="174803BF" w14:textId="77777777" w:rsidTr="00476648">
        <w:trPr>
          <w:trHeight w:val="600"/>
        </w:trPr>
        <w:tc>
          <w:tcPr>
            <w:tcW w:w="2694" w:type="dxa"/>
            <w:vMerge/>
            <w:noWrap/>
            <w:hideMark/>
          </w:tcPr>
          <w:p w14:paraId="7F2BBF1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C4EF34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131</w:t>
            </w:r>
          </w:p>
        </w:tc>
        <w:tc>
          <w:tcPr>
            <w:tcW w:w="5377" w:type="dxa"/>
            <w:hideMark/>
          </w:tcPr>
          <w:p w14:paraId="0BD8CD48"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treatment days delivered across 11 different specialist mental health and addiction services (total treatment days) (Individual treatment sessions, Community support, Coordination of care, Contacts with family / whānau, Group programmes, Crisis attendances, Day programmes, Peer support contacts, Māori specific interventions, Pacific specific interventions, Opioid substitution treatment service)</w:t>
            </w:r>
          </w:p>
        </w:tc>
      </w:tr>
      <w:tr w:rsidR="00E33090" w:rsidRPr="00E33090" w14:paraId="061DFD9D" w14:textId="77777777" w:rsidTr="00476648">
        <w:trPr>
          <w:trHeight w:val="300"/>
        </w:trPr>
        <w:tc>
          <w:tcPr>
            <w:tcW w:w="2694" w:type="dxa"/>
            <w:vMerge/>
            <w:noWrap/>
            <w:hideMark/>
          </w:tcPr>
          <w:p w14:paraId="4D6B2EE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3F4704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134</w:t>
            </w:r>
          </w:p>
        </w:tc>
        <w:tc>
          <w:tcPr>
            <w:tcW w:w="5377" w:type="dxa"/>
            <w:hideMark/>
          </w:tcPr>
          <w:p w14:paraId="73831087"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accessing specialist MHA services that did so with an NGO service (Includes people who saw both an NGO and DHB)</w:t>
            </w:r>
          </w:p>
        </w:tc>
      </w:tr>
      <w:tr w:rsidR="00E33090" w:rsidRPr="00E33090" w14:paraId="492DE8BA" w14:textId="77777777" w:rsidTr="00476648">
        <w:trPr>
          <w:trHeight w:val="300"/>
        </w:trPr>
        <w:tc>
          <w:tcPr>
            <w:tcW w:w="2694" w:type="dxa"/>
            <w:vMerge/>
            <w:noWrap/>
            <w:hideMark/>
          </w:tcPr>
          <w:p w14:paraId="0AAD7C1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C7F10D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136</w:t>
            </w:r>
          </w:p>
        </w:tc>
        <w:tc>
          <w:tcPr>
            <w:tcW w:w="5377" w:type="dxa"/>
            <w:hideMark/>
          </w:tcPr>
          <w:p w14:paraId="71B5092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with/without self-reported long term MHA condition reporting whether in the last 12 months, there was a time when they wanted health care from a GP or nurse, but couldn’t get it</w:t>
            </w:r>
          </w:p>
        </w:tc>
      </w:tr>
      <w:tr w:rsidR="00E33090" w:rsidRPr="00E33090" w14:paraId="67C39D5B" w14:textId="77777777" w:rsidTr="00476648">
        <w:trPr>
          <w:trHeight w:val="300"/>
        </w:trPr>
        <w:tc>
          <w:tcPr>
            <w:tcW w:w="2694" w:type="dxa"/>
            <w:vMerge/>
            <w:noWrap/>
            <w:hideMark/>
          </w:tcPr>
          <w:p w14:paraId="74523A97"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19EB6A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139</w:t>
            </w:r>
          </w:p>
        </w:tc>
        <w:tc>
          <w:tcPr>
            <w:tcW w:w="5377" w:type="dxa"/>
            <w:hideMark/>
          </w:tcPr>
          <w:p w14:paraId="10D21D88"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[Access to primary mental health and addiction services - this measure is currently in development]</w:t>
            </w:r>
          </w:p>
        </w:tc>
      </w:tr>
      <w:tr w:rsidR="00E33090" w:rsidRPr="00E33090" w14:paraId="4C3A22C2" w14:textId="77777777" w:rsidTr="00476648">
        <w:trPr>
          <w:trHeight w:val="300"/>
        </w:trPr>
        <w:tc>
          <w:tcPr>
            <w:tcW w:w="2694" w:type="dxa"/>
            <w:vMerge/>
            <w:noWrap/>
            <w:hideMark/>
          </w:tcPr>
          <w:p w14:paraId="6BAC7815"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287AF9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142</w:t>
            </w:r>
          </w:p>
        </w:tc>
        <w:tc>
          <w:tcPr>
            <w:tcW w:w="5377" w:type="dxa"/>
            <w:hideMark/>
          </w:tcPr>
          <w:p w14:paraId="3A683EB3"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Availability of IPMHA services (population / service coverage)</w:t>
            </w:r>
          </w:p>
        </w:tc>
      </w:tr>
      <w:tr w:rsidR="00E33090" w:rsidRPr="00E33090" w14:paraId="2C26B76D" w14:textId="77777777" w:rsidTr="00476648">
        <w:trPr>
          <w:trHeight w:val="300"/>
        </w:trPr>
        <w:tc>
          <w:tcPr>
            <w:tcW w:w="2694" w:type="dxa"/>
            <w:vMerge/>
            <w:noWrap/>
            <w:hideMark/>
          </w:tcPr>
          <w:p w14:paraId="539374A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AF04E7D"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143</w:t>
            </w:r>
          </w:p>
        </w:tc>
        <w:tc>
          <w:tcPr>
            <w:tcW w:w="5377" w:type="dxa"/>
            <w:hideMark/>
          </w:tcPr>
          <w:p w14:paraId="50000759"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Availability of Pacific primary &amp; community MHA services (population / service coverage)</w:t>
            </w:r>
          </w:p>
        </w:tc>
      </w:tr>
      <w:tr w:rsidR="00E33090" w:rsidRPr="00E33090" w14:paraId="6E9A7B6A" w14:textId="77777777" w:rsidTr="00476648">
        <w:trPr>
          <w:trHeight w:val="300"/>
        </w:trPr>
        <w:tc>
          <w:tcPr>
            <w:tcW w:w="2694" w:type="dxa"/>
            <w:vMerge/>
            <w:noWrap/>
            <w:hideMark/>
          </w:tcPr>
          <w:p w14:paraId="10804FE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585995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145</w:t>
            </w:r>
          </w:p>
        </w:tc>
        <w:tc>
          <w:tcPr>
            <w:tcW w:w="5377" w:type="dxa"/>
            <w:hideMark/>
          </w:tcPr>
          <w:p w14:paraId="1157C12C"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Availability of Youth primary &amp; community MHA services (population / service coverage)</w:t>
            </w:r>
          </w:p>
        </w:tc>
      </w:tr>
      <w:tr w:rsidR="00E33090" w:rsidRPr="00E33090" w14:paraId="2D95C1C8" w14:textId="77777777" w:rsidTr="00476648">
        <w:trPr>
          <w:trHeight w:val="300"/>
        </w:trPr>
        <w:tc>
          <w:tcPr>
            <w:tcW w:w="2694" w:type="dxa"/>
            <w:vMerge/>
            <w:noWrap/>
            <w:hideMark/>
          </w:tcPr>
          <w:p w14:paraId="65D055E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47D991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148</w:t>
            </w:r>
          </w:p>
        </w:tc>
        <w:tc>
          <w:tcPr>
            <w:tcW w:w="5377" w:type="dxa"/>
            <w:hideMark/>
          </w:tcPr>
          <w:p w14:paraId="61665347"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Average length of residential rehabilitation facility stay</w:t>
            </w:r>
          </w:p>
        </w:tc>
      </w:tr>
      <w:tr w:rsidR="00E33090" w:rsidRPr="00E33090" w14:paraId="014C0197" w14:textId="77777777" w:rsidTr="00476648">
        <w:trPr>
          <w:trHeight w:val="300"/>
        </w:trPr>
        <w:tc>
          <w:tcPr>
            <w:tcW w:w="2694" w:type="dxa"/>
            <w:vMerge/>
            <w:noWrap/>
            <w:hideMark/>
          </w:tcPr>
          <w:p w14:paraId="2ABB518A"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F33E1A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149</w:t>
            </w:r>
          </w:p>
        </w:tc>
        <w:tc>
          <w:tcPr>
            <w:tcW w:w="5377" w:type="dxa"/>
            <w:hideMark/>
          </w:tcPr>
          <w:p w14:paraId="3464277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Average length of stay in an inpatient unit</w:t>
            </w:r>
          </w:p>
        </w:tc>
      </w:tr>
      <w:tr w:rsidR="00E33090" w:rsidRPr="00E33090" w14:paraId="21951FF2" w14:textId="77777777" w:rsidTr="00476648">
        <w:trPr>
          <w:trHeight w:val="300"/>
        </w:trPr>
        <w:tc>
          <w:tcPr>
            <w:tcW w:w="2694" w:type="dxa"/>
            <w:vMerge/>
            <w:noWrap/>
            <w:hideMark/>
          </w:tcPr>
          <w:p w14:paraId="16D66FC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B8B392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161</w:t>
            </w:r>
          </w:p>
        </w:tc>
        <w:tc>
          <w:tcPr>
            <w:tcW w:w="5377" w:type="dxa"/>
            <w:hideMark/>
          </w:tcPr>
          <w:p w14:paraId="671B68EC" w14:textId="74DB8B70"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xml:space="preserve">Investment </w:t>
            </w:r>
            <w:r w:rsidR="006777AF">
              <w:rPr>
                <w:rFonts w:ascii="Calibri" w:eastAsia="Times New Roman" w:hAnsi="Calibri" w:cs="Calibri"/>
                <w:color w:val="000000"/>
                <w:sz w:val="22"/>
                <w:lang w:eastAsia="en-NZ"/>
              </w:rPr>
              <w:t xml:space="preserve">($) </w:t>
            </w:r>
            <w:r w:rsidRPr="00E33090">
              <w:rPr>
                <w:rFonts w:ascii="Calibri" w:eastAsia="Times New Roman" w:hAnsi="Calibri" w:cs="Calibri"/>
                <w:color w:val="000000"/>
                <w:sz w:val="22"/>
                <w:lang w:eastAsia="en-NZ"/>
              </w:rPr>
              <w:t>in workforce development</w:t>
            </w:r>
          </w:p>
        </w:tc>
      </w:tr>
      <w:tr w:rsidR="00E33090" w:rsidRPr="00E33090" w14:paraId="03BDD593" w14:textId="77777777" w:rsidTr="00476648">
        <w:trPr>
          <w:trHeight w:val="300"/>
        </w:trPr>
        <w:tc>
          <w:tcPr>
            <w:tcW w:w="2694" w:type="dxa"/>
            <w:vMerge/>
            <w:noWrap/>
            <w:hideMark/>
          </w:tcPr>
          <w:p w14:paraId="59006F0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0B1692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162</w:t>
            </w:r>
          </w:p>
        </w:tc>
        <w:tc>
          <w:tcPr>
            <w:tcW w:w="5377" w:type="dxa"/>
            <w:hideMark/>
          </w:tcPr>
          <w:p w14:paraId="311B69F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Presenting issues to IPMHA services</w:t>
            </w:r>
          </w:p>
        </w:tc>
      </w:tr>
      <w:tr w:rsidR="00E33090" w:rsidRPr="00E33090" w14:paraId="50C7A9F5" w14:textId="77777777" w:rsidTr="00476648">
        <w:trPr>
          <w:trHeight w:val="300"/>
        </w:trPr>
        <w:tc>
          <w:tcPr>
            <w:tcW w:w="2694" w:type="dxa"/>
            <w:vMerge/>
            <w:noWrap/>
            <w:hideMark/>
          </w:tcPr>
          <w:p w14:paraId="1D5563C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FE111A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163</w:t>
            </w:r>
          </w:p>
        </w:tc>
        <w:tc>
          <w:tcPr>
            <w:tcW w:w="5377" w:type="dxa"/>
            <w:hideMark/>
          </w:tcPr>
          <w:p w14:paraId="286F4C1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Spending on mental health and addiction services (HNZ &amp; MoH expenditure) disaggregated by specified services, and as % of total HNZ &amp; MoH spend</w:t>
            </w:r>
          </w:p>
        </w:tc>
      </w:tr>
      <w:tr w:rsidR="00E33090" w:rsidRPr="00E33090" w14:paraId="15017F5A" w14:textId="77777777" w:rsidTr="00476648">
        <w:trPr>
          <w:trHeight w:val="300"/>
        </w:trPr>
        <w:tc>
          <w:tcPr>
            <w:tcW w:w="2694" w:type="dxa"/>
            <w:vMerge/>
            <w:noWrap/>
            <w:hideMark/>
          </w:tcPr>
          <w:p w14:paraId="46056F63"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98F00E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166</w:t>
            </w:r>
          </w:p>
        </w:tc>
        <w:tc>
          <w:tcPr>
            <w:tcW w:w="5377" w:type="dxa"/>
            <w:hideMark/>
          </w:tcPr>
          <w:p w14:paraId="5E238DB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IPMHA/Kaupapa Māori/ Pacific/ Youth services - service activity (people seen, sessions delivered)</w:t>
            </w:r>
          </w:p>
        </w:tc>
      </w:tr>
      <w:tr w:rsidR="00E33090" w:rsidRPr="00E33090" w14:paraId="418DEB28" w14:textId="77777777" w:rsidTr="00476648">
        <w:trPr>
          <w:trHeight w:val="300"/>
        </w:trPr>
        <w:tc>
          <w:tcPr>
            <w:tcW w:w="2694" w:type="dxa"/>
            <w:vMerge/>
            <w:noWrap/>
            <w:hideMark/>
          </w:tcPr>
          <w:p w14:paraId="334172A7"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0D84D3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168</w:t>
            </w:r>
          </w:p>
        </w:tc>
        <w:tc>
          <w:tcPr>
            <w:tcW w:w="5377" w:type="dxa"/>
            <w:hideMark/>
          </w:tcPr>
          <w:p w14:paraId="3516AA3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mental health related calls to Police for service</w:t>
            </w:r>
          </w:p>
        </w:tc>
      </w:tr>
      <w:tr w:rsidR="00E33090" w:rsidRPr="00E33090" w14:paraId="7AF3A900" w14:textId="77777777" w:rsidTr="00476648">
        <w:trPr>
          <w:trHeight w:val="300"/>
        </w:trPr>
        <w:tc>
          <w:tcPr>
            <w:tcW w:w="2694" w:type="dxa"/>
            <w:vMerge/>
            <w:noWrap/>
            <w:hideMark/>
          </w:tcPr>
          <w:p w14:paraId="534E8DE5"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7A6707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837</w:t>
            </w:r>
          </w:p>
        </w:tc>
        <w:tc>
          <w:tcPr>
            <w:tcW w:w="5377" w:type="dxa"/>
            <w:hideMark/>
          </w:tcPr>
          <w:p w14:paraId="1735831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unique service users accessing specialist mental health and addiction services</w:t>
            </w:r>
          </w:p>
        </w:tc>
      </w:tr>
      <w:tr w:rsidR="00E33090" w:rsidRPr="00E33090" w14:paraId="407E0598" w14:textId="77777777" w:rsidTr="00476648">
        <w:trPr>
          <w:trHeight w:val="300"/>
        </w:trPr>
        <w:tc>
          <w:tcPr>
            <w:tcW w:w="2694" w:type="dxa"/>
            <w:vMerge/>
            <w:noWrap/>
            <w:hideMark/>
          </w:tcPr>
          <w:p w14:paraId="62B6D8A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BA192B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839</w:t>
            </w:r>
          </w:p>
        </w:tc>
        <w:tc>
          <w:tcPr>
            <w:tcW w:w="5377" w:type="dxa"/>
            <w:hideMark/>
          </w:tcPr>
          <w:p w14:paraId="20859A5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xml:space="preserve">Complete roll-out of the Access and Choice programme for primary mental health and addiction support services so that access is available for 325,000 people per year by the end of June 2024 </w:t>
            </w:r>
          </w:p>
        </w:tc>
      </w:tr>
      <w:tr w:rsidR="00E33090" w:rsidRPr="00E33090" w14:paraId="38EA4914" w14:textId="77777777" w:rsidTr="00476648">
        <w:trPr>
          <w:trHeight w:val="300"/>
        </w:trPr>
        <w:tc>
          <w:tcPr>
            <w:tcW w:w="2694" w:type="dxa"/>
            <w:vMerge/>
            <w:noWrap/>
            <w:hideMark/>
          </w:tcPr>
          <w:p w14:paraId="280DE0A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771645A"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858</w:t>
            </w:r>
          </w:p>
        </w:tc>
        <w:tc>
          <w:tcPr>
            <w:tcW w:w="5377" w:type="dxa"/>
            <w:hideMark/>
          </w:tcPr>
          <w:p w14:paraId="1423B52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DAPAANZ registered addiction practitioners</w:t>
            </w:r>
          </w:p>
        </w:tc>
      </w:tr>
      <w:tr w:rsidR="00E33090" w:rsidRPr="00E33090" w14:paraId="288D958F" w14:textId="77777777" w:rsidTr="00476648">
        <w:trPr>
          <w:trHeight w:val="600"/>
        </w:trPr>
        <w:tc>
          <w:tcPr>
            <w:tcW w:w="2694" w:type="dxa"/>
            <w:vMerge/>
            <w:noWrap/>
            <w:hideMark/>
          </w:tcPr>
          <w:p w14:paraId="675A151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5E71DF2"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944</w:t>
            </w:r>
          </w:p>
        </w:tc>
        <w:tc>
          <w:tcPr>
            <w:tcW w:w="5377" w:type="dxa"/>
            <w:hideMark/>
          </w:tcPr>
          <w:p w14:paraId="0E748E8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[PRIMHD data – T codes: Contact with family/whānau, consumer not present T32, Contact with family/whānau, tangata whaiora/consumer present T36, Support for family/whānau T47, Support for Children of Parents with Mental Illness and Addictions (COPMIA) T49 and Support for Parents with Mental Illness and Addictions T50]</w:t>
            </w:r>
          </w:p>
        </w:tc>
      </w:tr>
      <w:tr w:rsidR="00E33090" w:rsidRPr="00E33090" w14:paraId="7FCAAF33" w14:textId="77777777" w:rsidTr="00476648">
        <w:trPr>
          <w:trHeight w:val="300"/>
        </w:trPr>
        <w:tc>
          <w:tcPr>
            <w:tcW w:w="2694" w:type="dxa"/>
            <w:vMerge/>
            <w:noWrap/>
            <w:hideMark/>
          </w:tcPr>
          <w:p w14:paraId="148513E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0585D1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1348</w:t>
            </w:r>
          </w:p>
        </w:tc>
        <w:tc>
          <w:tcPr>
            <w:tcW w:w="5377" w:type="dxa"/>
            <w:hideMark/>
          </w:tcPr>
          <w:p w14:paraId="68F7A6E6"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Number of 1737 complex callers (defined as calls lasting longer than 25 minutes)</w:t>
            </w:r>
          </w:p>
        </w:tc>
      </w:tr>
      <w:tr w:rsidR="00E33090" w:rsidRPr="00E33090" w14:paraId="243B270C" w14:textId="77777777" w:rsidTr="00476648">
        <w:trPr>
          <w:trHeight w:val="300"/>
        </w:trPr>
        <w:tc>
          <w:tcPr>
            <w:tcW w:w="2694" w:type="dxa"/>
            <w:vMerge/>
            <w:noWrap/>
            <w:hideMark/>
          </w:tcPr>
          <w:p w14:paraId="0CFD8B2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5D13B3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1349</w:t>
            </w:r>
          </w:p>
        </w:tc>
        <w:tc>
          <w:tcPr>
            <w:tcW w:w="5377" w:type="dxa"/>
            <w:hideMark/>
          </w:tcPr>
          <w:p w14:paraId="76D9FFE7"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Number of 1737 frequent callers (defined as people who call 20 or more times a month)</w:t>
            </w:r>
          </w:p>
        </w:tc>
      </w:tr>
      <w:tr w:rsidR="00E33090" w:rsidRPr="00E33090" w14:paraId="29B9E6A2" w14:textId="77777777" w:rsidTr="00476648">
        <w:trPr>
          <w:trHeight w:val="300"/>
        </w:trPr>
        <w:tc>
          <w:tcPr>
            <w:tcW w:w="2694" w:type="dxa"/>
            <w:vMerge w:val="restart"/>
            <w:noWrap/>
            <w:hideMark/>
          </w:tcPr>
          <w:p w14:paraId="50DA7F22"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Connected care</w:t>
            </w:r>
          </w:p>
        </w:tc>
        <w:tc>
          <w:tcPr>
            <w:tcW w:w="860" w:type="dxa"/>
            <w:noWrap/>
            <w:hideMark/>
          </w:tcPr>
          <w:p w14:paraId="694C1C8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177</w:t>
            </w:r>
          </w:p>
        </w:tc>
        <w:tc>
          <w:tcPr>
            <w:tcW w:w="5377" w:type="dxa"/>
            <w:hideMark/>
          </w:tcPr>
          <w:p w14:paraId="27EF7DC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that went back into an inpatient unit within 28 days of being discharged</w:t>
            </w:r>
          </w:p>
        </w:tc>
      </w:tr>
      <w:tr w:rsidR="00E33090" w:rsidRPr="00E33090" w14:paraId="25383BE4" w14:textId="77777777" w:rsidTr="00476648">
        <w:trPr>
          <w:trHeight w:val="300"/>
        </w:trPr>
        <w:tc>
          <w:tcPr>
            <w:tcW w:w="2694" w:type="dxa"/>
            <w:vMerge/>
            <w:noWrap/>
            <w:hideMark/>
          </w:tcPr>
          <w:p w14:paraId="142AC4DE"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7CF2C3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179</w:t>
            </w:r>
          </w:p>
        </w:tc>
        <w:tc>
          <w:tcPr>
            <w:tcW w:w="5377" w:type="dxa"/>
            <w:hideMark/>
          </w:tcPr>
          <w:p w14:paraId="71DF792A"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about coordination of care between different service providers</w:t>
            </w:r>
          </w:p>
        </w:tc>
      </w:tr>
      <w:tr w:rsidR="00E33090" w:rsidRPr="00E33090" w14:paraId="116ADB7A" w14:textId="77777777" w:rsidTr="00476648">
        <w:trPr>
          <w:trHeight w:val="300"/>
        </w:trPr>
        <w:tc>
          <w:tcPr>
            <w:tcW w:w="2694" w:type="dxa"/>
            <w:vMerge/>
            <w:noWrap/>
            <w:hideMark/>
          </w:tcPr>
          <w:p w14:paraId="35DECBE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F42657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180</w:t>
            </w:r>
          </w:p>
        </w:tc>
        <w:tc>
          <w:tcPr>
            <w:tcW w:w="5377" w:type="dxa"/>
            <w:hideMark/>
          </w:tcPr>
          <w:p w14:paraId="713B77A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that were about coordination or inappropriate follow up by service providers</w:t>
            </w:r>
          </w:p>
        </w:tc>
      </w:tr>
      <w:tr w:rsidR="00E33090" w:rsidRPr="00E33090" w14:paraId="33315207" w14:textId="77777777" w:rsidTr="00476648">
        <w:trPr>
          <w:trHeight w:val="300"/>
        </w:trPr>
        <w:tc>
          <w:tcPr>
            <w:tcW w:w="2694" w:type="dxa"/>
            <w:vMerge/>
            <w:noWrap/>
            <w:hideMark/>
          </w:tcPr>
          <w:p w14:paraId="0523BBB3"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6E4668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182</w:t>
            </w:r>
          </w:p>
        </w:tc>
        <w:tc>
          <w:tcPr>
            <w:tcW w:w="5377" w:type="dxa"/>
            <w:hideMark/>
          </w:tcPr>
          <w:p w14:paraId="433DC167"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tāngata whaiora and family and whānau who report that the people they see communicate with each other when they need them to</w:t>
            </w:r>
          </w:p>
        </w:tc>
      </w:tr>
      <w:tr w:rsidR="00E33090" w:rsidRPr="00E33090" w14:paraId="7031875D" w14:textId="77777777" w:rsidTr="00476648">
        <w:trPr>
          <w:trHeight w:val="300"/>
        </w:trPr>
        <w:tc>
          <w:tcPr>
            <w:tcW w:w="2694" w:type="dxa"/>
            <w:vMerge/>
            <w:noWrap/>
            <w:hideMark/>
          </w:tcPr>
          <w:p w14:paraId="4716E237"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3F1342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183</w:t>
            </w:r>
          </w:p>
        </w:tc>
        <w:tc>
          <w:tcPr>
            <w:tcW w:w="5377" w:type="dxa"/>
            <w:hideMark/>
          </w:tcPr>
          <w:p w14:paraId="676A32F3"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tāngata whaiora have a transition plan on discharge from community care</w:t>
            </w:r>
          </w:p>
        </w:tc>
      </w:tr>
      <w:tr w:rsidR="00E33090" w:rsidRPr="00E33090" w14:paraId="504B5273" w14:textId="77777777" w:rsidTr="00476648">
        <w:trPr>
          <w:trHeight w:val="300"/>
        </w:trPr>
        <w:tc>
          <w:tcPr>
            <w:tcW w:w="2694" w:type="dxa"/>
            <w:vMerge/>
            <w:noWrap/>
            <w:hideMark/>
          </w:tcPr>
          <w:p w14:paraId="54038DA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75E466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185</w:t>
            </w:r>
          </w:p>
        </w:tc>
        <w:tc>
          <w:tcPr>
            <w:tcW w:w="5377" w:type="dxa"/>
            <w:hideMark/>
          </w:tcPr>
          <w:p w14:paraId="66BF346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tāngata whaiora have a transition plan on discharge from an inpatient unit</w:t>
            </w:r>
          </w:p>
        </w:tc>
      </w:tr>
      <w:tr w:rsidR="00E33090" w:rsidRPr="00E33090" w14:paraId="2FC1D3CB" w14:textId="77777777" w:rsidTr="00476648">
        <w:trPr>
          <w:trHeight w:val="300"/>
        </w:trPr>
        <w:tc>
          <w:tcPr>
            <w:tcW w:w="2694" w:type="dxa"/>
            <w:vMerge/>
            <w:noWrap/>
            <w:hideMark/>
          </w:tcPr>
          <w:p w14:paraId="44025DDC"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9D79777"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198</w:t>
            </w:r>
          </w:p>
        </w:tc>
        <w:tc>
          <w:tcPr>
            <w:tcW w:w="5377" w:type="dxa"/>
            <w:hideMark/>
          </w:tcPr>
          <w:p w14:paraId="4EDA823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and % of tāngata whaiora followed up within 7 days of leaving hospital</w:t>
            </w:r>
          </w:p>
        </w:tc>
      </w:tr>
      <w:tr w:rsidR="00E33090" w:rsidRPr="00E33090" w14:paraId="073053CA" w14:textId="77777777" w:rsidTr="00476648">
        <w:trPr>
          <w:trHeight w:val="300"/>
        </w:trPr>
        <w:tc>
          <w:tcPr>
            <w:tcW w:w="2694" w:type="dxa"/>
            <w:vMerge/>
            <w:noWrap/>
            <w:hideMark/>
          </w:tcPr>
          <w:p w14:paraId="66D918A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193EFA6"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202</w:t>
            </w:r>
          </w:p>
        </w:tc>
        <w:tc>
          <w:tcPr>
            <w:tcW w:w="5377" w:type="dxa"/>
            <w:hideMark/>
          </w:tcPr>
          <w:p w14:paraId="135D8E7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places for Māori and Pacific cultural competence training each year</w:t>
            </w:r>
          </w:p>
        </w:tc>
      </w:tr>
      <w:tr w:rsidR="00E33090" w:rsidRPr="00E33090" w14:paraId="0A5263A5" w14:textId="77777777" w:rsidTr="00476648">
        <w:trPr>
          <w:trHeight w:val="300"/>
        </w:trPr>
        <w:tc>
          <w:tcPr>
            <w:tcW w:w="2694" w:type="dxa"/>
            <w:vMerge/>
            <w:noWrap/>
            <w:hideMark/>
          </w:tcPr>
          <w:p w14:paraId="1A2288FA"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9ED918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203</w:t>
            </w:r>
          </w:p>
        </w:tc>
        <w:tc>
          <w:tcPr>
            <w:tcW w:w="5377" w:type="dxa"/>
            <w:hideMark/>
          </w:tcPr>
          <w:p w14:paraId="69F5809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scholarships/bursaries each year and total $ value for Māori students pursuing a career in MHA</w:t>
            </w:r>
          </w:p>
        </w:tc>
      </w:tr>
      <w:tr w:rsidR="00E33090" w:rsidRPr="00E33090" w14:paraId="4DF5E069" w14:textId="77777777" w:rsidTr="00476648">
        <w:trPr>
          <w:trHeight w:val="300"/>
        </w:trPr>
        <w:tc>
          <w:tcPr>
            <w:tcW w:w="2694" w:type="dxa"/>
            <w:vMerge/>
            <w:noWrap/>
            <w:hideMark/>
          </w:tcPr>
          <w:p w14:paraId="4E5CE90E"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D65984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204</w:t>
            </w:r>
          </w:p>
        </w:tc>
        <w:tc>
          <w:tcPr>
            <w:tcW w:w="5377" w:type="dxa"/>
            <w:hideMark/>
          </w:tcPr>
          <w:p w14:paraId="1D909020"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scholarships/bursaries each year and total $ value for Pacific students pursuing a career in MHA</w:t>
            </w:r>
          </w:p>
        </w:tc>
      </w:tr>
      <w:tr w:rsidR="00E33090" w:rsidRPr="00E33090" w14:paraId="3FF62777" w14:textId="77777777" w:rsidTr="00476648">
        <w:trPr>
          <w:trHeight w:val="300"/>
        </w:trPr>
        <w:tc>
          <w:tcPr>
            <w:tcW w:w="2694" w:type="dxa"/>
            <w:vMerge/>
            <w:noWrap/>
            <w:hideMark/>
          </w:tcPr>
          <w:p w14:paraId="0DA9E70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A10F5F2"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208</w:t>
            </w:r>
          </w:p>
        </w:tc>
        <w:tc>
          <w:tcPr>
            <w:tcW w:w="5377" w:type="dxa"/>
            <w:hideMark/>
          </w:tcPr>
          <w:p w14:paraId="07B82F2B" w14:textId="7816AC2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w:t>
            </w:r>
            <w:r w:rsidR="004F70C4">
              <w:rPr>
                <w:rFonts w:ascii="Calibri" w:eastAsia="Times New Roman" w:hAnsi="Calibri" w:cs="Calibri"/>
                <w:color w:val="000000"/>
                <w:sz w:val="22"/>
                <w:lang w:eastAsia="en-NZ"/>
              </w:rPr>
              <w:t>A</w:t>
            </w:r>
            <w:r w:rsidRPr="00E33090">
              <w:rPr>
                <w:rFonts w:ascii="Calibri" w:eastAsia="Times New Roman" w:hAnsi="Calibri" w:cs="Calibri"/>
                <w:color w:val="000000"/>
                <w:sz w:val="22"/>
                <w:lang w:eastAsia="en-NZ"/>
              </w:rPr>
              <w:t xml:space="preserve"> measure from Te Pou NGO survey </w:t>
            </w:r>
            <w:r w:rsidR="00C30AEC" w:rsidRPr="00E33090">
              <w:rPr>
                <w:rFonts w:ascii="Calibri" w:eastAsia="Times New Roman" w:hAnsi="Calibri" w:cs="Calibri"/>
                <w:color w:val="000000"/>
                <w:sz w:val="22"/>
                <w:lang w:eastAsia="en-NZ"/>
              </w:rPr>
              <w:t>re</w:t>
            </w:r>
            <w:r w:rsidR="004F70C4">
              <w:rPr>
                <w:rFonts w:ascii="Calibri" w:eastAsia="Times New Roman" w:hAnsi="Calibri" w:cs="Calibri"/>
                <w:color w:val="000000"/>
                <w:sz w:val="22"/>
                <w:lang w:eastAsia="en-NZ"/>
              </w:rPr>
              <w:t>lating to</w:t>
            </w:r>
            <w:r w:rsidRPr="00E33090">
              <w:rPr>
                <w:rFonts w:ascii="Calibri" w:eastAsia="Times New Roman" w:hAnsi="Calibri" w:cs="Calibri"/>
                <w:color w:val="000000"/>
                <w:sz w:val="22"/>
                <w:lang w:eastAsia="en-NZ"/>
              </w:rPr>
              <w:t xml:space="preserve"> cultural roles in </w:t>
            </w:r>
            <w:r w:rsidR="004F70C4">
              <w:rPr>
                <w:rFonts w:ascii="Calibri" w:eastAsia="Times New Roman" w:hAnsi="Calibri" w:cs="Calibri"/>
                <w:color w:val="000000"/>
                <w:sz w:val="22"/>
                <w:lang w:eastAsia="en-NZ"/>
              </w:rPr>
              <w:t xml:space="preserve">MHA </w:t>
            </w:r>
            <w:r w:rsidRPr="00E33090">
              <w:rPr>
                <w:rFonts w:ascii="Calibri" w:eastAsia="Times New Roman" w:hAnsi="Calibri" w:cs="Calibri"/>
                <w:color w:val="000000"/>
                <w:sz w:val="22"/>
                <w:lang w:eastAsia="en-NZ"/>
              </w:rPr>
              <w:t>workforce</w:t>
            </w:r>
            <w:r w:rsidR="004F70C4">
              <w:rPr>
                <w:rFonts w:ascii="Calibri" w:eastAsia="Times New Roman" w:hAnsi="Calibri" w:cs="Calibri"/>
                <w:color w:val="000000"/>
                <w:sz w:val="22"/>
                <w:lang w:eastAsia="en-NZ"/>
              </w:rPr>
              <w:t xml:space="preserve"> to be developed</w:t>
            </w:r>
            <w:r w:rsidRPr="00E33090">
              <w:rPr>
                <w:rFonts w:ascii="Calibri" w:eastAsia="Times New Roman" w:hAnsi="Calibri" w:cs="Calibri"/>
                <w:color w:val="000000"/>
                <w:sz w:val="22"/>
                <w:lang w:eastAsia="en-NZ"/>
              </w:rPr>
              <w:t>]</w:t>
            </w:r>
          </w:p>
        </w:tc>
      </w:tr>
      <w:tr w:rsidR="00E33090" w:rsidRPr="00E33090" w14:paraId="16D03AFF" w14:textId="77777777" w:rsidTr="00476648">
        <w:trPr>
          <w:trHeight w:val="300"/>
        </w:trPr>
        <w:tc>
          <w:tcPr>
            <w:tcW w:w="2694" w:type="dxa"/>
            <w:vMerge/>
            <w:noWrap/>
            <w:hideMark/>
          </w:tcPr>
          <w:p w14:paraId="0C2839C7"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E3D4F12"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602</w:t>
            </w:r>
          </w:p>
        </w:tc>
        <w:tc>
          <w:tcPr>
            <w:tcW w:w="5377" w:type="dxa"/>
            <w:hideMark/>
          </w:tcPr>
          <w:p w14:paraId="110F663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treatment days involving family and whānau provided by services</w:t>
            </w:r>
          </w:p>
        </w:tc>
      </w:tr>
      <w:tr w:rsidR="00E33090" w:rsidRPr="00E33090" w14:paraId="479CDB60" w14:textId="77777777" w:rsidTr="00476648">
        <w:trPr>
          <w:trHeight w:val="300"/>
        </w:trPr>
        <w:tc>
          <w:tcPr>
            <w:tcW w:w="2694" w:type="dxa"/>
            <w:vMerge w:val="restart"/>
            <w:noWrap/>
            <w:hideMark/>
          </w:tcPr>
          <w:p w14:paraId="78A0F36A"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Effectiveness</w:t>
            </w:r>
          </w:p>
        </w:tc>
        <w:tc>
          <w:tcPr>
            <w:tcW w:w="860" w:type="dxa"/>
            <w:noWrap/>
            <w:hideMark/>
          </w:tcPr>
          <w:p w14:paraId="51A72D3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16</w:t>
            </w:r>
          </w:p>
        </w:tc>
        <w:tc>
          <w:tcPr>
            <w:tcW w:w="5377" w:type="dxa"/>
            <w:hideMark/>
          </w:tcPr>
          <w:p w14:paraId="157F16D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total mental health workforce accounted for by the mental health peer workforce</w:t>
            </w:r>
          </w:p>
        </w:tc>
      </w:tr>
      <w:tr w:rsidR="00E33090" w:rsidRPr="00E33090" w14:paraId="6192E2E6" w14:textId="77777777" w:rsidTr="00476648">
        <w:trPr>
          <w:trHeight w:val="300"/>
        </w:trPr>
        <w:tc>
          <w:tcPr>
            <w:tcW w:w="2694" w:type="dxa"/>
            <w:vMerge/>
            <w:noWrap/>
            <w:hideMark/>
          </w:tcPr>
          <w:p w14:paraId="6B75C10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F7B31D7"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155</w:t>
            </w:r>
          </w:p>
        </w:tc>
        <w:tc>
          <w:tcPr>
            <w:tcW w:w="5377" w:type="dxa"/>
            <w:hideMark/>
          </w:tcPr>
          <w:p w14:paraId="5433C82A"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Access &amp; choice programme (service type, workforce development and enabler) - Summary level funding measure</w:t>
            </w:r>
          </w:p>
        </w:tc>
      </w:tr>
      <w:tr w:rsidR="00E33090" w:rsidRPr="00E33090" w14:paraId="0D1E3EED" w14:textId="77777777" w:rsidTr="00476648">
        <w:trPr>
          <w:trHeight w:val="300"/>
        </w:trPr>
        <w:tc>
          <w:tcPr>
            <w:tcW w:w="2694" w:type="dxa"/>
            <w:vMerge/>
            <w:noWrap/>
            <w:hideMark/>
          </w:tcPr>
          <w:p w14:paraId="303468B0"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5A0F017"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157</w:t>
            </w:r>
          </w:p>
        </w:tc>
        <w:tc>
          <w:tcPr>
            <w:tcW w:w="5377" w:type="dxa"/>
            <w:hideMark/>
          </w:tcPr>
          <w:p w14:paraId="6A279F7C"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committed &amp; funding allocated for IPMHA, Kaupapa Māori, Pacific, Youth services</w:t>
            </w:r>
          </w:p>
        </w:tc>
      </w:tr>
      <w:tr w:rsidR="00E33090" w:rsidRPr="00E33090" w14:paraId="6FBE51E0" w14:textId="77777777" w:rsidTr="00476648">
        <w:trPr>
          <w:trHeight w:val="300"/>
        </w:trPr>
        <w:tc>
          <w:tcPr>
            <w:tcW w:w="2694" w:type="dxa"/>
            <w:vMerge/>
            <w:noWrap/>
            <w:hideMark/>
          </w:tcPr>
          <w:p w14:paraId="08974815"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EB5105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160</w:t>
            </w:r>
          </w:p>
        </w:tc>
        <w:tc>
          <w:tcPr>
            <w:tcW w:w="5377" w:type="dxa"/>
            <w:hideMark/>
          </w:tcPr>
          <w:p w14:paraId="733FC039"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Investment in workforce development</w:t>
            </w:r>
          </w:p>
        </w:tc>
      </w:tr>
      <w:tr w:rsidR="00E33090" w:rsidRPr="00E33090" w14:paraId="61A1731A" w14:textId="77777777" w:rsidTr="00476648">
        <w:trPr>
          <w:trHeight w:val="300"/>
        </w:trPr>
        <w:tc>
          <w:tcPr>
            <w:tcW w:w="2694" w:type="dxa"/>
            <w:vMerge/>
            <w:noWrap/>
            <w:hideMark/>
          </w:tcPr>
          <w:p w14:paraId="0FF6DABA"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C31BCF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228</w:t>
            </w:r>
          </w:p>
        </w:tc>
        <w:tc>
          <w:tcPr>
            <w:tcW w:w="5377" w:type="dxa"/>
            <w:hideMark/>
          </w:tcPr>
          <w:p w14:paraId="6B2ABCF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NGO MHA service funding from charity and fundraising</w:t>
            </w:r>
          </w:p>
        </w:tc>
      </w:tr>
      <w:tr w:rsidR="00E33090" w:rsidRPr="00E33090" w14:paraId="03D7EF11" w14:textId="77777777" w:rsidTr="00476648">
        <w:trPr>
          <w:trHeight w:val="300"/>
        </w:trPr>
        <w:tc>
          <w:tcPr>
            <w:tcW w:w="2694" w:type="dxa"/>
            <w:vMerge/>
            <w:noWrap/>
            <w:hideMark/>
          </w:tcPr>
          <w:p w14:paraId="16E6058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16E611D"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273</w:t>
            </w:r>
          </w:p>
        </w:tc>
        <w:tc>
          <w:tcPr>
            <w:tcW w:w="5377" w:type="dxa"/>
            <w:hideMark/>
          </w:tcPr>
          <w:p w14:paraId="529045F0"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treatment days provided by services to support family and whānau, including children</w:t>
            </w:r>
          </w:p>
        </w:tc>
      </w:tr>
      <w:tr w:rsidR="00E33090" w:rsidRPr="00E33090" w14:paraId="137E9306" w14:textId="77777777" w:rsidTr="00476648">
        <w:trPr>
          <w:trHeight w:val="300"/>
        </w:trPr>
        <w:tc>
          <w:tcPr>
            <w:tcW w:w="2694" w:type="dxa"/>
            <w:vMerge/>
            <w:noWrap/>
            <w:hideMark/>
          </w:tcPr>
          <w:p w14:paraId="76492858"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F9DA10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274</w:t>
            </w:r>
          </w:p>
        </w:tc>
        <w:tc>
          <w:tcPr>
            <w:tcW w:w="5377" w:type="dxa"/>
            <w:hideMark/>
          </w:tcPr>
          <w:p w14:paraId="0D3709C5"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treatment days provided to support tāngata whaiora in their role as parents or caregivers</w:t>
            </w:r>
          </w:p>
        </w:tc>
      </w:tr>
      <w:tr w:rsidR="00E33090" w:rsidRPr="00E33090" w14:paraId="62A050E1" w14:textId="77777777" w:rsidTr="00476648">
        <w:trPr>
          <w:trHeight w:val="300"/>
        </w:trPr>
        <w:tc>
          <w:tcPr>
            <w:tcW w:w="2694" w:type="dxa"/>
            <w:vMerge/>
            <w:noWrap/>
            <w:hideMark/>
          </w:tcPr>
          <w:p w14:paraId="656C73E5"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CA702A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410</w:t>
            </w:r>
          </w:p>
        </w:tc>
        <w:tc>
          <w:tcPr>
            <w:tcW w:w="5377" w:type="dxa"/>
            <w:hideMark/>
          </w:tcPr>
          <w:p w14:paraId="7E1E11D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70C0"/>
                <w:sz w:val="22"/>
                <w:lang w:eastAsia="en-NZ"/>
              </w:rPr>
              <w:t>% of tāngata whaiora and their whānau who report they would recommend the service to friends or family if they needed similar care or treatment</w:t>
            </w:r>
          </w:p>
        </w:tc>
      </w:tr>
      <w:tr w:rsidR="00E33090" w:rsidRPr="00E33090" w14:paraId="528B4C5C" w14:textId="77777777" w:rsidTr="00476648">
        <w:trPr>
          <w:trHeight w:val="300"/>
        </w:trPr>
        <w:tc>
          <w:tcPr>
            <w:tcW w:w="2694" w:type="dxa"/>
            <w:vMerge/>
            <w:noWrap/>
            <w:hideMark/>
          </w:tcPr>
          <w:p w14:paraId="647EC30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E0C5587"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415</w:t>
            </w:r>
          </w:p>
        </w:tc>
        <w:tc>
          <w:tcPr>
            <w:tcW w:w="5377" w:type="dxa"/>
            <w:hideMark/>
          </w:tcPr>
          <w:p w14:paraId="6A3A1D8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70C0"/>
                <w:sz w:val="22"/>
                <w:lang w:eastAsia="en-NZ"/>
              </w:rPr>
              <w:t>Average self-rated increase in tāngata whaiora satisfaction towards achieving recovery goals (addiction services)</w:t>
            </w:r>
          </w:p>
        </w:tc>
      </w:tr>
      <w:tr w:rsidR="00E33090" w:rsidRPr="00E33090" w14:paraId="4F8EBD06" w14:textId="77777777" w:rsidTr="00476648">
        <w:trPr>
          <w:trHeight w:val="300"/>
        </w:trPr>
        <w:tc>
          <w:tcPr>
            <w:tcW w:w="2694" w:type="dxa"/>
            <w:vMerge/>
            <w:noWrap/>
            <w:hideMark/>
          </w:tcPr>
          <w:p w14:paraId="435F5447"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B31046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529</w:t>
            </w:r>
          </w:p>
        </w:tc>
        <w:tc>
          <w:tcPr>
            <w:tcW w:w="5377" w:type="dxa"/>
            <w:hideMark/>
          </w:tcPr>
          <w:p w14:paraId="6282D0BD" w14:textId="77777777" w:rsidR="00E33090" w:rsidRPr="00E33090" w:rsidRDefault="00E33090" w:rsidP="00E33090">
            <w:pPr>
              <w:spacing w:line="240" w:lineRule="auto"/>
              <w:rPr>
                <w:rFonts w:ascii="Calibri" w:eastAsia="Times New Roman" w:hAnsi="Calibri" w:cs="Calibri"/>
                <w:color w:val="0070C0"/>
                <w:sz w:val="22"/>
                <w:lang w:eastAsia="en-NZ"/>
              </w:rPr>
            </w:pPr>
            <w:r w:rsidRPr="00E33090">
              <w:rPr>
                <w:rFonts w:ascii="Calibri" w:eastAsia="Times New Roman" w:hAnsi="Calibri" w:cs="Calibri"/>
                <w:color w:val="0070C0"/>
                <w:sz w:val="22"/>
                <w:lang w:eastAsia="en-NZ"/>
              </w:rPr>
              <w:t>% of tāngata whaiora with a supplementary consumer record who are in PT/FT employment or in education or in training</w:t>
            </w:r>
          </w:p>
        </w:tc>
      </w:tr>
      <w:tr w:rsidR="00E33090" w:rsidRPr="00E33090" w14:paraId="70BA4BD9" w14:textId="77777777" w:rsidTr="00476648">
        <w:trPr>
          <w:trHeight w:val="300"/>
        </w:trPr>
        <w:tc>
          <w:tcPr>
            <w:tcW w:w="2694" w:type="dxa"/>
            <w:vMerge/>
            <w:noWrap/>
            <w:hideMark/>
          </w:tcPr>
          <w:p w14:paraId="557DF29C"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BD11B8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539</w:t>
            </w:r>
          </w:p>
        </w:tc>
        <w:tc>
          <w:tcPr>
            <w:tcW w:w="5377" w:type="dxa"/>
            <w:hideMark/>
          </w:tcPr>
          <w:p w14:paraId="001996C9" w14:textId="77777777" w:rsidR="00E33090" w:rsidRPr="00E33090" w:rsidRDefault="00E33090" w:rsidP="00E33090">
            <w:pPr>
              <w:spacing w:line="240" w:lineRule="auto"/>
              <w:rPr>
                <w:rFonts w:ascii="Calibri" w:eastAsia="Times New Roman" w:hAnsi="Calibri" w:cs="Calibri"/>
                <w:color w:val="0070C0"/>
                <w:sz w:val="22"/>
                <w:lang w:eastAsia="en-NZ"/>
              </w:rPr>
            </w:pPr>
            <w:r w:rsidRPr="00E33090">
              <w:rPr>
                <w:rFonts w:ascii="Calibri" w:eastAsia="Times New Roman" w:hAnsi="Calibri" w:cs="Calibri"/>
                <w:color w:val="0070C0"/>
                <w:sz w:val="22"/>
                <w:lang w:eastAsia="en-NZ"/>
              </w:rPr>
              <w:t>% of tāngata whaiora (with a supplementary consumer record) who have independent / supported / no accommodation</w:t>
            </w:r>
          </w:p>
        </w:tc>
      </w:tr>
      <w:tr w:rsidR="00E33090" w:rsidRPr="00E33090" w14:paraId="585D2FB0" w14:textId="77777777" w:rsidTr="00476648">
        <w:trPr>
          <w:trHeight w:val="300"/>
        </w:trPr>
        <w:tc>
          <w:tcPr>
            <w:tcW w:w="2694" w:type="dxa"/>
            <w:vMerge w:val="restart"/>
            <w:noWrap/>
            <w:hideMark/>
          </w:tcPr>
          <w:p w14:paraId="3A3EEC28"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Equity</w:t>
            </w:r>
          </w:p>
        </w:tc>
        <w:tc>
          <w:tcPr>
            <w:tcW w:w="860" w:type="dxa"/>
            <w:noWrap/>
            <w:hideMark/>
          </w:tcPr>
          <w:p w14:paraId="1AF681B7"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576</w:t>
            </w:r>
          </w:p>
        </w:tc>
        <w:tc>
          <w:tcPr>
            <w:tcW w:w="5377" w:type="dxa"/>
            <w:hideMark/>
          </w:tcPr>
          <w:p w14:paraId="7DDB126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xml:space="preserve">% of Māori and other under-represented groups in the regulated and unregulated (MHA) health workforce, compared with % of the total population </w:t>
            </w:r>
          </w:p>
        </w:tc>
      </w:tr>
      <w:tr w:rsidR="00E33090" w:rsidRPr="00E33090" w14:paraId="0C347859" w14:textId="77777777" w:rsidTr="00476648">
        <w:trPr>
          <w:trHeight w:val="300"/>
        </w:trPr>
        <w:tc>
          <w:tcPr>
            <w:tcW w:w="2694" w:type="dxa"/>
            <w:vMerge/>
            <w:noWrap/>
            <w:hideMark/>
          </w:tcPr>
          <w:p w14:paraId="0A442E6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4B4013F"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577</w:t>
            </w:r>
          </w:p>
        </w:tc>
        <w:tc>
          <w:tcPr>
            <w:tcW w:w="5377" w:type="dxa"/>
            <w:hideMark/>
          </w:tcPr>
          <w:p w14:paraId="38A0CF10"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NGO MHA services actively developing lived experience/Māori cultural/Pacific cultural roles</w:t>
            </w:r>
          </w:p>
        </w:tc>
      </w:tr>
      <w:tr w:rsidR="00E33090" w:rsidRPr="00E33090" w14:paraId="00FA9A81" w14:textId="77777777" w:rsidTr="00476648">
        <w:trPr>
          <w:trHeight w:val="300"/>
        </w:trPr>
        <w:tc>
          <w:tcPr>
            <w:tcW w:w="2694" w:type="dxa"/>
            <w:vMerge/>
            <w:noWrap/>
            <w:hideMark/>
          </w:tcPr>
          <w:p w14:paraId="2E284CB0"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B12C04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583</w:t>
            </w:r>
          </w:p>
        </w:tc>
        <w:tc>
          <w:tcPr>
            <w:tcW w:w="5377" w:type="dxa"/>
            <w:hideMark/>
          </w:tcPr>
          <w:p w14:paraId="79670A1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Māori ICAMH/AOD workforce by occupation</w:t>
            </w:r>
          </w:p>
        </w:tc>
      </w:tr>
      <w:tr w:rsidR="00E33090" w:rsidRPr="00E33090" w14:paraId="6ADCDFB0" w14:textId="77777777" w:rsidTr="00476648">
        <w:trPr>
          <w:trHeight w:val="300"/>
        </w:trPr>
        <w:tc>
          <w:tcPr>
            <w:tcW w:w="2694" w:type="dxa"/>
            <w:vMerge/>
            <w:noWrap/>
            <w:hideMark/>
          </w:tcPr>
          <w:p w14:paraId="64CC3400"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8F3DF6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584</w:t>
            </w:r>
          </w:p>
        </w:tc>
        <w:tc>
          <w:tcPr>
            <w:tcW w:w="5377" w:type="dxa"/>
            <w:hideMark/>
          </w:tcPr>
          <w:p w14:paraId="0ECD08F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Māori, Pacific, Asian population service user &amp; workforce comparisons</w:t>
            </w:r>
          </w:p>
        </w:tc>
      </w:tr>
      <w:tr w:rsidR="00E33090" w:rsidRPr="00E33090" w14:paraId="620DE09D" w14:textId="77777777" w:rsidTr="00476648">
        <w:trPr>
          <w:trHeight w:val="300"/>
        </w:trPr>
        <w:tc>
          <w:tcPr>
            <w:tcW w:w="2694" w:type="dxa"/>
            <w:vMerge/>
            <w:noWrap/>
            <w:hideMark/>
          </w:tcPr>
          <w:p w14:paraId="26E26E1B"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7A6B91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588</w:t>
            </w:r>
          </w:p>
        </w:tc>
        <w:tc>
          <w:tcPr>
            <w:tcW w:w="5377" w:type="dxa"/>
            <w:hideMark/>
          </w:tcPr>
          <w:p w14:paraId="32181C99" w14:textId="5E0C498D"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70C0"/>
                <w:sz w:val="22"/>
                <w:lang w:eastAsia="en-NZ"/>
              </w:rPr>
              <w:t>People who need mental health services receive them (</w:t>
            </w:r>
            <w:r w:rsidR="009151F4">
              <w:rPr>
                <w:rFonts w:ascii="Calibri" w:eastAsia="Times New Roman" w:hAnsi="Calibri" w:cs="Calibri"/>
                <w:color w:val="0070C0"/>
                <w:sz w:val="22"/>
                <w:lang w:eastAsia="en-NZ"/>
              </w:rPr>
              <w:t>c</w:t>
            </w:r>
            <w:r w:rsidR="00C30AEC" w:rsidRPr="00E33090">
              <w:rPr>
                <w:rFonts w:ascii="Calibri" w:eastAsia="Times New Roman" w:hAnsi="Calibri" w:cs="Calibri"/>
                <w:color w:val="0070C0"/>
                <w:sz w:val="22"/>
                <w:lang w:eastAsia="en-NZ"/>
              </w:rPr>
              <w:t>omparing</w:t>
            </w:r>
            <w:r w:rsidRPr="00E33090">
              <w:rPr>
                <w:rFonts w:ascii="Calibri" w:eastAsia="Times New Roman" w:hAnsi="Calibri" w:cs="Calibri"/>
                <w:color w:val="0070C0"/>
                <w:sz w:val="22"/>
                <w:lang w:eastAsia="en-NZ"/>
              </w:rPr>
              <w:t xml:space="preserve"> service uptake against known estimates of prevalence)</w:t>
            </w:r>
          </w:p>
        </w:tc>
      </w:tr>
      <w:tr w:rsidR="00E33090" w:rsidRPr="00E33090" w14:paraId="462E0679" w14:textId="77777777" w:rsidTr="00476648">
        <w:trPr>
          <w:trHeight w:val="600"/>
        </w:trPr>
        <w:tc>
          <w:tcPr>
            <w:tcW w:w="2694" w:type="dxa"/>
            <w:vMerge/>
            <w:noWrap/>
            <w:hideMark/>
          </w:tcPr>
          <w:p w14:paraId="3A09961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CD0B9D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922</w:t>
            </w:r>
          </w:p>
        </w:tc>
        <w:tc>
          <w:tcPr>
            <w:tcW w:w="5377" w:type="dxa"/>
            <w:hideMark/>
          </w:tcPr>
          <w:p w14:paraId="0E755441" w14:textId="15792FD9"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[Training data – workforce participating in training by Le Va re working with Pacific people, Te Rau Ora / Te Kete Pounamu re working with Māori, Te Pou re working with people with addiction, Whāraurau re working with young people, disability focussed training e.g.</w:t>
            </w:r>
            <w:r w:rsidR="0058385A">
              <w:rPr>
                <w:rFonts w:ascii="Calibri" w:eastAsia="Times New Roman" w:hAnsi="Calibri" w:cs="Calibri"/>
                <w:color w:val="000000"/>
                <w:sz w:val="22"/>
                <w:lang w:eastAsia="en-NZ"/>
              </w:rPr>
              <w:t>,</w:t>
            </w:r>
            <w:r w:rsidRPr="00E33090">
              <w:rPr>
                <w:rFonts w:ascii="Calibri" w:eastAsia="Times New Roman" w:hAnsi="Calibri" w:cs="Calibri"/>
                <w:color w:val="000000"/>
                <w:sz w:val="22"/>
                <w:lang w:eastAsia="en-NZ"/>
              </w:rPr>
              <w:t xml:space="preserve"> kia noho Rangatira ai tatou, InsideOUT rainbow competency training for mental health staff, possibly use rainbow tick accreditation]</w:t>
            </w:r>
          </w:p>
        </w:tc>
      </w:tr>
      <w:tr w:rsidR="00E33090" w:rsidRPr="00E33090" w14:paraId="0D79CB7C" w14:textId="77777777" w:rsidTr="00476648">
        <w:trPr>
          <w:trHeight w:val="300"/>
        </w:trPr>
        <w:tc>
          <w:tcPr>
            <w:tcW w:w="2694" w:type="dxa"/>
            <w:vMerge/>
            <w:noWrap/>
            <w:hideMark/>
          </w:tcPr>
          <w:p w14:paraId="1CD4ED92"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FAAAC2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924</w:t>
            </w:r>
          </w:p>
        </w:tc>
        <w:tc>
          <w:tcPr>
            <w:tcW w:w="5377" w:type="dxa"/>
            <w:hideMark/>
          </w:tcPr>
          <w:p w14:paraId="419BB4F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[Funding for by-Māori-for-Māori services]</w:t>
            </w:r>
          </w:p>
        </w:tc>
      </w:tr>
      <w:tr w:rsidR="00E33090" w:rsidRPr="00E33090" w14:paraId="0D61FC9F" w14:textId="77777777" w:rsidTr="00476648">
        <w:trPr>
          <w:trHeight w:val="300"/>
        </w:trPr>
        <w:tc>
          <w:tcPr>
            <w:tcW w:w="2694" w:type="dxa"/>
            <w:vMerge w:val="restart"/>
            <w:noWrap/>
            <w:hideMark/>
          </w:tcPr>
          <w:p w14:paraId="11ACEED3"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Participation &amp; leadership</w:t>
            </w:r>
          </w:p>
        </w:tc>
        <w:tc>
          <w:tcPr>
            <w:tcW w:w="860" w:type="dxa"/>
            <w:noWrap/>
            <w:hideMark/>
          </w:tcPr>
          <w:p w14:paraId="3252D3E5"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604</w:t>
            </w:r>
          </w:p>
        </w:tc>
        <w:tc>
          <w:tcPr>
            <w:tcW w:w="5377" w:type="dxa"/>
            <w:hideMark/>
          </w:tcPr>
          <w:p w14:paraId="2E97B75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tāngata whaiora and whānau who report that their plan is reviewed regularly</w:t>
            </w:r>
          </w:p>
        </w:tc>
      </w:tr>
      <w:tr w:rsidR="00E33090" w:rsidRPr="00E33090" w14:paraId="6C0C4C56" w14:textId="77777777" w:rsidTr="00476648">
        <w:trPr>
          <w:trHeight w:val="300"/>
        </w:trPr>
        <w:tc>
          <w:tcPr>
            <w:tcW w:w="2694" w:type="dxa"/>
            <w:vMerge/>
            <w:noWrap/>
            <w:hideMark/>
          </w:tcPr>
          <w:p w14:paraId="41B30D92"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D1C7FDF"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605</w:t>
            </w:r>
          </w:p>
        </w:tc>
        <w:tc>
          <w:tcPr>
            <w:tcW w:w="5377" w:type="dxa"/>
            <w:hideMark/>
          </w:tcPr>
          <w:p w14:paraId="196252B9"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tāngata whaiora and whānau who report they feel involved in decisions about their care</w:t>
            </w:r>
          </w:p>
        </w:tc>
      </w:tr>
      <w:tr w:rsidR="00E33090" w:rsidRPr="00E33090" w14:paraId="3582F142" w14:textId="77777777" w:rsidTr="00476648">
        <w:trPr>
          <w:trHeight w:val="300"/>
        </w:trPr>
        <w:tc>
          <w:tcPr>
            <w:tcW w:w="2694" w:type="dxa"/>
            <w:vMerge/>
            <w:noWrap/>
            <w:hideMark/>
          </w:tcPr>
          <w:p w14:paraId="64D939C0"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C896F7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616</w:t>
            </w:r>
          </w:p>
        </w:tc>
        <w:tc>
          <w:tcPr>
            <w:tcW w:w="5377" w:type="dxa"/>
            <w:hideMark/>
          </w:tcPr>
          <w:p w14:paraId="3F86E81A"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with/without self-reported long term MHA condition reporting whether in the last 12 months, they were involved as much as they wanted to be in decisions about the best medicine(s) for them</w:t>
            </w:r>
          </w:p>
        </w:tc>
      </w:tr>
      <w:tr w:rsidR="00E33090" w:rsidRPr="00E33090" w14:paraId="6676E2FB" w14:textId="77777777" w:rsidTr="00476648">
        <w:trPr>
          <w:trHeight w:val="300"/>
        </w:trPr>
        <w:tc>
          <w:tcPr>
            <w:tcW w:w="2694" w:type="dxa"/>
            <w:vMerge/>
            <w:noWrap/>
            <w:hideMark/>
          </w:tcPr>
          <w:p w14:paraId="4DAF8E56"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2F44C7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734</w:t>
            </w:r>
          </w:p>
        </w:tc>
        <w:tc>
          <w:tcPr>
            <w:tcW w:w="5377" w:type="dxa"/>
            <w:hideMark/>
          </w:tcPr>
          <w:p w14:paraId="512729A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about mental health and addiction services that include issues with communication</w:t>
            </w:r>
          </w:p>
        </w:tc>
      </w:tr>
      <w:tr w:rsidR="00E33090" w:rsidRPr="00E33090" w14:paraId="660171C9" w14:textId="77777777" w:rsidTr="00476648">
        <w:trPr>
          <w:trHeight w:val="300"/>
        </w:trPr>
        <w:tc>
          <w:tcPr>
            <w:tcW w:w="2694" w:type="dxa"/>
            <w:vMerge/>
            <w:noWrap/>
            <w:hideMark/>
          </w:tcPr>
          <w:p w14:paraId="550F8D5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0AF4BC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735</w:t>
            </w:r>
          </w:p>
        </w:tc>
        <w:tc>
          <w:tcPr>
            <w:tcW w:w="5377" w:type="dxa"/>
            <w:hideMark/>
          </w:tcPr>
          <w:p w14:paraId="6FFA079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complaints about mental health and addiction services were about inadequate or inappropriate care</w:t>
            </w:r>
          </w:p>
        </w:tc>
      </w:tr>
      <w:tr w:rsidR="00E33090" w:rsidRPr="00E33090" w14:paraId="1C7EE100" w14:textId="77777777" w:rsidTr="00476648">
        <w:trPr>
          <w:trHeight w:val="300"/>
        </w:trPr>
        <w:tc>
          <w:tcPr>
            <w:tcW w:w="2694" w:type="dxa"/>
            <w:vMerge/>
            <w:noWrap/>
            <w:hideMark/>
          </w:tcPr>
          <w:p w14:paraId="527BCB55"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23461B4"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836</w:t>
            </w:r>
          </w:p>
        </w:tc>
        <w:tc>
          <w:tcPr>
            <w:tcW w:w="5377" w:type="dxa"/>
            <w:hideMark/>
          </w:tcPr>
          <w:p w14:paraId="5E9530D2"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did not attend community MHA services</w:t>
            </w:r>
          </w:p>
        </w:tc>
      </w:tr>
      <w:tr w:rsidR="00E33090" w:rsidRPr="00E33090" w14:paraId="2D479703" w14:textId="77777777" w:rsidTr="00476648">
        <w:trPr>
          <w:trHeight w:val="300"/>
        </w:trPr>
        <w:tc>
          <w:tcPr>
            <w:tcW w:w="2694" w:type="dxa"/>
            <w:vMerge w:val="restart"/>
            <w:noWrap/>
            <w:hideMark/>
          </w:tcPr>
          <w:p w14:paraId="3F9EC0BD" w14:textId="77777777" w:rsidR="00E33090" w:rsidRPr="00E33090" w:rsidRDefault="00E33090" w:rsidP="00E33090">
            <w:pPr>
              <w:spacing w:line="240" w:lineRule="auto"/>
              <w:rPr>
                <w:rFonts w:ascii="Calibri" w:eastAsia="Times New Roman" w:hAnsi="Calibri" w:cs="Calibri"/>
                <w:b/>
                <w:bCs/>
                <w:color w:val="000000"/>
                <w:sz w:val="22"/>
                <w:lang w:eastAsia="en-NZ"/>
              </w:rPr>
            </w:pPr>
            <w:r w:rsidRPr="00E33090">
              <w:rPr>
                <w:rFonts w:ascii="Calibri" w:eastAsia="Times New Roman" w:hAnsi="Calibri" w:cs="Calibri"/>
                <w:b/>
                <w:bCs/>
                <w:color w:val="000000"/>
                <w:sz w:val="22"/>
                <w:lang w:eastAsia="en-NZ"/>
              </w:rPr>
              <w:t>Safety &amp; rights</w:t>
            </w:r>
          </w:p>
        </w:tc>
        <w:tc>
          <w:tcPr>
            <w:tcW w:w="860" w:type="dxa"/>
            <w:noWrap/>
            <w:hideMark/>
          </w:tcPr>
          <w:p w14:paraId="4854E1C9"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118</w:t>
            </w:r>
          </w:p>
        </w:tc>
        <w:tc>
          <w:tcPr>
            <w:tcW w:w="5377" w:type="dxa"/>
            <w:hideMark/>
          </w:tcPr>
          <w:p w14:paraId="7B66AEAA"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involuntary discharges from opioid substitution (methadone) treatment [/ total # of people in programme]</w:t>
            </w:r>
          </w:p>
        </w:tc>
      </w:tr>
      <w:tr w:rsidR="00E33090" w:rsidRPr="00E33090" w14:paraId="5D660A82" w14:textId="77777777" w:rsidTr="00476648">
        <w:trPr>
          <w:trHeight w:val="600"/>
        </w:trPr>
        <w:tc>
          <w:tcPr>
            <w:tcW w:w="2694" w:type="dxa"/>
            <w:vMerge/>
            <w:noWrap/>
            <w:hideMark/>
          </w:tcPr>
          <w:p w14:paraId="74FE552B"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C165BAA"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641</w:t>
            </w:r>
          </w:p>
        </w:tc>
        <w:tc>
          <w:tcPr>
            <w:tcW w:w="5377" w:type="dxa"/>
            <w:hideMark/>
          </w:tcPr>
          <w:p w14:paraId="60C76B23"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subject to Mental Health Act (s29) community treatment orders and indefinite community treatment orders (by ethnicity, gender and age groups). Also # of people (by ethnicity, gender and age groups) subject to Mental Health Act (s29) community treatment orders and indefinite community treatment orders per 100,000 population</w:t>
            </w:r>
          </w:p>
        </w:tc>
      </w:tr>
      <w:tr w:rsidR="00E33090" w:rsidRPr="00E33090" w14:paraId="14228ACC" w14:textId="77777777" w:rsidTr="00476648">
        <w:trPr>
          <w:trHeight w:val="300"/>
        </w:trPr>
        <w:tc>
          <w:tcPr>
            <w:tcW w:w="2694" w:type="dxa"/>
            <w:vMerge/>
            <w:noWrap/>
            <w:hideMark/>
          </w:tcPr>
          <w:p w14:paraId="673067B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470744AC"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643</w:t>
            </w:r>
          </w:p>
        </w:tc>
        <w:tc>
          <w:tcPr>
            <w:tcW w:w="5377" w:type="dxa"/>
            <w:hideMark/>
          </w:tcPr>
          <w:p w14:paraId="7CE263F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CTOs made under the Substance Addiction (Compulsory Assessment and Treatment) Act 2017</w:t>
            </w:r>
          </w:p>
        </w:tc>
      </w:tr>
      <w:tr w:rsidR="00E33090" w:rsidRPr="00E33090" w14:paraId="38216C01" w14:textId="77777777" w:rsidTr="00476648">
        <w:trPr>
          <w:trHeight w:val="300"/>
        </w:trPr>
        <w:tc>
          <w:tcPr>
            <w:tcW w:w="2694" w:type="dxa"/>
            <w:vMerge/>
            <w:noWrap/>
            <w:hideMark/>
          </w:tcPr>
          <w:p w14:paraId="2E33137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87EC97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644</w:t>
            </w:r>
          </w:p>
        </w:tc>
        <w:tc>
          <w:tcPr>
            <w:tcW w:w="5377" w:type="dxa"/>
            <w:hideMark/>
          </w:tcPr>
          <w:p w14:paraId="3303E97F"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detained under the Substance Addiction (Compulsory Assessment and Treatment) Act 2017</w:t>
            </w:r>
          </w:p>
        </w:tc>
      </w:tr>
      <w:tr w:rsidR="00E33090" w:rsidRPr="00E33090" w14:paraId="49E9D606" w14:textId="77777777" w:rsidTr="00476648">
        <w:trPr>
          <w:trHeight w:val="300"/>
        </w:trPr>
        <w:tc>
          <w:tcPr>
            <w:tcW w:w="2694" w:type="dxa"/>
            <w:vMerge/>
            <w:noWrap/>
            <w:hideMark/>
          </w:tcPr>
          <w:p w14:paraId="2C4F3087"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505658F"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646</w:t>
            </w:r>
          </w:p>
        </w:tc>
        <w:tc>
          <w:tcPr>
            <w:tcW w:w="5377" w:type="dxa"/>
            <w:hideMark/>
          </w:tcPr>
          <w:p w14:paraId="6B1619D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xml:space="preserve"># of people in inpatient units put in solitary confinement (seclusion) by adult, forensic, intellectual disability and youth services, and region; and rate per 100,000 population disaggregated by ethnicity, gender, age group, inpatient services </w:t>
            </w:r>
          </w:p>
        </w:tc>
      </w:tr>
      <w:tr w:rsidR="00E33090" w:rsidRPr="00E33090" w14:paraId="416E4F75" w14:textId="77777777" w:rsidTr="00476648">
        <w:trPr>
          <w:trHeight w:val="300"/>
        </w:trPr>
        <w:tc>
          <w:tcPr>
            <w:tcW w:w="2694" w:type="dxa"/>
            <w:vMerge/>
            <w:noWrap/>
            <w:hideMark/>
          </w:tcPr>
          <w:p w14:paraId="4CEFF0D6"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BF71D3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648</w:t>
            </w:r>
          </w:p>
        </w:tc>
        <w:tc>
          <w:tcPr>
            <w:tcW w:w="5377" w:type="dxa"/>
            <w:hideMark/>
          </w:tcPr>
          <w:p w14:paraId="422931F5"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times solitary confinement used in inpatient units (people may have more than one solitary confinement event)</w:t>
            </w:r>
          </w:p>
        </w:tc>
      </w:tr>
      <w:tr w:rsidR="00E33090" w:rsidRPr="00E33090" w14:paraId="519147F0" w14:textId="77777777" w:rsidTr="00476648">
        <w:trPr>
          <w:trHeight w:val="300"/>
        </w:trPr>
        <w:tc>
          <w:tcPr>
            <w:tcW w:w="2694" w:type="dxa"/>
            <w:vMerge/>
            <w:noWrap/>
            <w:hideMark/>
          </w:tcPr>
          <w:p w14:paraId="381D4876"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671A9E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651</w:t>
            </w:r>
          </w:p>
        </w:tc>
        <w:tc>
          <w:tcPr>
            <w:tcW w:w="5377" w:type="dxa"/>
            <w:hideMark/>
          </w:tcPr>
          <w:p w14:paraId="618F4D31"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and % of applications for MHA (s29 and s30) compulsory treatment orders or extensions granted or granted with consent, dismissed or struck out</w:t>
            </w:r>
          </w:p>
        </w:tc>
      </w:tr>
      <w:tr w:rsidR="00E33090" w:rsidRPr="00E33090" w14:paraId="2FBBEF20" w14:textId="77777777" w:rsidTr="00476648">
        <w:trPr>
          <w:trHeight w:val="300"/>
        </w:trPr>
        <w:tc>
          <w:tcPr>
            <w:tcW w:w="2694" w:type="dxa"/>
            <w:vMerge/>
            <w:noWrap/>
            <w:hideMark/>
          </w:tcPr>
          <w:p w14:paraId="7F31D6E3"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60DB016"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652</w:t>
            </w:r>
          </w:p>
        </w:tc>
        <w:tc>
          <w:tcPr>
            <w:tcW w:w="5377" w:type="dxa"/>
            <w:hideMark/>
          </w:tcPr>
          <w:p w14:paraId="46290BF1"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solitary confinement events in inpatient units that last less than 24 hours</w:t>
            </w:r>
          </w:p>
        </w:tc>
      </w:tr>
      <w:tr w:rsidR="00E33090" w:rsidRPr="00E33090" w14:paraId="048925A9" w14:textId="77777777" w:rsidTr="00476648">
        <w:trPr>
          <w:trHeight w:val="300"/>
        </w:trPr>
        <w:tc>
          <w:tcPr>
            <w:tcW w:w="2694" w:type="dxa"/>
            <w:vMerge/>
            <w:noWrap/>
            <w:hideMark/>
          </w:tcPr>
          <w:p w14:paraId="153EB600"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1D8C7E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659</w:t>
            </w:r>
          </w:p>
        </w:tc>
        <w:tc>
          <w:tcPr>
            <w:tcW w:w="5377" w:type="dxa"/>
            <w:hideMark/>
          </w:tcPr>
          <w:p w14:paraId="1479178D"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Average # of Mental Health Act (s29) community treatment orders and indefinite community treatment orders on a given day, per 100,000 population</w:t>
            </w:r>
          </w:p>
        </w:tc>
      </w:tr>
      <w:tr w:rsidR="00E33090" w:rsidRPr="00E33090" w14:paraId="48878C42" w14:textId="77777777" w:rsidTr="00476648">
        <w:trPr>
          <w:trHeight w:val="300"/>
        </w:trPr>
        <w:tc>
          <w:tcPr>
            <w:tcW w:w="2694" w:type="dxa"/>
            <w:vMerge/>
            <w:noWrap/>
            <w:hideMark/>
          </w:tcPr>
          <w:p w14:paraId="0A73BA12"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4B606E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660</w:t>
            </w:r>
          </w:p>
        </w:tc>
        <w:tc>
          <w:tcPr>
            <w:tcW w:w="5377" w:type="dxa"/>
            <w:hideMark/>
          </w:tcPr>
          <w:p w14:paraId="26348964"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Average length of detention under the Substance Addiction (Compulsory Assessment and Treatment) Act 2017</w:t>
            </w:r>
          </w:p>
        </w:tc>
      </w:tr>
      <w:tr w:rsidR="00E33090" w:rsidRPr="00E33090" w14:paraId="33962D6F" w14:textId="77777777" w:rsidTr="00476648">
        <w:trPr>
          <w:trHeight w:val="300"/>
        </w:trPr>
        <w:tc>
          <w:tcPr>
            <w:tcW w:w="2694" w:type="dxa"/>
            <w:vMerge/>
            <w:noWrap/>
            <w:hideMark/>
          </w:tcPr>
          <w:p w14:paraId="4934D065"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0A2B831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661</w:t>
            </w:r>
          </w:p>
        </w:tc>
        <w:tc>
          <w:tcPr>
            <w:tcW w:w="5377" w:type="dxa"/>
            <w:hideMark/>
          </w:tcPr>
          <w:p w14:paraId="4250DF60"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Average length of time spent subject to Mental Health Act (s29) community treatment orders and indefinite community treatment orders for Māori, Pacific peoples and people of other ethnicities</w:t>
            </w:r>
          </w:p>
        </w:tc>
      </w:tr>
      <w:tr w:rsidR="00E33090" w:rsidRPr="00E33090" w14:paraId="3A299040" w14:textId="77777777" w:rsidTr="00476648">
        <w:trPr>
          <w:trHeight w:val="300"/>
        </w:trPr>
        <w:tc>
          <w:tcPr>
            <w:tcW w:w="2694" w:type="dxa"/>
            <w:vMerge/>
            <w:noWrap/>
            <w:hideMark/>
          </w:tcPr>
          <w:p w14:paraId="4542C13C"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2CFC00B3"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662</w:t>
            </w:r>
          </w:p>
        </w:tc>
        <w:tc>
          <w:tcPr>
            <w:tcW w:w="5377" w:type="dxa"/>
            <w:hideMark/>
          </w:tcPr>
          <w:p w14:paraId="5AB3AE10"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Average length of time spent subject to MHA (s30) inpatient orders for Māori, Pacific peoples and people of other ethnicities</w:t>
            </w:r>
          </w:p>
        </w:tc>
      </w:tr>
      <w:tr w:rsidR="00E33090" w:rsidRPr="00E33090" w14:paraId="6C754C65" w14:textId="77777777" w:rsidTr="00476648">
        <w:trPr>
          <w:trHeight w:val="300"/>
        </w:trPr>
        <w:tc>
          <w:tcPr>
            <w:tcW w:w="2694" w:type="dxa"/>
            <w:vMerge/>
            <w:noWrap/>
            <w:hideMark/>
          </w:tcPr>
          <w:p w14:paraId="127C0F2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C5F37D8"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664</w:t>
            </w:r>
          </w:p>
        </w:tc>
        <w:tc>
          <w:tcPr>
            <w:tcW w:w="5377" w:type="dxa"/>
            <w:hideMark/>
          </w:tcPr>
          <w:p w14:paraId="2BEE3508"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required to undergo assessment under sections 11, 13 and 14(4) of the Mental Health Act</w:t>
            </w:r>
          </w:p>
        </w:tc>
      </w:tr>
      <w:tr w:rsidR="00E33090" w:rsidRPr="00E33090" w14:paraId="18F4E868" w14:textId="77777777" w:rsidTr="00476648">
        <w:trPr>
          <w:trHeight w:val="600"/>
        </w:trPr>
        <w:tc>
          <w:tcPr>
            <w:tcW w:w="2694" w:type="dxa"/>
            <w:vMerge/>
            <w:noWrap/>
            <w:hideMark/>
          </w:tcPr>
          <w:p w14:paraId="13E228CF"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64454C1"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671</w:t>
            </w:r>
          </w:p>
        </w:tc>
        <w:tc>
          <w:tcPr>
            <w:tcW w:w="5377" w:type="dxa"/>
            <w:hideMark/>
          </w:tcPr>
          <w:p w14:paraId="66745BDC"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xml:space="preserve"># of people subject to MHA (s30) inpatient treatment orders and indefinite inpatient treatment orders by ethnicity, age group and gender; and # of people subject </w:t>
            </w:r>
            <w:r w:rsidRPr="00E33090">
              <w:rPr>
                <w:rFonts w:ascii="Calibri" w:eastAsia="Times New Roman" w:hAnsi="Calibri" w:cs="Calibri"/>
                <w:color w:val="000000"/>
                <w:sz w:val="22"/>
                <w:lang w:eastAsia="en-NZ"/>
              </w:rPr>
              <w:lastRenderedPageBreak/>
              <w:t>to MHA (s30) inpatient treatment orders and indefinite inpatient treatment orders per 100,000 population by ethnicity, age group and gender</w:t>
            </w:r>
          </w:p>
        </w:tc>
      </w:tr>
      <w:tr w:rsidR="00E33090" w:rsidRPr="00E33090" w14:paraId="6D67E5FD" w14:textId="77777777" w:rsidTr="00476648">
        <w:trPr>
          <w:trHeight w:val="300"/>
        </w:trPr>
        <w:tc>
          <w:tcPr>
            <w:tcW w:w="2694" w:type="dxa"/>
            <w:vMerge/>
            <w:noWrap/>
            <w:hideMark/>
          </w:tcPr>
          <w:p w14:paraId="28942DD4"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57AEEC17"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674</w:t>
            </w:r>
          </w:p>
        </w:tc>
        <w:tc>
          <w:tcPr>
            <w:tcW w:w="5377" w:type="dxa"/>
            <w:hideMark/>
          </w:tcPr>
          <w:p w14:paraId="6CA41288"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seclusion events in adult inpatient services per 100,000 population by ethnicity, age group and sex</w:t>
            </w:r>
          </w:p>
        </w:tc>
      </w:tr>
      <w:tr w:rsidR="00E33090" w:rsidRPr="00E33090" w14:paraId="04FC1A64" w14:textId="77777777" w:rsidTr="00476648">
        <w:trPr>
          <w:trHeight w:val="300"/>
        </w:trPr>
        <w:tc>
          <w:tcPr>
            <w:tcW w:w="2694" w:type="dxa"/>
            <w:vMerge/>
            <w:noWrap/>
            <w:hideMark/>
          </w:tcPr>
          <w:p w14:paraId="7C21B0A1"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33821650"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677</w:t>
            </w:r>
          </w:p>
        </w:tc>
        <w:tc>
          <w:tcPr>
            <w:tcW w:w="5377" w:type="dxa"/>
            <w:hideMark/>
          </w:tcPr>
          <w:p w14:paraId="209EBE6D" w14:textId="4AFF75DA" w:rsidR="00E33090" w:rsidRPr="00E33090" w:rsidRDefault="007F0B2A" w:rsidP="00E33090">
            <w:pPr>
              <w:spacing w:line="240" w:lineRule="auto"/>
              <w:rPr>
                <w:rFonts w:ascii="Calibri" w:eastAsia="Times New Roman" w:hAnsi="Calibri" w:cs="Calibri"/>
                <w:color w:val="000000"/>
                <w:sz w:val="22"/>
                <w:lang w:eastAsia="en-NZ"/>
              </w:rPr>
            </w:pPr>
            <w:r>
              <w:rPr>
                <w:rFonts w:ascii="Calibri" w:eastAsia="Times New Roman" w:hAnsi="Calibri" w:cs="Calibri"/>
                <w:color w:val="000000"/>
                <w:sz w:val="22"/>
                <w:lang w:eastAsia="en-NZ"/>
              </w:rPr>
              <w:t>%</w:t>
            </w:r>
            <w:r w:rsidR="00E33090" w:rsidRPr="00E33090">
              <w:rPr>
                <w:rFonts w:ascii="Calibri" w:eastAsia="Times New Roman" w:hAnsi="Calibri" w:cs="Calibri"/>
                <w:color w:val="000000"/>
                <w:sz w:val="22"/>
                <w:lang w:eastAsia="en-NZ"/>
              </w:rPr>
              <w:t xml:space="preserve"> of people with inpatient admissions that spent time in seclusion in adult inpatient services by ethnicity and sex</w:t>
            </w:r>
          </w:p>
        </w:tc>
      </w:tr>
      <w:tr w:rsidR="00E33090" w:rsidRPr="00E33090" w14:paraId="5C035FF8" w14:textId="77777777" w:rsidTr="00476648">
        <w:trPr>
          <w:trHeight w:val="300"/>
        </w:trPr>
        <w:tc>
          <w:tcPr>
            <w:tcW w:w="2694" w:type="dxa"/>
            <w:vMerge/>
            <w:noWrap/>
            <w:hideMark/>
          </w:tcPr>
          <w:p w14:paraId="0092DF49"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D8CAD97"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714</w:t>
            </w:r>
          </w:p>
        </w:tc>
        <w:tc>
          <w:tcPr>
            <w:tcW w:w="5377" w:type="dxa"/>
            <w:hideMark/>
          </w:tcPr>
          <w:p w14:paraId="38EC4AE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serious adverse events (suspected suicide, serious self-harm, and serious adverse behaviour) are reported in mental health and addiction services (DHBs only)</w:t>
            </w:r>
          </w:p>
        </w:tc>
      </w:tr>
      <w:tr w:rsidR="00E33090" w:rsidRPr="00E33090" w14:paraId="3E878C61" w14:textId="77777777" w:rsidTr="00476648">
        <w:trPr>
          <w:trHeight w:val="300"/>
        </w:trPr>
        <w:tc>
          <w:tcPr>
            <w:tcW w:w="2694" w:type="dxa"/>
            <w:vMerge/>
            <w:noWrap/>
            <w:hideMark/>
          </w:tcPr>
          <w:p w14:paraId="053D3482"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8141EE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730</w:t>
            </w:r>
          </w:p>
        </w:tc>
        <w:tc>
          <w:tcPr>
            <w:tcW w:w="5377" w:type="dxa"/>
            <w:hideMark/>
          </w:tcPr>
          <w:p w14:paraId="56F2DFFB"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Vacancy rate in the NGO MHA workforce</w:t>
            </w:r>
          </w:p>
        </w:tc>
      </w:tr>
      <w:tr w:rsidR="00E33090" w:rsidRPr="00E33090" w14:paraId="5AE3306B" w14:textId="77777777" w:rsidTr="00476648">
        <w:trPr>
          <w:trHeight w:val="300"/>
        </w:trPr>
        <w:tc>
          <w:tcPr>
            <w:tcW w:w="2694" w:type="dxa"/>
            <w:vMerge/>
            <w:noWrap/>
            <w:hideMark/>
          </w:tcPr>
          <w:p w14:paraId="252720CD"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69220F8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838</w:t>
            </w:r>
          </w:p>
        </w:tc>
        <w:tc>
          <w:tcPr>
            <w:tcW w:w="5377" w:type="dxa"/>
            <w:hideMark/>
          </w:tcPr>
          <w:p w14:paraId="5ABB34BE"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vacant MHA FTE by role</w:t>
            </w:r>
          </w:p>
        </w:tc>
      </w:tr>
      <w:tr w:rsidR="00E33090" w:rsidRPr="00E33090" w14:paraId="72DB91A5" w14:textId="77777777" w:rsidTr="00476648">
        <w:trPr>
          <w:trHeight w:val="300"/>
        </w:trPr>
        <w:tc>
          <w:tcPr>
            <w:tcW w:w="2694" w:type="dxa"/>
            <w:vMerge/>
            <w:noWrap/>
            <w:hideMark/>
          </w:tcPr>
          <w:p w14:paraId="25F736CC"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17FE047B"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866</w:t>
            </w:r>
          </w:p>
        </w:tc>
        <w:tc>
          <w:tcPr>
            <w:tcW w:w="5377" w:type="dxa"/>
            <w:hideMark/>
          </w:tcPr>
          <w:p w14:paraId="06FEAA65"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people with/without self-reported long term MHA condition reporting whether in the last 12 months, they were involved as much as they wanted to be in decisions about the best medicine(s) for them</w:t>
            </w:r>
          </w:p>
        </w:tc>
      </w:tr>
      <w:tr w:rsidR="00E33090" w:rsidRPr="00E33090" w14:paraId="25736633" w14:textId="77777777" w:rsidTr="00476648">
        <w:trPr>
          <w:trHeight w:val="300"/>
        </w:trPr>
        <w:tc>
          <w:tcPr>
            <w:tcW w:w="2694" w:type="dxa"/>
            <w:vMerge/>
            <w:noWrap/>
            <w:hideMark/>
          </w:tcPr>
          <w:p w14:paraId="08BDC93A" w14:textId="77777777" w:rsidR="00E33090" w:rsidRPr="00E33090" w:rsidRDefault="00E33090" w:rsidP="00E33090">
            <w:pPr>
              <w:spacing w:line="240" w:lineRule="auto"/>
              <w:rPr>
                <w:rFonts w:ascii="Times New Roman" w:eastAsia="Times New Roman" w:hAnsi="Times New Roman" w:cs="Times New Roman"/>
                <w:sz w:val="20"/>
                <w:szCs w:val="20"/>
                <w:lang w:eastAsia="en-NZ"/>
              </w:rPr>
            </w:pPr>
          </w:p>
        </w:tc>
        <w:tc>
          <w:tcPr>
            <w:tcW w:w="860" w:type="dxa"/>
            <w:noWrap/>
            <w:hideMark/>
          </w:tcPr>
          <w:p w14:paraId="73DD6ABE" w14:textId="77777777" w:rsidR="00E33090" w:rsidRPr="00E33090" w:rsidRDefault="00E33090" w:rsidP="00E33090">
            <w:pPr>
              <w:spacing w:line="240" w:lineRule="auto"/>
              <w:jc w:val="right"/>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1332</w:t>
            </w:r>
          </w:p>
        </w:tc>
        <w:tc>
          <w:tcPr>
            <w:tcW w:w="5377" w:type="dxa"/>
            <w:hideMark/>
          </w:tcPr>
          <w:p w14:paraId="1054EF77" w14:textId="77777777" w:rsidR="00E33090" w:rsidRPr="00E33090" w:rsidRDefault="00E33090" w:rsidP="00E33090">
            <w:pPr>
              <w:spacing w:line="240" w:lineRule="auto"/>
              <w:rPr>
                <w:rFonts w:ascii="Calibri" w:eastAsia="Times New Roman" w:hAnsi="Calibri" w:cs="Calibri"/>
                <w:color w:val="000000"/>
                <w:sz w:val="22"/>
                <w:lang w:eastAsia="en-NZ"/>
              </w:rPr>
            </w:pPr>
            <w:r w:rsidRPr="00E33090">
              <w:rPr>
                <w:rFonts w:ascii="Calibri" w:eastAsia="Times New Roman" w:hAnsi="Calibri" w:cs="Calibri"/>
                <w:color w:val="000000"/>
                <w:sz w:val="22"/>
                <w:lang w:eastAsia="en-NZ"/>
              </w:rPr>
              <w:t>% of Māori in Te Whatu Ora (former DHB) workforce</w:t>
            </w:r>
          </w:p>
        </w:tc>
      </w:tr>
    </w:tbl>
    <w:p w14:paraId="32BF5C2B" w14:textId="6CB79658" w:rsidR="00E12EC5" w:rsidRDefault="00E12EC5">
      <w:pPr>
        <w:spacing w:line="259" w:lineRule="auto"/>
      </w:pPr>
    </w:p>
    <w:p w14:paraId="3807A77E" w14:textId="77777777" w:rsidR="00836EB2" w:rsidRDefault="00836EB2" w:rsidP="00E12EC5">
      <w:pPr>
        <w:pStyle w:val="Heading1"/>
        <w:sectPr w:rsidR="00836EB2" w:rsidSect="00FB3331">
          <w:type w:val="continuous"/>
          <w:pgSz w:w="11910" w:h="16840"/>
          <w:pgMar w:top="1440" w:right="1440" w:bottom="1440" w:left="1440" w:header="709" w:footer="709" w:gutter="0"/>
          <w:cols w:space="708"/>
          <w:titlePg/>
          <w:docGrid w:linePitch="326"/>
        </w:sectPr>
      </w:pPr>
      <w:bookmarkStart w:id="29" w:name="_Appendix_4"/>
      <w:bookmarkEnd w:id="29"/>
    </w:p>
    <w:p w14:paraId="4F3309EB" w14:textId="60C40A67" w:rsidR="0042741D" w:rsidRPr="00D50EFB" w:rsidRDefault="00E12EC5" w:rsidP="00E12EC5">
      <w:pPr>
        <w:pStyle w:val="Heading1"/>
        <w:rPr>
          <w:sz w:val="56"/>
          <w:szCs w:val="48"/>
        </w:rPr>
      </w:pPr>
      <w:bookmarkStart w:id="30" w:name="_Toc135392328"/>
      <w:r w:rsidRPr="00D50EFB">
        <w:rPr>
          <w:sz w:val="56"/>
          <w:szCs w:val="48"/>
        </w:rPr>
        <w:lastRenderedPageBreak/>
        <w:t xml:space="preserve">Appendix </w:t>
      </w:r>
      <w:r w:rsidR="008D5EAB" w:rsidRPr="00D50EFB">
        <w:rPr>
          <w:sz w:val="56"/>
          <w:szCs w:val="48"/>
        </w:rPr>
        <w:t>5</w:t>
      </w:r>
      <w:r w:rsidR="00A37630" w:rsidRPr="00D50EFB">
        <w:rPr>
          <w:sz w:val="56"/>
          <w:szCs w:val="48"/>
        </w:rPr>
        <w:t>: Tāngata whaiora</w:t>
      </w:r>
      <w:r w:rsidR="005C01E5" w:rsidRPr="00D50EFB">
        <w:rPr>
          <w:sz w:val="56"/>
          <w:szCs w:val="48"/>
        </w:rPr>
        <w:t xml:space="preserve"> outcomes</w:t>
      </w:r>
      <w:bookmarkEnd w:id="30"/>
    </w:p>
    <w:p w14:paraId="54BBCF81" w14:textId="7BF8DAAC" w:rsidR="007E22E9" w:rsidRPr="007E22E9" w:rsidRDefault="00380154" w:rsidP="007E22E9">
      <w:r>
        <w:t>This list includes both He Ara Oranga and He Ara Āwhina potential tāngata whaiora outcome measures.</w:t>
      </w:r>
      <w:r w:rsidR="00045B60">
        <w:t xml:space="preserve"> </w:t>
      </w:r>
    </w:p>
    <w:tbl>
      <w:tblPr>
        <w:tblStyle w:val="TableGridLight"/>
        <w:tblW w:w="15163"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916"/>
        <w:gridCol w:w="3931"/>
        <w:gridCol w:w="665"/>
        <w:gridCol w:w="8505"/>
        <w:gridCol w:w="146"/>
      </w:tblGrid>
      <w:tr w:rsidR="00B577A9" w:rsidRPr="00B577A9" w14:paraId="3741C458" w14:textId="77777777" w:rsidTr="001005B0">
        <w:trPr>
          <w:gridAfter w:val="1"/>
          <w:wAfter w:w="146" w:type="dxa"/>
          <w:trHeight w:val="300"/>
          <w:tblHeader/>
        </w:trPr>
        <w:tc>
          <w:tcPr>
            <w:tcW w:w="1916" w:type="dxa"/>
            <w:shd w:val="clear" w:color="auto" w:fill="DFE7EE"/>
            <w:noWrap/>
          </w:tcPr>
          <w:p w14:paraId="2942854A" w14:textId="135E2E6F" w:rsidR="00B577A9" w:rsidRPr="00B577A9" w:rsidRDefault="005F024B" w:rsidP="00B577A9">
            <w:pPr>
              <w:spacing w:line="240" w:lineRule="auto"/>
              <w:rPr>
                <w:rFonts w:ascii="Calibri" w:eastAsia="Times New Roman" w:hAnsi="Calibri" w:cs="Calibri"/>
                <w:b/>
                <w:bCs/>
                <w:color w:val="000000"/>
                <w:sz w:val="22"/>
                <w:lang w:eastAsia="en-NZ"/>
              </w:rPr>
            </w:pPr>
            <w:r>
              <w:rPr>
                <w:rFonts w:ascii="Calibri" w:eastAsia="Times New Roman" w:hAnsi="Calibri" w:cs="Calibri"/>
                <w:b/>
                <w:bCs/>
                <w:color w:val="000000"/>
                <w:sz w:val="22"/>
                <w:lang w:eastAsia="en-NZ"/>
              </w:rPr>
              <w:t>Framework</w:t>
            </w:r>
          </w:p>
        </w:tc>
        <w:tc>
          <w:tcPr>
            <w:tcW w:w="3931" w:type="dxa"/>
            <w:shd w:val="clear" w:color="auto" w:fill="DFE7EE"/>
            <w:noWrap/>
          </w:tcPr>
          <w:p w14:paraId="780042FE" w14:textId="6AAB58E7" w:rsidR="00B577A9" w:rsidRPr="005527BE" w:rsidRDefault="005F024B" w:rsidP="00B577A9">
            <w:pPr>
              <w:spacing w:line="240" w:lineRule="auto"/>
              <w:rPr>
                <w:rFonts w:ascii="Calibri" w:eastAsia="Times New Roman" w:hAnsi="Calibri" w:cs="Calibri"/>
                <w:b/>
                <w:color w:val="000000"/>
                <w:sz w:val="22"/>
                <w:lang w:eastAsia="en-NZ"/>
              </w:rPr>
            </w:pPr>
            <w:r w:rsidRPr="005527BE">
              <w:rPr>
                <w:rFonts w:ascii="Calibri" w:eastAsia="Times New Roman" w:hAnsi="Calibri" w:cs="Calibri"/>
                <w:b/>
                <w:color w:val="000000"/>
                <w:sz w:val="22"/>
                <w:lang w:eastAsia="en-NZ"/>
              </w:rPr>
              <w:t>Domains</w:t>
            </w:r>
          </w:p>
        </w:tc>
        <w:tc>
          <w:tcPr>
            <w:tcW w:w="665" w:type="dxa"/>
            <w:shd w:val="clear" w:color="auto" w:fill="DFE7EE"/>
          </w:tcPr>
          <w:p w14:paraId="5D45AC60" w14:textId="13BE7CDC" w:rsidR="00581ADF" w:rsidRPr="005527BE" w:rsidRDefault="00C36E1F" w:rsidP="00B577A9">
            <w:pPr>
              <w:spacing w:line="240" w:lineRule="auto"/>
              <w:rPr>
                <w:rFonts w:ascii="Calibri" w:eastAsia="Times New Roman" w:hAnsi="Calibri" w:cs="Calibri"/>
                <w:b/>
                <w:bCs/>
                <w:color w:val="000000"/>
                <w:sz w:val="22"/>
                <w:lang w:eastAsia="en-NZ"/>
              </w:rPr>
            </w:pPr>
            <w:r>
              <w:rPr>
                <w:rFonts w:ascii="Calibri" w:eastAsia="Times New Roman" w:hAnsi="Calibri" w:cs="Calibri"/>
                <w:b/>
                <w:bCs/>
                <w:color w:val="000000"/>
                <w:sz w:val="22"/>
                <w:lang w:eastAsia="en-NZ"/>
              </w:rPr>
              <w:t>ID</w:t>
            </w:r>
          </w:p>
        </w:tc>
        <w:tc>
          <w:tcPr>
            <w:tcW w:w="8505" w:type="dxa"/>
            <w:shd w:val="clear" w:color="auto" w:fill="DFE7EE"/>
            <w:noWrap/>
          </w:tcPr>
          <w:p w14:paraId="3D1705AE" w14:textId="2C94A333" w:rsidR="00B577A9" w:rsidRPr="005527BE" w:rsidRDefault="005F024B" w:rsidP="00B577A9">
            <w:pPr>
              <w:spacing w:line="240" w:lineRule="auto"/>
              <w:rPr>
                <w:rFonts w:ascii="Calibri" w:eastAsia="Times New Roman" w:hAnsi="Calibri" w:cs="Calibri"/>
                <w:b/>
                <w:color w:val="000000"/>
                <w:sz w:val="22"/>
                <w:lang w:eastAsia="en-NZ"/>
              </w:rPr>
            </w:pPr>
            <w:r w:rsidRPr="005527BE">
              <w:rPr>
                <w:rFonts w:ascii="Calibri" w:eastAsia="Times New Roman" w:hAnsi="Calibri" w:cs="Calibri"/>
                <w:b/>
                <w:color w:val="000000"/>
                <w:sz w:val="22"/>
                <w:lang w:eastAsia="en-NZ"/>
              </w:rPr>
              <w:t>Measure</w:t>
            </w:r>
          </w:p>
        </w:tc>
      </w:tr>
      <w:tr w:rsidR="00B577A9" w:rsidRPr="00B577A9" w14:paraId="26EE52DA" w14:textId="77777777" w:rsidTr="001005B0">
        <w:trPr>
          <w:gridAfter w:val="1"/>
          <w:wAfter w:w="146" w:type="dxa"/>
          <w:trHeight w:val="300"/>
        </w:trPr>
        <w:tc>
          <w:tcPr>
            <w:tcW w:w="1916" w:type="dxa"/>
            <w:noWrap/>
          </w:tcPr>
          <w:p w14:paraId="127BD958" w14:textId="59DF3E99" w:rsidR="00B577A9" w:rsidRPr="00B577A9" w:rsidRDefault="00B577A9" w:rsidP="00B577A9">
            <w:pPr>
              <w:spacing w:line="240" w:lineRule="auto"/>
              <w:rPr>
                <w:rFonts w:ascii="Calibri" w:eastAsia="Times New Roman" w:hAnsi="Calibri" w:cs="Calibri"/>
                <w:b/>
                <w:bCs/>
                <w:color w:val="000000"/>
                <w:sz w:val="22"/>
                <w:lang w:eastAsia="en-NZ"/>
              </w:rPr>
            </w:pPr>
            <w:r>
              <w:rPr>
                <w:rFonts w:ascii="Calibri" w:eastAsia="Times New Roman" w:hAnsi="Calibri" w:cs="Calibri"/>
                <w:b/>
                <w:bCs/>
                <w:color w:val="000000"/>
                <w:sz w:val="22"/>
                <w:lang w:eastAsia="en-NZ"/>
              </w:rPr>
              <w:t xml:space="preserve">He Ara </w:t>
            </w:r>
            <w:r w:rsidR="00C9505E">
              <w:rPr>
                <w:rFonts w:ascii="Calibri" w:eastAsia="Times New Roman" w:hAnsi="Calibri" w:cs="Calibri"/>
                <w:b/>
                <w:bCs/>
                <w:color w:val="000000"/>
                <w:sz w:val="22"/>
                <w:lang w:eastAsia="en-NZ"/>
              </w:rPr>
              <w:t>Āwhina</w:t>
            </w:r>
          </w:p>
        </w:tc>
        <w:tc>
          <w:tcPr>
            <w:tcW w:w="3931" w:type="dxa"/>
            <w:noWrap/>
          </w:tcPr>
          <w:p w14:paraId="344DB97F" w14:textId="77777777" w:rsidR="00B577A9" w:rsidRPr="00B577A9" w:rsidRDefault="00B577A9" w:rsidP="00B577A9">
            <w:pPr>
              <w:spacing w:line="240" w:lineRule="auto"/>
              <w:rPr>
                <w:rFonts w:ascii="Calibri" w:eastAsia="Times New Roman" w:hAnsi="Calibri" w:cs="Calibri"/>
                <w:color w:val="000000"/>
                <w:sz w:val="22"/>
                <w:lang w:eastAsia="en-NZ"/>
              </w:rPr>
            </w:pPr>
          </w:p>
        </w:tc>
        <w:tc>
          <w:tcPr>
            <w:tcW w:w="665" w:type="dxa"/>
          </w:tcPr>
          <w:p w14:paraId="61913E29" w14:textId="77777777" w:rsidR="00581ADF" w:rsidRPr="00B577A9" w:rsidRDefault="00581ADF" w:rsidP="00B577A9">
            <w:pPr>
              <w:spacing w:line="240" w:lineRule="auto"/>
              <w:rPr>
                <w:rFonts w:ascii="Calibri" w:eastAsia="Times New Roman" w:hAnsi="Calibri" w:cs="Calibri"/>
                <w:color w:val="000000"/>
                <w:sz w:val="22"/>
                <w:lang w:eastAsia="en-NZ"/>
              </w:rPr>
            </w:pPr>
          </w:p>
        </w:tc>
        <w:tc>
          <w:tcPr>
            <w:tcW w:w="8505" w:type="dxa"/>
            <w:noWrap/>
          </w:tcPr>
          <w:p w14:paraId="24D1FD47" w14:textId="76EF9E1A" w:rsidR="00B577A9" w:rsidRPr="00B577A9" w:rsidRDefault="00B577A9" w:rsidP="00B577A9">
            <w:pPr>
              <w:spacing w:line="240" w:lineRule="auto"/>
              <w:rPr>
                <w:rFonts w:ascii="Calibri" w:eastAsia="Times New Roman" w:hAnsi="Calibri" w:cs="Calibri"/>
                <w:color w:val="000000"/>
                <w:sz w:val="22"/>
                <w:lang w:eastAsia="en-NZ"/>
              </w:rPr>
            </w:pPr>
          </w:p>
        </w:tc>
      </w:tr>
      <w:tr w:rsidR="00B577A9" w:rsidRPr="00B577A9" w14:paraId="2463DA3D" w14:textId="77777777" w:rsidTr="001005B0">
        <w:trPr>
          <w:gridAfter w:val="1"/>
          <w:wAfter w:w="146" w:type="dxa"/>
          <w:trHeight w:val="300"/>
        </w:trPr>
        <w:tc>
          <w:tcPr>
            <w:tcW w:w="1916" w:type="dxa"/>
            <w:vMerge w:val="restart"/>
            <w:noWrap/>
            <w:hideMark/>
          </w:tcPr>
          <w:p w14:paraId="0561990B" w14:textId="0DED43E9" w:rsidR="00B577A9" w:rsidRPr="00B577A9" w:rsidRDefault="00B577A9" w:rsidP="00B577A9">
            <w:pPr>
              <w:spacing w:line="240" w:lineRule="auto"/>
              <w:rPr>
                <w:rFonts w:ascii="Calibri" w:eastAsia="Times New Roman" w:hAnsi="Calibri" w:cs="Calibri"/>
                <w:b/>
                <w:bCs/>
                <w:color w:val="000000"/>
                <w:sz w:val="22"/>
                <w:lang w:eastAsia="en-NZ"/>
              </w:rPr>
            </w:pPr>
            <w:r>
              <w:rPr>
                <w:rFonts w:ascii="Calibri" w:hAnsi="Calibri" w:cs="Calibri"/>
                <w:b/>
                <w:color w:val="000000"/>
                <w:sz w:val="22"/>
              </w:rPr>
              <w:t>Shared</w:t>
            </w:r>
          </w:p>
        </w:tc>
        <w:tc>
          <w:tcPr>
            <w:tcW w:w="3931" w:type="dxa"/>
            <w:vMerge w:val="restart"/>
            <w:noWrap/>
            <w:hideMark/>
          </w:tcPr>
          <w:p w14:paraId="0C38EACE" w14:textId="21C68CA1" w:rsidR="00B577A9" w:rsidRPr="00B577A9" w:rsidRDefault="00B577A9"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Effectiveness</w:t>
            </w:r>
          </w:p>
        </w:tc>
        <w:tc>
          <w:tcPr>
            <w:tcW w:w="665" w:type="dxa"/>
          </w:tcPr>
          <w:p w14:paraId="6F57BD01" w14:textId="590DB6B5"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410</w:t>
            </w:r>
          </w:p>
        </w:tc>
        <w:tc>
          <w:tcPr>
            <w:tcW w:w="8505" w:type="dxa"/>
            <w:noWrap/>
            <w:hideMark/>
          </w:tcPr>
          <w:p w14:paraId="7E948FF6" w14:textId="3D874AF8" w:rsidR="00B577A9" w:rsidRPr="00B577A9" w:rsidRDefault="00B577A9"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 of tāngata whaiora and their whānau who report they would recommend the service to friends or family if they needed similar care or treatment</w:t>
            </w:r>
          </w:p>
        </w:tc>
      </w:tr>
      <w:tr w:rsidR="00B577A9" w:rsidRPr="00B577A9" w14:paraId="2BB2FB1A" w14:textId="77777777" w:rsidTr="001005B0">
        <w:trPr>
          <w:gridAfter w:val="1"/>
          <w:wAfter w:w="146" w:type="dxa"/>
          <w:trHeight w:val="300"/>
        </w:trPr>
        <w:tc>
          <w:tcPr>
            <w:tcW w:w="1916" w:type="dxa"/>
            <w:vMerge/>
            <w:noWrap/>
            <w:vAlign w:val="bottom"/>
            <w:hideMark/>
          </w:tcPr>
          <w:p w14:paraId="21987568"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3931" w:type="dxa"/>
            <w:vMerge/>
            <w:noWrap/>
            <w:hideMark/>
          </w:tcPr>
          <w:p w14:paraId="70DCC89B"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665" w:type="dxa"/>
          </w:tcPr>
          <w:p w14:paraId="60F9EB07" w14:textId="0A53D5C0"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415</w:t>
            </w:r>
          </w:p>
        </w:tc>
        <w:tc>
          <w:tcPr>
            <w:tcW w:w="8505" w:type="dxa"/>
            <w:noWrap/>
            <w:hideMark/>
          </w:tcPr>
          <w:p w14:paraId="6108DA7E" w14:textId="0F5D3025"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Average self-rated increase in tāngata whaiora satisfaction towards achieving recovery goals (addiction services)</w:t>
            </w:r>
          </w:p>
        </w:tc>
      </w:tr>
      <w:tr w:rsidR="00B577A9" w:rsidRPr="00B577A9" w14:paraId="7E1E4682" w14:textId="77777777" w:rsidTr="001005B0">
        <w:trPr>
          <w:gridAfter w:val="1"/>
          <w:wAfter w:w="146" w:type="dxa"/>
          <w:trHeight w:val="300"/>
        </w:trPr>
        <w:tc>
          <w:tcPr>
            <w:tcW w:w="1916" w:type="dxa"/>
            <w:vMerge/>
            <w:noWrap/>
            <w:vAlign w:val="bottom"/>
            <w:hideMark/>
          </w:tcPr>
          <w:p w14:paraId="21637A77"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3931" w:type="dxa"/>
            <w:vMerge/>
            <w:noWrap/>
            <w:hideMark/>
          </w:tcPr>
          <w:p w14:paraId="005DEC2B"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665" w:type="dxa"/>
          </w:tcPr>
          <w:p w14:paraId="43E915DA" w14:textId="050CC579"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529</w:t>
            </w:r>
          </w:p>
        </w:tc>
        <w:tc>
          <w:tcPr>
            <w:tcW w:w="8505" w:type="dxa"/>
            <w:noWrap/>
            <w:hideMark/>
          </w:tcPr>
          <w:p w14:paraId="2E39E54B" w14:textId="6B0CE379"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 of tāngata whaiora are in employment or in education or in training</w:t>
            </w:r>
          </w:p>
        </w:tc>
      </w:tr>
      <w:tr w:rsidR="00B577A9" w:rsidRPr="00B577A9" w14:paraId="7CD33362" w14:textId="77777777" w:rsidTr="001005B0">
        <w:trPr>
          <w:gridAfter w:val="1"/>
          <w:wAfter w:w="146" w:type="dxa"/>
          <w:trHeight w:val="300"/>
        </w:trPr>
        <w:tc>
          <w:tcPr>
            <w:tcW w:w="1916" w:type="dxa"/>
            <w:vMerge/>
            <w:noWrap/>
            <w:vAlign w:val="bottom"/>
            <w:hideMark/>
          </w:tcPr>
          <w:p w14:paraId="639E9BB0"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3931" w:type="dxa"/>
            <w:vMerge/>
            <w:noWrap/>
            <w:hideMark/>
          </w:tcPr>
          <w:p w14:paraId="56C78AA6"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665" w:type="dxa"/>
          </w:tcPr>
          <w:p w14:paraId="3B792FF4" w14:textId="687F8B38"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539</w:t>
            </w:r>
          </w:p>
        </w:tc>
        <w:tc>
          <w:tcPr>
            <w:tcW w:w="8505" w:type="dxa"/>
            <w:noWrap/>
            <w:hideMark/>
          </w:tcPr>
          <w:p w14:paraId="401EE8BB" w14:textId="09880347"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 of tāngata whaiora who have independent / supported / no accommodation</w:t>
            </w:r>
          </w:p>
        </w:tc>
      </w:tr>
      <w:tr w:rsidR="004C2172" w:rsidRPr="00B577A9" w14:paraId="518E9291" w14:textId="77777777" w:rsidTr="001005B0">
        <w:trPr>
          <w:gridAfter w:val="1"/>
          <w:wAfter w:w="146" w:type="dxa"/>
          <w:trHeight w:val="300"/>
        </w:trPr>
        <w:tc>
          <w:tcPr>
            <w:tcW w:w="1916" w:type="dxa"/>
            <w:vMerge/>
            <w:noWrap/>
            <w:vAlign w:val="bottom"/>
          </w:tcPr>
          <w:p w14:paraId="71AE0647" w14:textId="77777777" w:rsidR="004C2172" w:rsidRDefault="004C2172" w:rsidP="00B577A9">
            <w:pPr>
              <w:spacing w:line="240" w:lineRule="auto"/>
              <w:rPr>
                <w:rFonts w:ascii="Calibri" w:eastAsia="Times New Roman" w:hAnsi="Calibri" w:cs="Calibri"/>
                <w:b/>
                <w:bCs/>
                <w:color w:val="000000"/>
                <w:sz w:val="22"/>
                <w:lang w:eastAsia="en-NZ"/>
              </w:rPr>
            </w:pPr>
          </w:p>
        </w:tc>
        <w:tc>
          <w:tcPr>
            <w:tcW w:w="3931" w:type="dxa"/>
            <w:noWrap/>
          </w:tcPr>
          <w:p w14:paraId="3C33D4EB" w14:textId="0B2FBB66" w:rsidR="004C2172" w:rsidRPr="00B577A9" w:rsidRDefault="004C2172"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Equity</w:t>
            </w:r>
          </w:p>
        </w:tc>
        <w:tc>
          <w:tcPr>
            <w:tcW w:w="665" w:type="dxa"/>
          </w:tcPr>
          <w:p w14:paraId="1EFAFED7" w14:textId="4134F725" w:rsidR="00581ADF" w:rsidRDefault="00DC45B0" w:rsidP="00B577A9">
            <w:pPr>
              <w:spacing w:line="240" w:lineRule="auto"/>
              <w:rPr>
                <w:rFonts w:ascii="Calibri" w:hAnsi="Calibri" w:cs="Calibri"/>
                <w:color w:val="000000"/>
                <w:sz w:val="20"/>
                <w:szCs w:val="20"/>
              </w:rPr>
            </w:pPr>
            <w:r>
              <w:rPr>
                <w:rFonts w:ascii="Calibri" w:hAnsi="Calibri" w:cs="Calibri"/>
                <w:b/>
                <w:bCs/>
                <w:color w:val="000000"/>
                <w:sz w:val="22"/>
              </w:rPr>
              <w:t>588</w:t>
            </w:r>
          </w:p>
        </w:tc>
        <w:tc>
          <w:tcPr>
            <w:tcW w:w="8505" w:type="dxa"/>
            <w:noWrap/>
          </w:tcPr>
          <w:p w14:paraId="2B7C106B" w14:textId="415EFFB5" w:rsidR="004C2172" w:rsidRPr="00B577A9" w:rsidRDefault="004C2172"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People who need mental health services receive them (Comparing service uptake against known estimates of prevalence)</w:t>
            </w:r>
          </w:p>
        </w:tc>
      </w:tr>
      <w:tr w:rsidR="00C9505E" w:rsidRPr="00B577A9" w14:paraId="4A99E4D2" w14:textId="77777777" w:rsidTr="001005B0">
        <w:trPr>
          <w:trHeight w:val="300"/>
        </w:trPr>
        <w:tc>
          <w:tcPr>
            <w:tcW w:w="1916" w:type="dxa"/>
            <w:noWrap/>
            <w:vAlign w:val="bottom"/>
          </w:tcPr>
          <w:p w14:paraId="75003995" w14:textId="2F805E3B" w:rsidR="00C9505E" w:rsidRDefault="00C9505E" w:rsidP="00DC45B0">
            <w:pPr>
              <w:spacing w:line="240" w:lineRule="auto"/>
              <w:rPr>
                <w:rFonts w:ascii="Calibri" w:hAnsi="Calibri" w:cs="Calibri"/>
                <w:b/>
                <w:bCs/>
                <w:color w:val="000000"/>
                <w:sz w:val="22"/>
              </w:rPr>
            </w:pPr>
            <w:r>
              <w:rPr>
                <w:rFonts w:ascii="Calibri" w:hAnsi="Calibri" w:cs="Calibri"/>
                <w:b/>
                <w:bCs/>
                <w:color w:val="000000"/>
                <w:sz w:val="22"/>
              </w:rPr>
              <w:t>He Ara Oranga</w:t>
            </w:r>
          </w:p>
        </w:tc>
        <w:tc>
          <w:tcPr>
            <w:tcW w:w="3931" w:type="dxa"/>
            <w:noWrap/>
          </w:tcPr>
          <w:p w14:paraId="24ADF2A1" w14:textId="77777777" w:rsidR="00C9505E" w:rsidRDefault="00C9505E" w:rsidP="00DC45B0">
            <w:pPr>
              <w:spacing w:line="240" w:lineRule="auto"/>
              <w:rPr>
                <w:rFonts w:ascii="Calibri" w:hAnsi="Calibri" w:cs="Calibri"/>
                <w:color w:val="000000"/>
                <w:sz w:val="22"/>
              </w:rPr>
            </w:pPr>
          </w:p>
        </w:tc>
        <w:tc>
          <w:tcPr>
            <w:tcW w:w="665" w:type="dxa"/>
          </w:tcPr>
          <w:p w14:paraId="4041DABD" w14:textId="77777777" w:rsidR="00C9505E" w:rsidRDefault="00C9505E" w:rsidP="00DC45B0">
            <w:pPr>
              <w:spacing w:line="240" w:lineRule="auto"/>
              <w:rPr>
                <w:rFonts w:ascii="Calibri" w:hAnsi="Calibri" w:cs="Calibri"/>
                <w:b/>
                <w:bCs/>
                <w:color w:val="000000"/>
                <w:sz w:val="22"/>
              </w:rPr>
            </w:pPr>
          </w:p>
        </w:tc>
        <w:tc>
          <w:tcPr>
            <w:tcW w:w="8651" w:type="dxa"/>
            <w:gridSpan w:val="2"/>
            <w:noWrap/>
          </w:tcPr>
          <w:p w14:paraId="39714CBE" w14:textId="77777777" w:rsidR="00C9505E" w:rsidRDefault="00C9505E" w:rsidP="00DC45B0">
            <w:pPr>
              <w:spacing w:line="240" w:lineRule="auto"/>
              <w:rPr>
                <w:rFonts w:ascii="Calibri" w:hAnsi="Calibri" w:cs="Calibri"/>
                <w:color w:val="000000"/>
                <w:sz w:val="22"/>
              </w:rPr>
            </w:pPr>
          </w:p>
        </w:tc>
      </w:tr>
      <w:tr w:rsidR="00B577A9" w:rsidRPr="00B577A9" w14:paraId="16834F45" w14:textId="77777777" w:rsidTr="001005B0">
        <w:trPr>
          <w:gridAfter w:val="1"/>
          <w:wAfter w:w="146" w:type="dxa"/>
          <w:trHeight w:val="300"/>
        </w:trPr>
        <w:tc>
          <w:tcPr>
            <w:tcW w:w="1916" w:type="dxa"/>
            <w:vMerge w:val="restart"/>
            <w:noWrap/>
          </w:tcPr>
          <w:p w14:paraId="49662243" w14:textId="10C4BA76" w:rsidR="00B577A9" w:rsidRPr="00B577A9" w:rsidRDefault="00DC45B0" w:rsidP="00B577A9">
            <w:pPr>
              <w:spacing w:line="240" w:lineRule="auto"/>
              <w:rPr>
                <w:rFonts w:ascii="Calibri" w:eastAsia="Times New Roman" w:hAnsi="Calibri" w:cs="Calibri"/>
                <w:b/>
                <w:bCs/>
                <w:color w:val="000000"/>
                <w:sz w:val="22"/>
                <w:lang w:eastAsia="en-NZ"/>
              </w:rPr>
            </w:pPr>
            <w:r>
              <w:rPr>
                <w:rFonts w:ascii="Calibri" w:hAnsi="Calibri" w:cs="Calibri"/>
                <w:b/>
                <w:bCs/>
                <w:color w:val="000000"/>
                <w:sz w:val="22"/>
              </w:rPr>
              <w:t xml:space="preserve">Te </w:t>
            </w:r>
            <w:r w:rsidR="00D71ED7">
              <w:rPr>
                <w:rFonts w:ascii="Calibri" w:hAnsi="Calibri" w:cs="Calibri"/>
                <w:b/>
                <w:bCs/>
                <w:color w:val="000000"/>
                <w:sz w:val="22"/>
              </w:rPr>
              <w:t>A</w:t>
            </w:r>
            <w:r>
              <w:rPr>
                <w:rFonts w:ascii="Calibri" w:hAnsi="Calibri" w:cs="Calibri"/>
                <w:b/>
                <w:bCs/>
                <w:color w:val="000000"/>
                <w:sz w:val="22"/>
              </w:rPr>
              <w:t>o Māori</w:t>
            </w:r>
          </w:p>
        </w:tc>
        <w:tc>
          <w:tcPr>
            <w:tcW w:w="3931" w:type="dxa"/>
            <w:noWrap/>
          </w:tcPr>
          <w:p w14:paraId="6E3D388F" w14:textId="0CAC6490"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Tino rangatiratanga me te mana Motuhake</w:t>
            </w:r>
          </w:p>
        </w:tc>
        <w:tc>
          <w:tcPr>
            <w:tcW w:w="665" w:type="dxa"/>
          </w:tcPr>
          <w:p w14:paraId="0B4251CD" w14:textId="4C9AA035"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2025</w:t>
            </w:r>
          </w:p>
        </w:tc>
        <w:tc>
          <w:tcPr>
            <w:tcW w:w="8505" w:type="dxa"/>
            <w:noWrap/>
          </w:tcPr>
          <w:p w14:paraId="3DAFA615" w14:textId="6300FE6C"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 of Māori tāngata whaiora who are registered with an iwi </w:t>
            </w:r>
          </w:p>
        </w:tc>
      </w:tr>
      <w:tr w:rsidR="00B577A9" w:rsidRPr="00B577A9" w14:paraId="3298FD52" w14:textId="77777777" w:rsidTr="001005B0">
        <w:trPr>
          <w:gridAfter w:val="1"/>
          <w:wAfter w:w="146" w:type="dxa"/>
          <w:trHeight w:val="300"/>
        </w:trPr>
        <w:tc>
          <w:tcPr>
            <w:tcW w:w="1916" w:type="dxa"/>
            <w:vMerge/>
            <w:noWrap/>
            <w:vAlign w:val="bottom"/>
            <w:hideMark/>
          </w:tcPr>
          <w:p w14:paraId="3D4C4005" w14:textId="382D6806" w:rsidR="00B577A9" w:rsidRPr="00B577A9" w:rsidRDefault="00B577A9" w:rsidP="00B577A9">
            <w:pPr>
              <w:spacing w:line="240" w:lineRule="auto"/>
              <w:rPr>
                <w:rFonts w:ascii="Calibri" w:eastAsia="Times New Roman" w:hAnsi="Calibri" w:cs="Calibri"/>
                <w:b/>
                <w:bCs/>
                <w:color w:val="000000"/>
                <w:sz w:val="22"/>
                <w:lang w:eastAsia="en-NZ"/>
              </w:rPr>
            </w:pPr>
          </w:p>
        </w:tc>
        <w:tc>
          <w:tcPr>
            <w:tcW w:w="3931" w:type="dxa"/>
            <w:noWrap/>
            <w:hideMark/>
          </w:tcPr>
          <w:p w14:paraId="3140CAE5" w14:textId="348D6762"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Tūmanako me te ngākaupai</w:t>
            </w:r>
          </w:p>
        </w:tc>
        <w:tc>
          <w:tcPr>
            <w:tcW w:w="665" w:type="dxa"/>
          </w:tcPr>
          <w:p w14:paraId="3FE22A3F" w14:textId="2FC3F27E"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2038</w:t>
            </w:r>
          </w:p>
        </w:tc>
        <w:tc>
          <w:tcPr>
            <w:tcW w:w="8505" w:type="dxa"/>
            <w:noWrap/>
            <w:hideMark/>
          </w:tcPr>
          <w:p w14:paraId="1DB48D2F" w14:textId="644F2570" w:rsidR="00B577A9" w:rsidRPr="00B577A9" w:rsidRDefault="00B577A9"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 xml:space="preserve">% of Māori tāngata whaiora who </w:t>
            </w:r>
            <w:r w:rsidR="00DC45B0">
              <w:rPr>
                <w:rFonts w:ascii="Calibri" w:hAnsi="Calibri" w:cs="Calibri"/>
                <w:color w:val="000000"/>
                <w:sz w:val="22"/>
              </w:rPr>
              <w:t xml:space="preserve">think things </w:t>
            </w:r>
            <w:r>
              <w:rPr>
                <w:rFonts w:ascii="Calibri" w:hAnsi="Calibri" w:cs="Calibri"/>
                <w:color w:val="000000"/>
                <w:sz w:val="22"/>
              </w:rPr>
              <w:t xml:space="preserve">are </w:t>
            </w:r>
            <w:r w:rsidR="00DC45B0">
              <w:rPr>
                <w:rFonts w:ascii="Calibri" w:hAnsi="Calibri" w:cs="Calibri"/>
                <w:color w:val="000000"/>
                <w:sz w:val="22"/>
              </w:rPr>
              <w:t>getting better for their whānau</w:t>
            </w:r>
            <w:r>
              <w:rPr>
                <w:rFonts w:ascii="Calibri" w:hAnsi="Calibri" w:cs="Calibri"/>
                <w:color w:val="000000"/>
                <w:sz w:val="22"/>
              </w:rPr>
              <w:t> </w:t>
            </w:r>
          </w:p>
        </w:tc>
      </w:tr>
      <w:tr w:rsidR="00B577A9" w:rsidRPr="00B577A9" w14:paraId="605CCE56" w14:textId="77777777" w:rsidTr="001005B0">
        <w:trPr>
          <w:gridAfter w:val="1"/>
          <w:wAfter w:w="146" w:type="dxa"/>
          <w:trHeight w:val="300"/>
        </w:trPr>
        <w:tc>
          <w:tcPr>
            <w:tcW w:w="1916" w:type="dxa"/>
            <w:vMerge/>
            <w:noWrap/>
            <w:vAlign w:val="bottom"/>
            <w:hideMark/>
          </w:tcPr>
          <w:p w14:paraId="1D12DD2A"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3931" w:type="dxa"/>
            <w:vMerge w:val="restart"/>
            <w:noWrap/>
            <w:hideMark/>
          </w:tcPr>
          <w:p w14:paraId="77BB58F7" w14:textId="28F2765C"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Whakaora, whakatipu, kia manawaroa</w:t>
            </w:r>
          </w:p>
        </w:tc>
        <w:tc>
          <w:tcPr>
            <w:tcW w:w="665" w:type="dxa"/>
          </w:tcPr>
          <w:p w14:paraId="1BB055B9" w14:textId="78B3720C"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2029</w:t>
            </w:r>
          </w:p>
        </w:tc>
        <w:tc>
          <w:tcPr>
            <w:tcW w:w="8505" w:type="dxa"/>
            <w:noWrap/>
            <w:hideMark/>
          </w:tcPr>
          <w:p w14:paraId="6950EB39" w14:textId="6F5A89BF" w:rsidR="00B577A9" w:rsidRPr="00B577A9" w:rsidRDefault="00B577A9"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 xml:space="preserve">% of Māori tāngata whaiora who are </w:t>
            </w:r>
            <w:r w:rsidR="00DC45B0">
              <w:rPr>
                <w:rFonts w:ascii="Calibri" w:hAnsi="Calibri" w:cs="Calibri"/>
                <w:color w:val="000000"/>
                <w:sz w:val="22"/>
              </w:rPr>
              <w:t>te reo speakers</w:t>
            </w:r>
            <w:r>
              <w:rPr>
                <w:rFonts w:ascii="Calibri" w:hAnsi="Calibri" w:cs="Calibri"/>
                <w:color w:val="000000"/>
                <w:sz w:val="22"/>
              </w:rPr>
              <w:t> </w:t>
            </w:r>
          </w:p>
        </w:tc>
      </w:tr>
      <w:tr w:rsidR="00B577A9" w:rsidRPr="00B577A9" w14:paraId="61857024" w14:textId="77777777" w:rsidTr="001005B0">
        <w:trPr>
          <w:gridAfter w:val="1"/>
          <w:wAfter w:w="146" w:type="dxa"/>
          <w:trHeight w:val="300"/>
        </w:trPr>
        <w:tc>
          <w:tcPr>
            <w:tcW w:w="1916" w:type="dxa"/>
            <w:vMerge/>
            <w:noWrap/>
            <w:vAlign w:val="bottom"/>
            <w:hideMark/>
          </w:tcPr>
          <w:p w14:paraId="2418020E"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3931" w:type="dxa"/>
            <w:vMerge/>
            <w:noWrap/>
            <w:hideMark/>
          </w:tcPr>
          <w:p w14:paraId="48138A88" w14:textId="7F63609D" w:rsidR="00B577A9" w:rsidRPr="00B577A9" w:rsidRDefault="00B577A9" w:rsidP="00B577A9">
            <w:pPr>
              <w:spacing w:line="240" w:lineRule="auto"/>
              <w:rPr>
                <w:rFonts w:ascii="Calibri" w:eastAsia="Times New Roman" w:hAnsi="Calibri" w:cs="Calibri"/>
                <w:color w:val="000000"/>
                <w:sz w:val="22"/>
                <w:lang w:eastAsia="en-NZ"/>
              </w:rPr>
            </w:pPr>
          </w:p>
        </w:tc>
        <w:tc>
          <w:tcPr>
            <w:tcW w:w="665" w:type="dxa"/>
          </w:tcPr>
          <w:p w14:paraId="772C27E3" w14:textId="227E6D89"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2033</w:t>
            </w:r>
          </w:p>
        </w:tc>
        <w:tc>
          <w:tcPr>
            <w:tcW w:w="8505" w:type="dxa"/>
            <w:noWrap/>
            <w:hideMark/>
          </w:tcPr>
          <w:p w14:paraId="30B66D22" w14:textId="23EC4375"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 of Māori tāngata whaiora who think it is important to be involved in things to do with Māori culture </w:t>
            </w:r>
          </w:p>
        </w:tc>
      </w:tr>
      <w:tr w:rsidR="00B577A9" w:rsidRPr="00B577A9" w14:paraId="2C4F744B" w14:textId="77777777" w:rsidTr="001005B0">
        <w:trPr>
          <w:gridAfter w:val="1"/>
          <w:wAfter w:w="146" w:type="dxa"/>
          <w:trHeight w:val="300"/>
        </w:trPr>
        <w:tc>
          <w:tcPr>
            <w:tcW w:w="1916" w:type="dxa"/>
            <w:vMerge/>
            <w:noWrap/>
            <w:vAlign w:val="bottom"/>
            <w:hideMark/>
          </w:tcPr>
          <w:p w14:paraId="4CB5B0D1"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3931" w:type="dxa"/>
            <w:vMerge/>
            <w:noWrap/>
            <w:hideMark/>
          </w:tcPr>
          <w:p w14:paraId="714D225B"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665" w:type="dxa"/>
          </w:tcPr>
          <w:p w14:paraId="63C20830" w14:textId="39E4A2B7"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2054</w:t>
            </w:r>
          </w:p>
        </w:tc>
        <w:tc>
          <w:tcPr>
            <w:tcW w:w="8505" w:type="dxa"/>
            <w:noWrap/>
            <w:hideMark/>
          </w:tcPr>
          <w:p w14:paraId="372BF47F" w14:textId="10D71FFE"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 xml:space="preserve">% of tāngata whaiora Māori students who are enrolled in kura kaupapa Māori and kura teina </w:t>
            </w:r>
          </w:p>
        </w:tc>
      </w:tr>
      <w:tr w:rsidR="00B577A9" w:rsidRPr="00B577A9" w14:paraId="034B516D" w14:textId="77777777" w:rsidTr="001005B0">
        <w:trPr>
          <w:gridAfter w:val="1"/>
          <w:wAfter w:w="146" w:type="dxa"/>
          <w:trHeight w:val="300"/>
        </w:trPr>
        <w:tc>
          <w:tcPr>
            <w:tcW w:w="1916" w:type="dxa"/>
            <w:vMerge/>
            <w:noWrap/>
            <w:vAlign w:val="bottom"/>
            <w:hideMark/>
          </w:tcPr>
          <w:p w14:paraId="04CAB1F8"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3931" w:type="dxa"/>
            <w:noWrap/>
            <w:hideMark/>
          </w:tcPr>
          <w:p w14:paraId="6F1A39B4" w14:textId="27F2FD16" w:rsidR="00B577A9" w:rsidRPr="00B577A9" w:rsidRDefault="00DC45B0" w:rsidP="00B577A9">
            <w:pPr>
              <w:spacing w:line="240" w:lineRule="auto"/>
              <w:rPr>
                <w:rFonts w:ascii="Times New Roman" w:eastAsia="Times New Roman" w:hAnsi="Times New Roman" w:cs="Times New Roman"/>
                <w:sz w:val="20"/>
                <w:szCs w:val="20"/>
                <w:lang w:eastAsia="en-NZ"/>
              </w:rPr>
            </w:pPr>
            <w:r>
              <w:rPr>
                <w:rFonts w:ascii="Calibri" w:hAnsi="Calibri" w:cs="Calibri"/>
                <w:color w:val="000000"/>
                <w:sz w:val="22"/>
              </w:rPr>
              <w:t>Whakapuāwaitanga me te pae ora</w:t>
            </w:r>
          </w:p>
        </w:tc>
        <w:tc>
          <w:tcPr>
            <w:tcW w:w="665" w:type="dxa"/>
          </w:tcPr>
          <w:p w14:paraId="4D17ACDF" w14:textId="2FE3F61B"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2055</w:t>
            </w:r>
          </w:p>
        </w:tc>
        <w:tc>
          <w:tcPr>
            <w:tcW w:w="8505" w:type="dxa"/>
            <w:noWrap/>
            <w:hideMark/>
          </w:tcPr>
          <w:p w14:paraId="5C249A96" w14:textId="61FDF331"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 of tāngata whaiora Māori secondary school leavers left school with a qualification at NCEA level 2 or above </w:t>
            </w:r>
          </w:p>
        </w:tc>
      </w:tr>
      <w:tr w:rsidR="00B577A9" w:rsidRPr="00B577A9" w14:paraId="2E082849" w14:textId="77777777" w:rsidTr="001005B0">
        <w:trPr>
          <w:gridAfter w:val="1"/>
          <w:wAfter w:w="146" w:type="dxa"/>
          <w:trHeight w:val="300"/>
        </w:trPr>
        <w:tc>
          <w:tcPr>
            <w:tcW w:w="1916" w:type="dxa"/>
            <w:vMerge/>
            <w:noWrap/>
            <w:vAlign w:val="bottom"/>
            <w:hideMark/>
          </w:tcPr>
          <w:p w14:paraId="61FBBE6E" w14:textId="77777777" w:rsidR="00B577A9" w:rsidRPr="00B577A9" w:rsidRDefault="00B577A9" w:rsidP="00B577A9">
            <w:pPr>
              <w:spacing w:line="240" w:lineRule="auto"/>
              <w:rPr>
                <w:rFonts w:ascii="Times New Roman" w:eastAsia="Times New Roman" w:hAnsi="Times New Roman" w:cs="Times New Roman"/>
                <w:sz w:val="20"/>
                <w:szCs w:val="20"/>
                <w:lang w:eastAsia="en-NZ"/>
              </w:rPr>
            </w:pPr>
          </w:p>
        </w:tc>
        <w:tc>
          <w:tcPr>
            <w:tcW w:w="3931" w:type="dxa"/>
            <w:noWrap/>
            <w:hideMark/>
          </w:tcPr>
          <w:p w14:paraId="11C57847" w14:textId="2D467DD3"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Whanaungatanga me te arohatanga</w:t>
            </w:r>
          </w:p>
        </w:tc>
        <w:tc>
          <w:tcPr>
            <w:tcW w:w="665" w:type="dxa"/>
          </w:tcPr>
          <w:p w14:paraId="77160F1E" w14:textId="0455DD13"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2036</w:t>
            </w:r>
          </w:p>
        </w:tc>
        <w:tc>
          <w:tcPr>
            <w:tcW w:w="8505" w:type="dxa"/>
            <w:noWrap/>
            <w:hideMark/>
          </w:tcPr>
          <w:p w14:paraId="5FA3E800" w14:textId="6D843740"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 of Māori tāngata whaiora who think their whānau are doing well </w:t>
            </w:r>
          </w:p>
        </w:tc>
      </w:tr>
      <w:tr w:rsidR="00B577A9" w:rsidRPr="00B577A9" w14:paraId="5D3F66BE" w14:textId="77777777" w:rsidTr="001005B0">
        <w:trPr>
          <w:gridAfter w:val="1"/>
          <w:wAfter w:w="146" w:type="dxa"/>
          <w:trHeight w:val="300"/>
        </w:trPr>
        <w:tc>
          <w:tcPr>
            <w:tcW w:w="1916" w:type="dxa"/>
            <w:vMerge w:val="restart"/>
            <w:noWrap/>
            <w:hideMark/>
          </w:tcPr>
          <w:p w14:paraId="79436C47" w14:textId="04489740" w:rsidR="00B577A9" w:rsidRPr="00B577A9" w:rsidRDefault="00DC45B0" w:rsidP="00B577A9">
            <w:pPr>
              <w:spacing w:line="240" w:lineRule="auto"/>
              <w:rPr>
                <w:rFonts w:ascii="Times New Roman" w:eastAsia="Times New Roman" w:hAnsi="Times New Roman" w:cs="Times New Roman"/>
                <w:sz w:val="20"/>
                <w:szCs w:val="20"/>
                <w:lang w:eastAsia="en-NZ"/>
              </w:rPr>
            </w:pPr>
            <w:r>
              <w:rPr>
                <w:rFonts w:ascii="Calibri" w:hAnsi="Calibri" w:cs="Calibri"/>
                <w:b/>
                <w:bCs/>
                <w:color w:val="000000"/>
                <w:sz w:val="22"/>
              </w:rPr>
              <w:t>Shared</w:t>
            </w:r>
          </w:p>
        </w:tc>
        <w:tc>
          <w:tcPr>
            <w:tcW w:w="3931" w:type="dxa"/>
            <w:noWrap/>
            <w:hideMark/>
          </w:tcPr>
          <w:p w14:paraId="2A9DCE3D" w14:textId="611886D3"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Being safe and nurtured</w:t>
            </w:r>
          </w:p>
        </w:tc>
        <w:tc>
          <w:tcPr>
            <w:tcW w:w="665" w:type="dxa"/>
          </w:tcPr>
          <w:p w14:paraId="5D5F6F30" w14:textId="04F92EE3" w:rsidR="00581ADF"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b/>
                <w:bCs/>
                <w:color w:val="000000"/>
                <w:sz w:val="22"/>
              </w:rPr>
              <w:t>2051</w:t>
            </w:r>
          </w:p>
        </w:tc>
        <w:tc>
          <w:tcPr>
            <w:tcW w:w="8505" w:type="dxa"/>
            <w:noWrap/>
            <w:hideMark/>
          </w:tcPr>
          <w:p w14:paraId="02FDCA1D" w14:textId="1BAF1F8F" w:rsidR="00B577A9" w:rsidRPr="00B577A9" w:rsidRDefault="00DC45B0" w:rsidP="00B577A9">
            <w:pPr>
              <w:spacing w:line="240" w:lineRule="auto"/>
              <w:rPr>
                <w:rFonts w:ascii="Calibri" w:eastAsia="Times New Roman" w:hAnsi="Calibri" w:cs="Calibri"/>
                <w:color w:val="000000"/>
                <w:sz w:val="22"/>
                <w:lang w:eastAsia="en-NZ"/>
              </w:rPr>
            </w:pPr>
            <w:r>
              <w:rPr>
                <w:rFonts w:ascii="Calibri" w:hAnsi="Calibri" w:cs="Calibri"/>
                <w:color w:val="000000"/>
                <w:sz w:val="22"/>
              </w:rPr>
              <w:t>% of tāngata whaiora who report feeling lonely a little or none or of the time in the last four weeks </w:t>
            </w:r>
          </w:p>
        </w:tc>
      </w:tr>
      <w:tr w:rsidR="0085487E" w:rsidRPr="00B577A9" w14:paraId="1F18A5E4" w14:textId="77777777" w:rsidTr="001005B0">
        <w:trPr>
          <w:gridAfter w:val="1"/>
          <w:wAfter w:w="146" w:type="dxa"/>
          <w:trHeight w:val="300"/>
        </w:trPr>
        <w:tc>
          <w:tcPr>
            <w:tcW w:w="1916" w:type="dxa"/>
            <w:vMerge/>
            <w:noWrap/>
            <w:vAlign w:val="bottom"/>
            <w:hideMark/>
          </w:tcPr>
          <w:p w14:paraId="3B6AD1C2" w14:textId="285A82C6" w:rsidR="0085487E" w:rsidRPr="00B577A9" w:rsidRDefault="0085487E" w:rsidP="001C6801">
            <w:pPr>
              <w:spacing w:line="240" w:lineRule="auto"/>
              <w:rPr>
                <w:rFonts w:ascii="Calibri" w:eastAsia="Times New Roman" w:hAnsi="Calibri" w:cs="Calibri"/>
                <w:b/>
                <w:bCs/>
                <w:color w:val="000000"/>
                <w:sz w:val="22"/>
                <w:lang w:eastAsia="en-NZ"/>
              </w:rPr>
            </w:pPr>
          </w:p>
        </w:tc>
        <w:tc>
          <w:tcPr>
            <w:tcW w:w="3931" w:type="dxa"/>
            <w:noWrap/>
            <w:hideMark/>
          </w:tcPr>
          <w:p w14:paraId="0BFDD7B5" w14:textId="44AA652D" w:rsidR="0085487E" w:rsidRPr="00B577A9" w:rsidRDefault="00DC45B0" w:rsidP="001C6801">
            <w:pPr>
              <w:spacing w:line="240" w:lineRule="auto"/>
              <w:rPr>
                <w:rFonts w:ascii="Calibri" w:eastAsia="Times New Roman" w:hAnsi="Calibri" w:cs="Calibri"/>
                <w:color w:val="000000"/>
                <w:sz w:val="22"/>
                <w:lang w:eastAsia="en-NZ"/>
              </w:rPr>
            </w:pPr>
            <w:r>
              <w:rPr>
                <w:rFonts w:ascii="Calibri" w:hAnsi="Calibri" w:cs="Calibri"/>
                <w:color w:val="000000"/>
                <w:sz w:val="22"/>
              </w:rPr>
              <w:t>Having hope and purpose</w:t>
            </w:r>
          </w:p>
        </w:tc>
        <w:tc>
          <w:tcPr>
            <w:tcW w:w="665" w:type="dxa"/>
          </w:tcPr>
          <w:p w14:paraId="36F61C01" w14:textId="57F83BD9" w:rsidR="00581ADF" w:rsidRPr="00B577A9" w:rsidRDefault="00DC45B0" w:rsidP="00576C89">
            <w:pPr>
              <w:spacing w:line="240" w:lineRule="auto"/>
              <w:rPr>
                <w:rFonts w:ascii="Calibri" w:eastAsia="Times New Roman" w:hAnsi="Calibri" w:cs="Calibri"/>
                <w:color w:val="000000"/>
                <w:sz w:val="22"/>
                <w:lang w:eastAsia="en-NZ"/>
              </w:rPr>
            </w:pPr>
            <w:r>
              <w:rPr>
                <w:rFonts w:ascii="Calibri" w:hAnsi="Calibri" w:cs="Calibri"/>
                <w:b/>
                <w:bCs/>
                <w:color w:val="000000"/>
                <w:sz w:val="22"/>
              </w:rPr>
              <w:t>2056</w:t>
            </w:r>
          </w:p>
        </w:tc>
        <w:tc>
          <w:tcPr>
            <w:tcW w:w="8505" w:type="dxa"/>
            <w:noWrap/>
            <w:hideMark/>
          </w:tcPr>
          <w:p w14:paraId="2448FCD8" w14:textId="13A8D307" w:rsidR="0085487E" w:rsidRPr="00B577A9" w:rsidRDefault="00DC45B0" w:rsidP="001C6801">
            <w:pPr>
              <w:spacing w:line="240" w:lineRule="auto"/>
              <w:rPr>
                <w:rFonts w:ascii="Calibri" w:eastAsia="Times New Roman" w:hAnsi="Calibri" w:cs="Calibri"/>
                <w:color w:val="000000"/>
                <w:sz w:val="22"/>
                <w:lang w:eastAsia="en-NZ"/>
              </w:rPr>
            </w:pPr>
            <w:r>
              <w:rPr>
                <w:rFonts w:ascii="Calibri" w:hAnsi="Calibri" w:cs="Calibri"/>
                <w:color w:val="000000"/>
                <w:sz w:val="22"/>
              </w:rPr>
              <w:t>% of tāngata whaiora who report life is worthwhile</w:t>
            </w:r>
          </w:p>
        </w:tc>
      </w:tr>
      <w:tr w:rsidR="0085487E" w:rsidRPr="00B577A9" w14:paraId="10D2CC63" w14:textId="77777777" w:rsidTr="001005B0">
        <w:trPr>
          <w:gridAfter w:val="1"/>
          <w:wAfter w:w="146" w:type="dxa"/>
          <w:trHeight w:val="300"/>
        </w:trPr>
        <w:tc>
          <w:tcPr>
            <w:tcW w:w="1916" w:type="dxa"/>
            <w:vMerge/>
            <w:noWrap/>
            <w:vAlign w:val="bottom"/>
            <w:hideMark/>
          </w:tcPr>
          <w:p w14:paraId="0FA0D0E1" w14:textId="77777777" w:rsidR="0085487E" w:rsidRPr="00B577A9" w:rsidRDefault="0085487E" w:rsidP="001C6801">
            <w:pPr>
              <w:spacing w:line="240" w:lineRule="auto"/>
              <w:rPr>
                <w:rFonts w:ascii="Times New Roman" w:eastAsia="Times New Roman" w:hAnsi="Times New Roman" w:cs="Times New Roman"/>
                <w:sz w:val="20"/>
                <w:szCs w:val="20"/>
                <w:lang w:eastAsia="en-NZ"/>
              </w:rPr>
            </w:pPr>
          </w:p>
        </w:tc>
        <w:tc>
          <w:tcPr>
            <w:tcW w:w="3931" w:type="dxa"/>
            <w:noWrap/>
            <w:hideMark/>
          </w:tcPr>
          <w:p w14:paraId="277A124B" w14:textId="79A49F33" w:rsidR="0085487E" w:rsidRPr="00B577A9" w:rsidRDefault="00DC45B0" w:rsidP="001C6801">
            <w:pPr>
              <w:spacing w:line="240" w:lineRule="auto"/>
              <w:rPr>
                <w:rFonts w:ascii="Calibri" w:eastAsia="Times New Roman" w:hAnsi="Calibri" w:cs="Calibri"/>
                <w:color w:val="000000"/>
                <w:sz w:val="22"/>
                <w:lang w:eastAsia="en-NZ"/>
              </w:rPr>
            </w:pPr>
            <w:r>
              <w:rPr>
                <w:rFonts w:ascii="Calibri" w:hAnsi="Calibri" w:cs="Calibri"/>
                <w:color w:val="000000"/>
                <w:sz w:val="22"/>
              </w:rPr>
              <w:t>Having one’s rights and dignity fully realised</w:t>
            </w:r>
          </w:p>
        </w:tc>
        <w:tc>
          <w:tcPr>
            <w:tcW w:w="665" w:type="dxa"/>
          </w:tcPr>
          <w:p w14:paraId="2FE0D9F0" w14:textId="3B7C7119" w:rsidR="00581ADF" w:rsidRPr="00B577A9" w:rsidRDefault="00DC45B0" w:rsidP="00576C89">
            <w:pPr>
              <w:spacing w:line="240" w:lineRule="auto"/>
              <w:rPr>
                <w:rFonts w:ascii="Calibri" w:eastAsia="Times New Roman" w:hAnsi="Calibri" w:cs="Calibri"/>
                <w:color w:val="000000"/>
                <w:sz w:val="22"/>
                <w:lang w:eastAsia="en-NZ"/>
              </w:rPr>
            </w:pPr>
            <w:r>
              <w:rPr>
                <w:rFonts w:ascii="Calibri" w:hAnsi="Calibri" w:cs="Calibri"/>
                <w:b/>
                <w:bCs/>
                <w:color w:val="000000"/>
                <w:sz w:val="22"/>
              </w:rPr>
              <w:t>2001</w:t>
            </w:r>
          </w:p>
        </w:tc>
        <w:tc>
          <w:tcPr>
            <w:tcW w:w="8505" w:type="dxa"/>
            <w:noWrap/>
            <w:hideMark/>
          </w:tcPr>
          <w:p w14:paraId="111C96D3" w14:textId="46FDC208" w:rsidR="0085487E" w:rsidRPr="00B577A9" w:rsidRDefault="00DC45B0" w:rsidP="001C6801">
            <w:pPr>
              <w:spacing w:line="240" w:lineRule="auto"/>
              <w:rPr>
                <w:rFonts w:ascii="Calibri" w:eastAsia="Times New Roman" w:hAnsi="Calibri" w:cs="Calibri"/>
                <w:color w:val="000000"/>
                <w:sz w:val="22"/>
                <w:lang w:eastAsia="en-NZ"/>
              </w:rPr>
            </w:pPr>
            <w:r>
              <w:rPr>
                <w:rFonts w:ascii="Calibri" w:hAnsi="Calibri" w:cs="Calibri"/>
                <w:color w:val="000000"/>
                <w:sz w:val="22"/>
              </w:rPr>
              <w:t>% of tāngata whaiora who reported experiencing discrimination in the last year </w:t>
            </w:r>
          </w:p>
        </w:tc>
      </w:tr>
      <w:tr w:rsidR="0085487E" w:rsidRPr="00B577A9" w14:paraId="0F638732" w14:textId="77777777" w:rsidTr="001005B0">
        <w:trPr>
          <w:gridAfter w:val="1"/>
          <w:wAfter w:w="146" w:type="dxa"/>
          <w:trHeight w:val="300"/>
        </w:trPr>
        <w:tc>
          <w:tcPr>
            <w:tcW w:w="1916" w:type="dxa"/>
            <w:vMerge/>
            <w:noWrap/>
            <w:vAlign w:val="bottom"/>
            <w:hideMark/>
          </w:tcPr>
          <w:p w14:paraId="01F79A21" w14:textId="77777777" w:rsidR="0085487E" w:rsidRPr="00B577A9" w:rsidRDefault="0085487E" w:rsidP="001C6801">
            <w:pPr>
              <w:spacing w:line="240" w:lineRule="auto"/>
              <w:rPr>
                <w:rFonts w:ascii="Times New Roman" w:eastAsia="Times New Roman" w:hAnsi="Times New Roman" w:cs="Times New Roman"/>
                <w:sz w:val="20"/>
                <w:szCs w:val="20"/>
                <w:lang w:eastAsia="en-NZ"/>
              </w:rPr>
            </w:pPr>
          </w:p>
        </w:tc>
        <w:tc>
          <w:tcPr>
            <w:tcW w:w="3931" w:type="dxa"/>
            <w:vMerge w:val="restart"/>
            <w:noWrap/>
            <w:hideMark/>
          </w:tcPr>
          <w:p w14:paraId="12E0A541" w14:textId="580A647D" w:rsidR="0085487E" w:rsidRPr="00B577A9" w:rsidRDefault="00DC45B0" w:rsidP="001C6801">
            <w:pPr>
              <w:spacing w:line="240" w:lineRule="auto"/>
              <w:rPr>
                <w:rFonts w:ascii="Calibri" w:eastAsia="Times New Roman" w:hAnsi="Calibri" w:cs="Calibri"/>
                <w:color w:val="000000"/>
                <w:sz w:val="22"/>
                <w:lang w:eastAsia="en-NZ"/>
              </w:rPr>
            </w:pPr>
            <w:r>
              <w:rPr>
                <w:rFonts w:ascii="Calibri" w:hAnsi="Calibri" w:cs="Calibri"/>
                <w:color w:val="000000"/>
                <w:sz w:val="22"/>
              </w:rPr>
              <w:t>Having what is needed</w:t>
            </w:r>
          </w:p>
        </w:tc>
        <w:tc>
          <w:tcPr>
            <w:tcW w:w="665" w:type="dxa"/>
          </w:tcPr>
          <w:p w14:paraId="55AF1BC3" w14:textId="21BDFC6F" w:rsidR="00581ADF" w:rsidRPr="00B577A9" w:rsidRDefault="00DC45B0" w:rsidP="00576C89">
            <w:pPr>
              <w:spacing w:line="240" w:lineRule="auto"/>
              <w:rPr>
                <w:rFonts w:ascii="Calibri" w:eastAsia="Times New Roman" w:hAnsi="Calibri" w:cs="Calibri"/>
                <w:color w:val="000000"/>
                <w:sz w:val="22"/>
                <w:lang w:eastAsia="en-NZ"/>
              </w:rPr>
            </w:pPr>
            <w:r>
              <w:rPr>
                <w:rFonts w:ascii="Calibri" w:hAnsi="Calibri" w:cs="Calibri"/>
                <w:b/>
                <w:bCs/>
                <w:color w:val="000000"/>
                <w:sz w:val="22"/>
              </w:rPr>
              <w:t>2003</w:t>
            </w:r>
          </w:p>
        </w:tc>
        <w:tc>
          <w:tcPr>
            <w:tcW w:w="8505" w:type="dxa"/>
            <w:noWrap/>
            <w:hideMark/>
          </w:tcPr>
          <w:p w14:paraId="4F306A1C" w14:textId="164ED423" w:rsidR="0085487E" w:rsidRPr="00B577A9" w:rsidRDefault="00DC45B0" w:rsidP="001C6801">
            <w:pPr>
              <w:spacing w:line="240" w:lineRule="auto"/>
              <w:rPr>
                <w:rFonts w:ascii="Calibri" w:eastAsia="Times New Roman" w:hAnsi="Calibri" w:cs="Calibri"/>
                <w:color w:val="000000"/>
                <w:sz w:val="22"/>
                <w:lang w:eastAsia="en-NZ"/>
              </w:rPr>
            </w:pPr>
            <w:r>
              <w:rPr>
                <w:rFonts w:ascii="Calibri" w:hAnsi="Calibri" w:cs="Calibri"/>
                <w:color w:val="000000"/>
                <w:sz w:val="22"/>
              </w:rPr>
              <w:t xml:space="preserve">% of tāngata whaiora enrolled in any study whether formal or informal </w:t>
            </w:r>
          </w:p>
        </w:tc>
      </w:tr>
      <w:tr w:rsidR="0085487E" w:rsidRPr="00B577A9" w14:paraId="6D77A54F" w14:textId="77777777" w:rsidTr="001005B0">
        <w:trPr>
          <w:gridAfter w:val="1"/>
          <w:wAfter w:w="146" w:type="dxa"/>
          <w:trHeight w:val="300"/>
        </w:trPr>
        <w:tc>
          <w:tcPr>
            <w:tcW w:w="1916" w:type="dxa"/>
            <w:vMerge/>
            <w:noWrap/>
            <w:vAlign w:val="bottom"/>
            <w:hideMark/>
          </w:tcPr>
          <w:p w14:paraId="78464687" w14:textId="77777777" w:rsidR="0085487E" w:rsidRPr="00B577A9" w:rsidRDefault="0085487E" w:rsidP="001C6801">
            <w:pPr>
              <w:spacing w:line="240" w:lineRule="auto"/>
              <w:rPr>
                <w:rFonts w:ascii="Times New Roman" w:eastAsia="Times New Roman" w:hAnsi="Times New Roman" w:cs="Times New Roman"/>
                <w:sz w:val="20"/>
                <w:szCs w:val="20"/>
                <w:lang w:eastAsia="en-NZ"/>
              </w:rPr>
            </w:pPr>
          </w:p>
        </w:tc>
        <w:tc>
          <w:tcPr>
            <w:tcW w:w="3931" w:type="dxa"/>
            <w:vMerge/>
            <w:noWrap/>
            <w:hideMark/>
          </w:tcPr>
          <w:p w14:paraId="3B0CA02E" w14:textId="692CFDC2" w:rsidR="0085487E" w:rsidRPr="00B577A9" w:rsidRDefault="0085487E" w:rsidP="001C6801">
            <w:pPr>
              <w:spacing w:line="240" w:lineRule="auto"/>
              <w:rPr>
                <w:rFonts w:ascii="Calibri" w:eastAsia="Times New Roman" w:hAnsi="Calibri" w:cs="Calibri"/>
                <w:color w:val="000000"/>
                <w:sz w:val="22"/>
                <w:lang w:eastAsia="en-NZ"/>
              </w:rPr>
            </w:pPr>
          </w:p>
        </w:tc>
        <w:tc>
          <w:tcPr>
            <w:tcW w:w="665" w:type="dxa"/>
          </w:tcPr>
          <w:p w14:paraId="3A7C8DA9" w14:textId="7E0FDA68" w:rsidR="00581ADF" w:rsidRPr="00B577A9" w:rsidRDefault="00DC45B0" w:rsidP="00576C89">
            <w:pPr>
              <w:spacing w:line="240" w:lineRule="auto"/>
              <w:rPr>
                <w:rFonts w:ascii="Calibri" w:eastAsia="Times New Roman" w:hAnsi="Calibri" w:cs="Calibri"/>
                <w:color w:val="000000"/>
                <w:sz w:val="22"/>
                <w:lang w:eastAsia="en-NZ"/>
              </w:rPr>
            </w:pPr>
            <w:r>
              <w:rPr>
                <w:rFonts w:ascii="Calibri" w:hAnsi="Calibri" w:cs="Calibri"/>
                <w:b/>
                <w:bCs/>
                <w:color w:val="000000"/>
                <w:sz w:val="22"/>
              </w:rPr>
              <w:t>2011</w:t>
            </w:r>
          </w:p>
        </w:tc>
        <w:tc>
          <w:tcPr>
            <w:tcW w:w="8505" w:type="dxa"/>
            <w:noWrap/>
            <w:hideMark/>
          </w:tcPr>
          <w:p w14:paraId="6E69D75B" w14:textId="07E2F731" w:rsidR="0085487E" w:rsidRPr="00B577A9" w:rsidRDefault="00DC45B0" w:rsidP="001C6801">
            <w:pPr>
              <w:spacing w:line="240" w:lineRule="auto"/>
              <w:rPr>
                <w:rFonts w:ascii="Calibri" w:eastAsia="Times New Roman" w:hAnsi="Calibri" w:cs="Calibri"/>
                <w:color w:val="000000"/>
                <w:sz w:val="22"/>
                <w:lang w:eastAsia="en-NZ"/>
              </w:rPr>
            </w:pPr>
            <w:r>
              <w:rPr>
                <w:rFonts w:ascii="Calibri" w:hAnsi="Calibri" w:cs="Calibri"/>
                <w:color w:val="000000"/>
                <w:sz w:val="22"/>
              </w:rPr>
              <w:t>% of tāngata whaiora who undertake 2.5 + hours of physical activity per week </w:t>
            </w:r>
          </w:p>
        </w:tc>
      </w:tr>
      <w:tr w:rsidR="0085487E" w:rsidRPr="00B577A9" w14:paraId="342A7CD2" w14:textId="77777777" w:rsidTr="001005B0">
        <w:trPr>
          <w:gridAfter w:val="1"/>
          <w:wAfter w:w="146" w:type="dxa"/>
          <w:trHeight w:val="300"/>
        </w:trPr>
        <w:tc>
          <w:tcPr>
            <w:tcW w:w="1916" w:type="dxa"/>
            <w:vMerge/>
            <w:noWrap/>
            <w:vAlign w:val="bottom"/>
            <w:hideMark/>
          </w:tcPr>
          <w:p w14:paraId="220DAD3B" w14:textId="77777777" w:rsidR="0085487E" w:rsidRPr="00B577A9" w:rsidRDefault="0085487E" w:rsidP="001C6801">
            <w:pPr>
              <w:spacing w:line="240" w:lineRule="auto"/>
              <w:rPr>
                <w:rFonts w:ascii="Times New Roman" w:eastAsia="Times New Roman" w:hAnsi="Times New Roman" w:cs="Times New Roman"/>
                <w:sz w:val="20"/>
                <w:szCs w:val="20"/>
                <w:lang w:eastAsia="en-NZ"/>
              </w:rPr>
            </w:pPr>
          </w:p>
        </w:tc>
        <w:tc>
          <w:tcPr>
            <w:tcW w:w="3931" w:type="dxa"/>
            <w:vMerge/>
            <w:noWrap/>
            <w:hideMark/>
          </w:tcPr>
          <w:p w14:paraId="01BB68B5" w14:textId="77777777" w:rsidR="0085487E" w:rsidRPr="00B577A9" w:rsidRDefault="0085487E" w:rsidP="001C6801">
            <w:pPr>
              <w:spacing w:line="240" w:lineRule="auto"/>
              <w:rPr>
                <w:rFonts w:ascii="Times New Roman" w:eastAsia="Times New Roman" w:hAnsi="Times New Roman" w:cs="Times New Roman"/>
                <w:sz w:val="20"/>
                <w:szCs w:val="20"/>
                <w:lang w:eastAsia="en-NZ"/>
              </w:rPr>
            </w:pPr>
          </w:p>
        </w:tc>
        <w:tc>
          <w:tcPr>
            <w:tcW w:w="665" w:type="dxa"/>
          </w:tcPr>
          <w:p w14:paraId="16141036" w14:textId="2931BBB7" w:rsidR="00581ADF" w:rsidRPr="00B577A9" w:rsidRDefault="00DC45B0" w:rsidP="00576C89">
            <w:pPr>
              <w:spacing w:line="240" w:lineRule="auto"/>
              <w:rPr>
                <w:rFonts w:ascii="Calibri" w:eastAsia="Times New Roman" w:hAnsi="Calibri" w:cs="Calibri"/>
                <w:color w:val="000000"/>
                <w:sz w:val="22"/>
                <w:lang w:eastAsia="en-NZ"/>
              </w:rPr>
            </w:pPr>
            <w:r>
              <w:rPr>
                <w:rFonts w:ascii="Calibri" w:hAnsi="Calibri" w:cs="Calibri"/>
                <w:b/>
                <w:bCs/>
                <w:color w:val="000000"/>
                <w:sz w:val="22"/>
              </w:rPr>
              <w:t>2017</w:t>
            </w:r>
          </w:p>
        </w:tc>
        <w:tc>
          <w:tcPr>
            <w:tcW w:w="8505" w:type="dxa"/>
            <w:noWrap/>
            <w:hideMark/>
          </w:tcPr>
          <w:p w14:paraId="0DACAB0B" w14:textId="027C530A" w:rsidR="0085487E" w:rsidRPr="00B577A9" w:rsidRDefault="0085487E" w:rsidP="001C6801">
            <w:pPr>
              <w:spacing w:line="240" w:lineRule="auto"/>
              <w:rPr>
                <w:rFonts w:ascii="Calibri" w:eastAsia="Times New Roman" w:hAnsi="Calibri" w:cs="Calibri"/>
                <w:color w:val="000000"/>
                <w:sz w:val="22"/>
                <w:lang w:eastAsia="en-NZ"/>
              </w:rPr>
            </w:pPr>
            <w:r>
              <w:rPr>
                <w:rFonts w:ascii="Calibri" w:hAnsi="Calibri" w:cs="Calibri"/>
                <w:color w:val="000000"/>
                <w:sz w:val="22"/>
              </w:rPr>
              <w:t>% of tāngata whaiora who felt their income was enough or more than enough to meet their everyday needs </w:t>
            </w:r>
          </w:p>
        </w:tc>
      </w:tr>
      <w:tr w:rsidR="0085487E" w:rsidRPr="00B577A9" w14:paraId="660E5222" w14:textId="77777777" w:rsidTr="001005B0">
        <w:trPr>
          <w:gridAfter w:val="1"/>
          <w:wAfter w:w="146" w:type="dxa"/>
          <w:trHeight w:val="300"/>
        </w:trPr>
        <w:tc>
          <w:tcPr>
            <w:tcW w:w="1916" w:type="dxa"/>
            <w:vMerge/>
            <w:noWrap/>
            <w:vAlign w:val="bottom"/>
            <w:hideMark/>
          </w:tcPr>
          <w:p w14:paraId="5D035B21" w14:textId="77777777" w:rsidR="0085487E" w:rsidRPr="00B577A9" w:rsidRDefault="0085487E" w:rsidP="001C6801">
            <w:pPr>
              <w:spacing w:line="240" w:lineRule="auto"/>
              <w:rPr>
                <w:rFonts w:ascii="Times New Roman" w:eastAsia="Times New Roman" w:hAnsi="Times New Roman" w:cs="Times New Roman"/>
                <w:sz w:val="20"/>
                <w:szCs w:val="20"/>
                <w:lang w:eastAsia="en-NZ"/>
              </w:rPr>
            </w:pPr>
          </w:p>
        </w:tc>
        <w:tc>
          <w:tcPr>
            <w:tcW w:w="3931" w:type="dxa"/>
            <w:noWrap/>
            <w:hideMark/>
          </w:tcPr>
          <w:p w14:paraId="64CBEED5" w14:textId="768A6665" w:rsidR="0085487E" w:rsidRPr="00B577A9" w:rsidRDefault="00DC45B0" w:rsidP="001C6801">
            <w:pPr>
              <w:spacing w:line="240" w:lineRule="auto"/>
              <w:rPr>
                <w:rFonts w:ascii="Times New Roman" w:eastAsia="Times New Roman" w:hAnsi="Times New Roman" w:cs="Times New Roman"/>
                <w:sz w:val="20"/>
                <w:szCs w:val="20"/>
                <w:lang w:eastAsia="en-NZ"/>
              </w:rPr>
            </w:pPr>
            <w:r>
              <w:rPr>
                <w:rFonts w:ascii="Calibri" w:hAnsi="Calibri" w:cs="Calibri"/>
                <w:color w:val="000000"/>
                <w:sz w:val="22"/>
              </w:rPr>
              <w:t>Healing, growth and being resilient</w:t>
            </w:r>
          </w:p>
        </w:tc>
        <w:tc>
          <w:tcPr>
            <w:tcW w:w="665" w:type="dxa"/>
          </w:tcPr>
          <w:p w14:paraId="149AE79B" w14:textId="368720A3" w:rsidR="00581ADF" w:rsidRPr="00B577A9" w:rsidRDefault="00DC45B0" w:rsidP="00576C89">
            <w:pPr>
              <w:spacing w:line="240" w:lineRule="auto"/>
              <w:rPr>
                <w:rFonts w:ascii="Calibri" w:eastAsia="Times New Roman" w:hAnsi="Calibri" w:cs="Calibri"/>
                <w:color w:val="000000"/>
                <w:sz w:val="22"/>
                <w:lang w:eastAsia="en-NZ"/>
              </w:rPr>
            </w:pPr>
            <w:r>
              <w:rPr>
                <w:rFonts w:ascii="Calibri" w:hAnsi="Calibri" w:cs="Calibri"/>
                <w:b/>
                <w:bCs/>
                <w:color w:val="000000"/>
                <w:sz w:val="22"/>
              </w:rPr>
              <w:t>2053</w:t>
            </w:r>
          </w:p>
        </w:tc>
        <w:tc>
          <w:tcPr>
            <w:tcW w:w="8505" w:type="dxa"/>
            <w:noWrap/>
            <w:hideMark/>
          </w:tcPr>
          <w:p w14:paraId="7E964627" w14:textId="72B39791" w:rsidR="0085487E" w:rsidRPr="00B577A9" w:rsidRDefault="00DC45B0" w:rsidP="001C6801">
            <w:pPr>
              <w:spacing w:line="240" w:lineRule="auto"/>
              <w:rPr>
                <w:rFonts w:ascii="Calibri" w:eastAsia="Times New Roman" w:hAnsi="Calibri" w:cs="Calibri"/>
                <w:color w:val="000000"/>
                <w:sz w:val="22"/>
                <w:lang w:eastAsia="en-NZ"/>
              </w:rPr>
            </w:pPr>
            <w:r>
              <w:rPr>
                <w:rFonts w:ascii="Calibri" w:hAnsi="Calibri" w:cs="Calibri"/>
                <w:color w:val="000000"/>
                <w:sz w:val="22"/>
              </w:rPr>
              <w:t>% of tāngata whaiora who said it would be 'very easy' or 'easy' to talk to someone if they felt down or a bit depressed </w:t>
            </w:r>
          </w:p>
        </w:tc>
      </w:tr>
    </w:tbl>
    <w:p w14:paraId="3F458287" w14:textId="77777777" w:rsidR="009E4CEF" w:rsidRDefault="009E4CEF" w:rsidP="0042741D">
      <w:pPr>
        <w:sectPr w:rsidR="009E4CEF" w:rsidSect="00FB3331">
          <w:type w:val="continuous"/>
          <w:pgSz w:w="16840" w:h="11910" w:orient="landscape"/>
          <w:pgMar w:top="1440" w:right="1440" w:bottom="1440" w:left="1440" w:header="709" w:footer="397" w:gutter="0"/>
          <w:cols w:space="708"/>
          <w:titlePg/>
          <w:docGrid w:linePitch="326"/>
        </w:sectPr>
      </w:pPr>
    </w:p>
    <w:p w14:paraId="06C6E099" w14:textId="022EC506" w:rsidR="0042741D" w:rsidRDefault="007A3156" w:rsidP="0042741D">
      <w:r w:rsidRPr="00653EBC">
        <w:rPr>
          <w:noProof/>
        </w:rPr>
        <w:lastRenderedPageBreak/>
        <w:drawing>
          <wp:anchor distT="0" distB="0" distL="114300" distR="114300" simplePos="0" relativeHeight="251658242" behindDoc="0" locked="0" layoutInCell="1" allowOverlap="1" wp14:anchorId="57493A77" wp14:editId="32915FF7">
            <wp:simplePos x="0" y="0"/>
            <wp:positionH relativeFrom="margin">
              <wp:align>left</wp:align>
            </wp:positionH>
            <wp:positionV relativeFrom="paragraph">
              <wp:posOffset>8433892</wp:posOffset>
            </wp:positionV>
            <wp:extent cx="2289976" cy="416272"/>
            <wp:effectExtent l="0" t="0" r="0" b="3175"/>
            <wp:wrapNone/>
            <wp:docPr id="27" name="Picture 27"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black, darkness&#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89976" cy="416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9C0A1" w14:textId="77777777" w:rsidR="0008634F" w:rsidRPr="0008634F" w:rsidRDefault="0008634F" w:rsidP="0008634F"/>
    <w:p w14:paraId="5FAD5644" w14:textId="77777777" w:rsidR="0008634F" w:rsidRPr="0008634F" w:rsidRDefault="0008634F" w:rsidP="0008634F"/>
    <w:p w14:paraId="7EF97D32" w14:textId="77777777" w:rsidR="0008634F" w:rsidRDefault="0008634F" w:rsidP="0008634F"/>
    <w:p w14:paraId="2261536A" w14:textId="5DF3448F" w:rsidR="0042741D" w:rsidRPr="0042741D" w:rsidRDefault="0008634F" w:rsidP="0008634F">
      <w:pPr>
        <w:tabs>
          <w:tab w:val="left" w:pos="6324"/>
        </w:tabs>
      </w:pPr>
      <w:r>
        <w:rPr>
          <w:noProof/>
        </w:rPr>
        <w:drawing>
          <wp:anchor distT="0" distB="0" distL="114300" distR="114300" simplePos="0" relativeHeight="251658243" behindDoc="0" locked="0" layoutInCell="1" allowOverlap="1" wp14:anchorId="4A7342B7" wp14:editId="320A9696">
            <wp:simplePos x="0" y="0"/>
            <wp:positionH relativeFrom="margin">
              <wp:align>right</wp:align>
            </wp:positionH>
            <wp:positionV relativeFrom="margin">
              <wp:align>bottom</wp:align>
            </wp:positionV>
            <wp:extent cx="1799590" cy="808990"/>
            <wp:effectExtent l="0" t="0" r="0" b="0"/>
            <wp:wrapNone/>
            <wp:docPr id="2043395039" name="Picture 2043395039"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95039" name="Picture 2043395039" descr="A picture containing text, font, graphics,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9590" cy="808990"/>
                    </a:xfrm>
                    <a:prstGeom prst="rect">
                      <a:avLst/>
                    </a:prstGeom>
                  </pic:spPr>
                </pic:pic>
              </a:graphicData>
            </a:graphic>
          </wp:anchor>
        </w:drawing>
      </w:r>
      <w:r>
        <w:tab/>
      </w:r>
    </w:p>
    <w:sectPr w:rsidR="0042741D" w:rsidRPr="0042741D" w:rsidSect="00BA3BA3">
      <w:pgSz w:w="11910" w:h="16840"/>
      <w:pgMar w:top="1440" w:right="1440" w:bottom="1440" w:left="1440" w:header="709"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0492" w14:textId="77777777" w:rsidR="00760133" w:rsidRDefault="00760133" w:rsidP="00D7611D">
      <w:pPr>
        <w:spacing w:after="0" w:line="240" w:lineRule="auto"/>
      </w:pPr>
      <w:r>
        <w:separator/>
      </w:r>
    </w:p>
  </w:endnote>
  <w:endnote w:type="continuationSeparator" w:id="0">
    <w:p w14:paraId="753F0461" w14:textId="77777777" w:rsidR="00760133" w:rsidRDefault="00760133" w:rsidP="00D7611D">
      <w:pPr>
        <w:spacing w:after="0" w:line="240" w:lineRule="auto"/>
      </w:pPr>
      <w:r>
        <w:continuationSeparator/>
      </w:r>
    </w:p>
  </w:endnote>
  <w:endnote w:type="continuationNotice" w:id="1">
    <w:p w14:paraId="183973EA" w14:textId="77777777" w:rsidR="00760133" w:rsidRDefault="00760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Sans Light">
    <w:altName w:val="Calibri"/>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ic Sans">
    <w:altName w:val="Calibri"/>
    <w:panose1 w:val="000005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9C6E" w14:textId="69603898" w:rsidR="00547A22" w:rsidRPr="00D16702" w:rsidRDefault="00D16702" w:rsidP="00CF097E">
    <w:pPr>
      <w:pStyle w:val="Footer"/>
      <w:rPr>
        <w:rFonts w:ascii="Basic Sans" w:hAnsi="Basic Sans"/>
        <w:sz w:val="20"/>
        <w:szCs w:val="20"/>
      </w:rPr>
    </w:pPr>
    <w:r>
      <w:rPr>
        <w:sz w:val="20"/>
        <w:szCs w:val="20"/>
      </w:rPr>
      <w:t>Te Hir</w:t>
    </w:r>
    <w:r w:rsidR="00AC7B77">
      <w:rPr>
        <w:sz w:val="20"/>
        <w:szCs w:val="20"/>
      </w:rPr>
      <w:t>inga Mahara</w:t>
    </w:r>
    <w:r w:rsidRPr="00A3526A">
      <w:rPr>
        <w:sz w:val="20"/>
        <w:szCs w:val="20"/>
      </w:rPr>
      <w:t xml:space="preserve"> </w:t>
    </w:r>
    <w:r w:rsidRPr="00A3526A">
      <w:rPr>
        <w:rFonts w:ascii="Courier New" w:hAnsi="Courier New" w:cs="Courier New"/>
        <w:sz w:val="20"/>
        <w:szCs w:val="20"/>
      </w:rPr>
      <w:t>│</w:t>
    </w:r>
    <w:r w:rsidRPr="00A3526A">
      <w:rPr>
        <w:rFonts w:cs="Courier New"/>
        <w:sz w:val="20"/>
        <w:szCs w:val="20"/>
      </w:rPr>
      <w:t xml:space="preserve"> </w:t>
    </w:r>
    <w:r w:rsidR="00AC7B77">
      <w:rPr>
        <w:sz w:val="20"/>
        <w:szCs w:val="20"/>
      </w:rPr>
      <w:t xml:space="preserve">Mental </w:t>
    </w:r>
    <w:r w:rsidR="001D3B4C">
      <w:rPr>
        <w:sz w:val="20"/>
        <w:szCs w:val="20"/>
      </w:rPr>
      <w:t>Health Wellbeing Commission</w:t>
    </w:r>
    <w:r w:rsidRPr="00A3526A">
      <w:rPr>
        <w:sz w:val="20"/>
        <w:szCs w:val="20"/>
      </w:rPr>
      <w:tab/>
    </w:r>
    <w:r w:rsidRPr="00A3526A">
      <w:rPr>
        <w:sz w:val="20"/>
        <w:szCs w:val="20"/>
      </w:rPr>
      <w:fldChar w:fldCharType="begin"/>
    </w:r>
    <w:r w:rsidRPr="009E5AC8">
      <w:rPr>
        <w:sz w:val="20"/>
        <w:szCs w:val="20"/>
      </w:rPr>
      <w:instrText xml:space="preserve"> PAGE </w:instrText>
    </w:r>
    <w:r w:rsidRPr="00A3526A">
      <w:rPr>
        <w:sz w:val="20"/>
        <w:szCs w:val="20"/>
      </w:rPr>
      <w:fldChar w:fldCharType="separate"/>
    </w:r>
    <w:r>
      <w:rPr>
        <w:sz w:val="20"/>
        <w:szCs w:val="20"/>
      </w:rPr>
      <w:t>15</w:t>
    </w:r>
    <w:r w:rsidRPr="00A3526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93990"/>
      <w:docPartObj>
        <w:docPartGallery w:val="Page Numbers (Bottom of Page)"/>
        <w:docPartUnique/>
      </w:docPartObj>
    </w:sdtPr>
    <w:sdtEndPr>
      <w:rPr>
        <w:noProof/>
      </w:rPr>
    </w:sdtEndPr>
    <w:sdtContent>
      <w:sdt>
        <w:sdtPr>
          <w:rPr>
            <w:rFonts w:ascii="Basic Sans" w:hAnsi="Basic Sans"/>
            <w:sz w:val="20"/>
            <w:szCs w:val="20"/>
          </w:rPr>
          <w:id w:val="1226187130"/>
          <w:docPartObj>
            <w:docPartGallery w:val="Page Numbers (Bottom of Page)"/>
            <w:docPartUnique/>
          </w:docPartObj>
        </w:sdtPr>
        <w:sdtContent>
          <w:p w14:paraId="491310E8" w14:textId="4DE222F6" w:rsidR="00323D37" w:rsidRPr="007B3AB8" w:rsidRDefault="00BE24DD">
            <w:pPr>
              <w:pStyle w:val="Footer"/>
              <w:rPr>
                <w:rFonts w:ascii="Basic Sans" w:hAnsi="Basic Sans"/>
                <w:sz w:val="20"/>
                <w:szCs w:val="20"/>
              </w:rPr>
            </w:pPr>
            <w:r>
              <w:rPr>
                <w:sz w:val="20"/>
                <w:szCs w:val="20"/>
              </w:rPr>
              <w:t>He Ara Āwhina framework</w:t>
            </w:r>
            <w:r w:rsidRPr="00A3526A">
              <w:rPr>
                <w:sz w:val="20"/>
                <w:szCs w:val="20"/>
              </w:rPr>
              <w:t xml:space="preserve"> </w:t>
            </w:r>
            <w:r w:rsidRPr="00A3526A">
              <w:rPr>
                <w:rFonts w:ascii="Courier New" w:hAnsi="Courier New" w:cs="Courier New"/>
                <w:sz w:val="20"/>
                <w:szCs w:val="20"/>
              </w:rPr>
              <w:t>│</w:t>
            </w:r>
            <w:r w:rsidRPr="00A3526A">
              <w:rPr>
                <w:rFonts w:cs="Courier New"/>
                <w:sz w:val="20"/>
                <w:szCs w:val="20"/>
              </w:rPr>
              <w:t xml:space="preserve"> </w:t>
            </w:r>
            <w:r>
              <w:rPr>
                <w:sz w:val="20"/>
                <w:szCs w:val="20"/>
              </w:rPr>
              <w:t>Phase 1 methods and measures</w:t>
            </w:r>
            <w:r w:rsidRPr="00A3526A">
              <w:rPr>
                <w:sz w:val="20"/>
                <w:szCs w:val="20"/>
              </w:rPr>
              <w:tab/>
            </w:r>
            <w:r w:rsidRPr="00A3526A">
              <w:rPr>
                <w:sz w:val="20"/>
                <w:szCs w:val="20"/>
              </w:rPr>
              <w:fldChar w:fldCharType="begin"/>
            </w:r>
            <w:r w:rsidRPr="009E5AC8">
              <w:rPr>
                <w:sz w:val="20"/>
                <w:szCs w:val="20"/>
              </w:rPr>
              <w:instrText xml:space="preserve"> PAGE </w:instrText>
            </w:r>
            <w:r w:rsidRPr="00A3526A">
              <w:rPr>
                <w:sz w:val="20"/>
                <w:szCs w:val="20"/>
              </w:rPr>
              <w:fldChar w:fldCharType="separate"/>
            </w:r>
            <w:r>
              <w:rPr>
                <w:sz w:val="20"/>
                <w:szCs w:val="20"/>
              </w:rPr>
              <w:t>3</w:t>
            </w:r>
            <w:r w:rsidRPr="00A3526A">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CB1E" w14:textId="77777777" w:rsidR="00760133" w:rsidRDefault="00760133" w:rsidP="00D7611D">
      <w:pPr>
        <w:spacing w:after="0" w:line="240" w:lineRule="auto"/>
      </w:pPr>
      <w:r>
        <w:separator/>
      </w:r>
    </w:p>
  </w:footnote>
  <w:footnote w:type="continuationSeparator" w:id="0">
    <w:p w14:paraId="296CEC2A" w14:textId="77777777" w:rsidR="00760133" w:rsidRDefault="00760133" w:rsidP="00D7611D">
      <w:pPr>
        <w:spacing w:after="0" w:line="240" w:lineRule="auto"/>
      </w:pPr>
      <w:r>
        <w:continuationSeparator/>
      </w:r>
    </w:p>
  </w:footnote>
  <w:footnote w:type="continuationNotice" w:id="1">
    <w:p w14:paraId="4A5BCF40" w14:textId="77777777" w:rsidR="00760133" w:rsidRDefault="00760133">
      <w:pPr>
        <w:spacing w:after="0" w:line="240" w:lineRule="auto"/>
      </w:pPr>
    </w:p>
  </w:footnote>
  <w:footnote w:id="2">
    <w:p w14:paraId="02C13E29" w14:textId="2A55CACF" w:rsidR="0085658E" w:rsidRPr="009E5AC8" w:rsidRDefault="0085658E">
      <w:pPr>
        <w:pStyle w:val="FootnoteText"/>
        <w:rPr>
          <w:lang w:val="en-NZ"/>
        </w:rPr>
      </w:pPr>
      <w:r>
        <w:rPr>
          <w:rStyle w:val="FootnoteReference"/>
        </w:rPr>
        <w:footnoteRef/>
      </w:r>
      <w:r>
        <w:t xml:space="preserve"> </w:t>
      </w:r>
      <w:r w:rsidRPr="009E5AC8">
        <w:rPr>
          <w:rFonts w:ascii="Basic Sans Light" w:hAnsi="Basic Sans Light"/>
        </w:rPr>
        <w:t xml:space="preserve">Our use of the terms indicators and measures is intentional given the application of this outcomes framework to both a population-level </w:t>
      </w:r>
      <w:r w:rsidRPr="009E5AC8">
        <w:rPr>
          <w:rFonts w:ascii="Basic Sans Light" w:hAnsi="Basic Sans Light"/>
          <w:b/>
          <w:bCs/>
        </w:rPr>
        <w:t>and</w:t>
      </w:r>
      <w:r w:rsidRPr="009E5AC8">
        <w:rPr>
          <w:rFonts w:ascii="Basic Sans Light" w:hAnsi="Basic Sans Light"/>
        </w:rPr>
        <w:t xml:space="preserve"> mental health and addiction service-level. Data sources, scale, and to whom the data applies differs for indicators and measures. See our </w:t>
      </w:r>
      <w:r w:rsidR="00801DBA">
        <w:rPr>
          <w:rFonts w:ascii="Basic Sans Light" w:hAnsi="Basic Sans Light"/>
        </w:rPr>
        <w:t xml:space="preserve">common language in </w:t>
      </w:r>
      <w:hyperlink w:anchor="_Appendix_2:_Common" w:history="1">
        <w:r w:rsidR="00801DBA" w:rsidRPr="00EA6582">
          <w:rPr>
            <w:rStyle w:val="Hyperlink"/>
            <w:rFonts w:ascii="Basic Sans Light" w:hAnsi="Basic Sans Light"/>
            <w:u w:val="none"/>
          </w:rPr>
          <w:t>Appendix 2</w:t>
        </w:r>
      </w:hyperlink>
      <w:r w:rsidR="00801DBA">
        <w:rPr>
          <w:rFonts w:ascii="Basic Sans Light" w:hAnsi="Basic Sans Light"/>
        </w:rPr>
        <w:t xml:space="preserve"> </w:t>
      </w:r>
      <w:r w:rsidRPr="009E5AC8">
        <w:rPr>
          <w:rFonts w:ascii="Basic Sans Light" w:hAnsi="Basic Sans Light"/>
        </w:rPr>
        <w:t>for more information.</w:t>
      </w:r>
    </w:p>
  </w:footnote>
  <w:footnote w:id="3">
    <w:p w14:paraId="61BBBCCA" w14:textId="53B53443" w:rsidR="0022229F" w:rsidRPr="00235B8C" w:rsidRDefault="0022229F" w:rsidP="00355FF3">
      <w:pPr>
        <w:pStyle w:val="FootnoteText"/>
        <w:rPr>
          <w:rFonts w:ascii="Basic Sans Light" w:hAnsi="Basic Sans Light"/>
          <w:lang w:val="mi-NZ"/>
        </w:rPr>
      </w:pPr>
      <w:r w:rsidRPr="00FC55D8">
        <w:rPr>
          <w:rStyle w:val="FootnoteReference"/>
          <w:rFonts w:ascii="Basic Sans Light" w:hAnsi="Basic Sans Light"/>
        </w:rPr>
        <w:footnoteRef/>
      </w:r>
      <w:r w:rsidRPr="00FC55D8">
        <w:rPr>
          <w:rFonts w:ascii="Basic Sans Light" w:hAnsi="Basic Sans Light"/>
        </w:rPr>
        <w:t xml:space="preserve"> </w:t>
      </w:r>
      <w:r w:rsidRPr="00FC55D8">
        <w:rPr>
          <w:rFonts w:ascii="Basic Sans Light" w:hAnsi="Basic Sans Light"/>
          <w:lang w:val="mi-NZ"/>
        </w:rPr>
        <w:t xml:space="preserve">Data </w:t>
      </w:r>
      <w:r w:rsidR="00022B3E">
        <w:rPr>
          <w:rFonts w:ascii="Basic Sans Light" w:hAnsi="Basic Sans Light"/>
          <w:lang w:val="mi-NZ"/>
        </w:rPr>
        <w:t>includes</w:t>
      </w:r>
      <w:r w:rsidR="00355FF3" w:rsidRPr="00235B8C">
        <w:rPr>
          <w:rFonts w:ascii="Basic Sans Light" w:hAnsi="Basic Sans Light"/>
          <w:lang w:val="mi-NZ"/>
        </w:rPr>
        <w:t xml:space="preserve"> all methods and measures</w:t>
      </w:r>
      <w:r w:rsidR="00022B3E">
        <w:rPr>
          <w:rFonts w:ascii="Basic Sans Light" w:hAnsi="Basic Sans Light"/>
          <w:lang w:val="mi-NZ"/>
        </w:rPr>
        <w:t xml:space="preserve">, </w:t>
      </w:r>
      <w:r w:rsidR="00355FF3" w:rsidRPr="00235B8C">
        <w:rPr>
          <w:rFonts w:ascii="Basic Sans Light" w:hAnsi="Basic Sans Light"/>
          <w:lang w:val="mi-NZ"/>
        </w:rPr>
        <w:t>quantitative and</w:t>
      </w:r>
      <w:r w:rsidR="00022B3E">
        <w:rPr>
          <w:rFonts w:ascii="Basic Sans Light" w:hAnsi="Basic Sans Light"/>
          <w:lang w:val="mi-NZ"/>
        </w:rPr>
        <w:t xml:space="preserve"> </w:t>
      </w:r>
      <w:r w:rsidR="00355FF3" w:rsidRPr="00235B8C">
        <w:rPr>
          <w:rFonts w:ascii="Basic Sans Light" w:hAnsi="Basic Sans Light"/>
          <w:lang w:val="mi-NZ"/>
        </w:rPr>
        <w:t>qualitative.</w:t>
      </w:r>
    </w:p>
  </w:footnote>
  <w:footnote w:id="4">
    <w:p w14:paraId="0A565337" w14:textId="7DB09BF1" w:rsidR="00400752" w:rsidRPr="0070345C" w:rsidRDefault="00400752">
      <w:pPr>
        <w:pStyle w:val="FootnoteText"/>
        <w:rPr>
          <w:rFonts w:ascii="Basic Sans Light" w:hAnsi="Basic Sans Light"/>
          <w:lang w:val="mi-NZ"/>
        </w:rPr>
      </w:pPr>
      <w:r>
        <w:rPr>
          <w:rStyle w:val="FootnoteReference"/>
        </w:rPr>
        <w:footnoteRef/>
      </w:r>
      <w:r>
        <w:t xml:space="preserve"> </w:t>
      </w:r>
      <w:r w:rsidRPr="0070345C">
        <w:rPr>
          <w:rFonts w:ascii="Basic Sans Light" w:hAnsi="Basic Sans Light"/>
          <w:lang w:val="mi-NZ"/>
        </w:rPr>
        <w:t>Steps 1 and 2 shown in italics</w:t>
      </w:r>
      <w:r w:rsidR="00572572" w:rsidRPr="0070345C">
        <w:rPr>
          <w:rFonts w:ascii="Basic Sans Light" w:hAnsi="Basic Sans Light"/>
          <w:lang w:val="mi-NZ"/>
        </w:rPr>
        <w:t xml:space="preserve"> were </w:t>
      </w:r>
      <w:r w:rsidR="0070345C" w:rsidRPr="0070345C">
        <w:rPr>
          <w:rFonts w:ascii="Basic Sans Light" w:hAnsi="Basic Sans Light"/>
          <w:lang w:val="mi-NZ"/>
        </w:rPr>
        <w:t>pre-determined by Te Hiringa Mahara rather than agreed by the TAN.</w:t>
      </w:r>
    </w:p>
  </w:footnote>
  <w:footnote w:id="5">
    <w:p w14:paraId="6095B05B" w14:textId="77777777" w:rsidR="008D5EAB" w:rsidRPr="007445DA" w:rsidRDefault="008D5EAB" w:rsidP="008D5EAB">
      <w:pPr>
        <w:pStyle w:val="FootnoteText"/>
        <w:rPr>
          <w:rFonts w:ascii="Basic Sans Light" w:hAnsi="Basic Sans Light"/>
        </w:rPr>
      </w:pPr>
      <w:r w:rsidRPr="006E2A6C">
        <w:rPr>
          <w:rStyle w:val="FootnoteReference"/>
          <w:rFonts w:cs="Arial"/>
          <w:sz w:val="16"/>
          <w:szCs w:val="16"/>
        </w:rPr>
        <w:footnoteRef/>
      </w:r>
      <w:r w:rsidRPr="006E2A6C">
        <w:t xml:space="preserve"> </w:t>
      </w:r>
      <w:r w:rsidRPr="007445DA">
        <w:rPr>
          <w:rFonts w:ascii="Basic Sans Light" w:hAnsi="Basic Sans Light"/>
        </w:rPr>
        <w:t>We will be on the beginning of an emerging wellbeing focused data development journey (particularly for mental health and addiction services)</w:t>
      </w:r>
    </w:p>
  </w:footnote>
  <w:footnote w:id="6">
    <w:p w14:paraId="699B6F38" w14:textId="77777777" w:rsidR="008D5EAB" w:rsidRPr="007445DA" w:rsidRDefault="008D5EAB" w:rsidP="008D5EAB">
      <w:pPr>
        <w:pStyle w:val="FootnoteText"/>
        <w:rPr>
          <w:rFonts w:ascii="Basic Sans Light" w:hAnsi="Basic Sans Light"/>
          <w:lang w:val="en-NZ"/>
        </w:rPr>
      </w:pPr>
      <w:r w:rsidRPr="007445DA">
        <w:rPr>
          <w:rStyle w:val="FootnoteReference"/>
          <w:rFonts w:ascii="Basic Sans Light" w:hAnsi="Basic Sans Light"/>
        </w:rPr>
        <w:footnoteRef/>
      </w:r>
      <w:r w:rsidRPr="007445DA">
        <w:rPr>
          <w:rFonts w:ascii="Basic Sans Light" w:hAnsi="Basic Sans Light"/>
        </w:rPr>
        <w:t xml:space="preserve"> Refer to Te Mana Raraunga, the Māori Data Sovereignty Network for guidance.</w:t>
      </w:r>
    </w:p>
  </w:footnote>
  <w:footnote w:id="7">
    <w:p w14:paraId="0B06A139" w14:textId="5830265F" w:rsidR="008D5EAB" w:rsidRPr="007445DA" w:rsidRDefault="008D5EAB" w:rsidP="008D5EAB">
      <w:pPr>
        <w:pStyle w:val="FootnoteText"/>
        <w:rPr>
          <w:rFonts w:ascii="Basic Sans Light" w:hAnsi="Basic Sans Light"/>
          <w:lang w:val="en-NZ"/>
        </w:rPr>
      </w:pPr>
      <w:r w:rsidRPr="007445DA">
        <w:rPr>
          <w:rStyle w:val="FootnoteReference"/>
          <w:rFonts w:ascii="Basic Sans Light" w:hAnsi="Basic Sans Light"/>
        </w:rPr>
        <w:footnoteRef/>
      </w:r>
      <w:r w:rsidRPr="007445DA">
        <w:rPr>
          <w:rFonts w:ascii="Basic Sans Light" w:hAnsi="Basic Sans Light"/>
        </w:rPr>
        <w:t xml:space="preserve"> </w:t>
      </w:r>
      <w:r w:rsidR="002935E7">
        <w:rPr>
          <w:rFonts w:ascii="Basic Sans Light" w:hAnsi="Basic Sans Light"/>
        </w:rPr>
        <w:t>See</w:t>
      </w:r>
      <w:r w:rsidR="00DA262C">
        <w:rPr>
          <w:rFonts w:ascii="Basic Sans Light" w:hAnsi="Basic Sans Light"/>
        </w:rPr>
        <w:t xml:space="preserve"> the </w:t>
      </w:r>
      <w:hyperlink r:id="rId1" w:history="1">
        <w:r w:rsidR="00DA262C" w:rsidRPr="004A490E">
          <w:rPr>
            <w:rStyle w:val="Hyperlink"/>
            <w:rFonts w:ascii="Basic Sans Light" w:hAnsi="Basic Sans Light"/>
            <w:u w:val="none"/>
          </w:rPr>
          <w:t>Data Protection and Use Policy</w:t>
        </w:r>
      </w:hyperlink>
      <w:r w:rsidR="005838CC">
        <w:rPr>
          <w:rFonts w:ascii="Basic Sans Light" w:hAnsi="Basic Sans Light"/>
        </w:rPr>
        <w:t xml:space="preserve"> (Social </w:t>
      </w:r>
      <w:r w:rsidR="00C37486">
        <w:rPr>
          <w:rFonts w:ascii="Basic Sans Light" w:hAnsi="Basic Sans Light"/>
        </w:rPr>
        <w:t>Wellbeing Agency, 2022)</w:t>
      </w:r>
      <w:r w:rsidR="006E0E57" w:rsidRPr="004A490E">
        <w:rPr>
          <w:rFonts w:ascii="Basic Sans Light" w:hAnsi="Basic Sans Light"/>
        </w:rPr>
        <w:t>.</w:t>
      </w:r>
      <w:r w:rsidR="006E0E57">
        <w:rPr>
          <w:rFonts w:ascii="Basic Sans Light" w:hAnsi="Basic Sans Light"/>
        </w:rPr>
        <w:t xml:space="preserve"> This policy was d</w:t>
      </w:r>
      <w:r w:rsidRPr="007445DA">
        <w:rPr>
          <w:rFonts w:ascii="Basic Sans Light" w:hAnsi="Basic Sans Light"/>
        </w:rPr>
        <w:t xml:space="preserve">eveloped by the Social Wellbeing Agency </w:t>
      </w:r>
      <w:r w:rsidR="00DA262C">
        <w:rPr>
          <w:rFonts w:ascii="Basic Sans Light" w:hAnsi="Basic Sans Light"/>
        </w:rPr>
        <w:t>to guide</w:t>
      </w:r>
      <w:r w:rsidRPr="007445DA">
        <w:rPr>
          <w:rFonts w:ascii="Basic Sans Light" w:hAnsi="Basic Sans Light"/>
        </w:rPr>
        <w:t xml:space="preserve"> respectful, trusted</w:t>
      </w:r>
      <w:r>
        <w:rPr>
          <w:rFonts w:ascii="Basic Sans Light" w:hAnsi="Basic Sans Light"/>
        </w:rPr>
        <w:t>,</w:t>
      </w:r>
      <w:r w:rsidRPr="007445DA">
        <w:rPr>
          <w:rFonts w:ascii="Basic Sans Light" w:hAnsi="Basic Sans Light"/>
        </w:rPr>
        <w:t xml:space="preserve"> and transparent use of people’s data and information.</w:t>
      </w:r>
    </w:p>
  </w:footnote>
  <w:footnote w:id="8">
    <w:p w14:paraId="1863AE13" w14:textId="77777777" w:rsidR="008D5EAB" w:rsidRPr="00F61C2F" w:rsidRDefault="008D5EAB" w:rsidP="008D5EAB">
      <w:pPr>
        <w:pStyle w:val="FootnoteText"/>
        <w:rPr>
          <w:lang w:val="en-NZ"/>
        </w:rPr>
      </w:pPr>
      <w:r>
        <w:rPr>
          <w:rStyle w:val="FootnoteReference"/>
        </w:rPr>
        <w:footnoteRef/>
      </w:r>
      <w:r>
        <w:t xml:space="preserve"> </w:t>
      </w:r>
      <w:r w:rsidRPr="00595755">
        <w:rPr>
          <w:rFonts w:ascii="Basic Sans Light" w:hAnsi="Basic Sans Light"/>
          <w:lang w:val="en-NZ"/>
        </w:rPr>
        <w:t>See Schedule 2, Mental Health and Wellbeing Commission Act 2020.</w:t>
      </w:r>
    </w:p>
  </w:footnote>
  <w:footnote w:id="9">
    <w:p w14:paraId="4319C261" w14:textId="77777777" w:rsidR="008D5EAB" w:rsidRPr="00F43F54" w:rsidRDefault="008D5EAB" w:rsidP="008D5EAB">
      <w:pPr>
        <w:pStyle w:val="FootnoteText"/>
        <w:rPr>
          <w:rFonts w:ascii="Basic Sans Light" w:hAnsi="Basic Sans Light"/>
          <w:lang w:val="en-NZ"/>
        </w:rPr>
      </w:pPr>
      <w:r w:rsidRPr="005C674F">
        <w:rPr>
          <w:rStyle w:val="FootnoteReference"/>
        </w:rPr>
        <w:footnoteRef/>
      </w:r>
      <w:r w:rsidRPr="005C674F">
        <w:t xml:space="preserve"> </w:t>
      </w:r>
      <w:r w:rsidRPr="00F43F54">
        <w:rPr>
          <w:rFonts w:ascii="Basic Sans Light" w:hAnsi="Basic Sans Light"/>
          <w:lang w:val="en-NZ"/>
        </w:rPr>
        <w:t xml:space="preserve">It is anticipated that there is a wide range of this type of data collected by </w:t>
      </w:r>
      <w:r>
        <w:rPr>
          <w:rFonts w:ascii="Basic Sans Light" w:hAnsi="Basic Sans Light"/>
          <w:lang w:val="en-NZ"/>
        </w:rPr>
        <w:t>Districts</w:t>
      </w:r>
      <w:r w:rsidRPr="00F43F54">
        <w:rPr>
          <w:rFonts w:ascii="Basic Sans Light" w:hAnsi="Basic Sans Light"/>
          <w:lang w:val="en-NZ"/>
        </w:rPr>
        <w:t xml:space="preserve"> and other funders/providers that we have limited visibility of.</w:t>
      </w:r>
    </w:p>
  </w:footnote>
  <w:footnote w:id="10">
    <w:p w14:paraId="2D3E04CF" w14:textId="714B1FFF" w:rsidR="009A2C92" w:rsidRPr="0022501E" w:rsidRDefault="009A2C92" w:rsidP="009A2C92">
      <w:pPr>
        <w:pStyle w:val="FootnoteText"/>
        <w:rPr>
          <w:rFonts w:ascii="Basic Sans Light" w:hAnsi="Basic Sans Light"/>
          <w:lang w:val="mi-NZ"/>
        </w:rPr>
      </w:pPr>
      <w:r w:rsidRPr="0022501E">
        <w:rPr>
          <w:rStyle w:val="FootnoteReference"/>
          <w:rFonts w:ascii="Basic Sans Light" w:hAnsi="Basic Sans Light"/>
        </w:rPr>
        <w:footnoteRef/>
      </w:r>
      <w:r w:rsidRPr="0022501E">
        <w:rPr>
          <w:rFonts w:ascii="Basic Sans Light" w:hAnsi="Basic Sans Light"/>
        </w:rPr>
        <w:t xml:space="preserve"> </w:t>
      </w:r>
      <w:r w:rsidRPr="00A42979">
        <w:rPr>
          <w:rFonts w:ascii="Basic Sans Light" w:hAnsi="Basic Sans Light"/>
        </w:rPr>
        <w:t>We have drawn from multiple outcome methodologies</w:t>
      </w:r>
      <w:r>
        <w:rPr>
          <w:rFonts w:ascii="Basic Sans Light" w:hAnsi="Basic Sans Light"/>
        </w:rPr>
        <w:t>,</w:t>
      </w:r>
      <w:r w:rsidRPr="00A42979">
        <w:rPr>
          <w:rFonts w:ascii="Basic Sans Light" w:hAnsi="Basic Sans Light"/>
        </w:rPr>
        <w:t xml:space="preserve"> including Results-Based Accountability</w:t>
      </w:r>
      <w:r>
        <w:rPr>
          <w:rFonts w:ascii="Basic Sans Light" w:hAnsi="Basic Sans Light"/>
        </w:rPr>
        <w:t xml:space="preserve"> (RBA)</w:t>
      </w:r>
      <w:r w:rsidRPr="00A42979">
        <w:rPr>
          <w:rFonts w:ascii="Basic Sans Light" w:hAnsi="Basic Sans Light"/>
        </w:rPr>
        <w:t>, Logic Model</w:t>
      </w:r>
      <w:r>
        <w:rPr>
          <w:rFonts w:ascii="Basic Sans Light" w:hAnsi="Basic Sans Light"/>
        </w:rPr>
        <w:t>,</w:t>
      </w:r>
      <w:r w:rsidRPr="00A42979">
        <w:rPr>
          <w:rFonts w:ascii="Basic Sans Light" w:hAnsi="Basic Sans Light"/>
        </w:rPr>
        <w:t xml:space="preserve"> and Theory of Change. Some of our common language has been </w:t>
      </w:r>
      <w:r w:rsidR="00946133">
        <w:rPr>
          <w:rFonts w:ascii="Basic Sans Light" w:hAnsi="Basic Sans Light"/>
        </w:rPr>
        <w:t>adapted</w:t>
      </w:r>
      <w:r w:rsidRPr="00A42979">
        <w:rPr>
          <w:rFonts w:ascii="Basic Sans Light" w:hAnsi="Basic Sans Light"/>
        </w:rPr>
        <w:t xml:space="preserve"> from RBA.</w:t>
      </w:r>
      <w:r>
        <w:rPr>
          <w:rFonts w:ascii="Basic Sans Light" w:hAnsi="Basic Sans Light"/>
        </w:rPr>
        <w:t xml:space="preserve"> For more information on use of RBA see</w:t>
      </w:r>
      <w:r w:rsidRPr="00A42979">
        <w:rPr>
          <w:rFonts w:ascii="Basic Sans Light" w:hAnsi="Basic Sans Light"/>
        </w:rPr>
        <w:t xml:space="preserve"> </w:t>
      </w:r>
      <w:hyperlink r:id="rId2" w:history="1">
        <w:r w:rsidRPr="0022501E">
          <w:rPr>
            <w:rStyle w:val="Hyperlink"/>
            <w:rFonts w:ascii="Basic Sans Light" w:hAnsi="Basic Sans Light"/>
            <w:u w:val="none"/>
          </w:rPr>
          <w:t>https://www.procurement.govt.nz/procurement/specialised-procurement/social-services-procurement/developing-a-social-services-procurement-plan/how-to-measure-outcomes-and-outputs/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C0B"/>
    <w:multiLevelType w:val="hybridMultilevel"/>
    <w:tmpl w:val="BEF42226"/>
    <w:lvl w:ilvl="0" w:tplc="14090001">
      <w:start w:val="1"/>
      <w:numFmt w:val="bullet"/>
      <w:lvlText w:val=""/>
      <w:lvlJc w:val="left"/>
      <w:pPr>
        <w:ind w:left="927" w:hanging="360"/>
      </w:pPr>
      <w:rPr>
        <w:rFonts w:ascii="Symbol" w:hAnsi="Symbol"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6686338"/>
    <w:multiLevelType w:val="hybridMultilevel"/>
    <w:tmpl w:val="44889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E1FA7"/>
    <w:multiLevelType w:val="hybridMultilevel"/>
    <w:tmpl w:val="25E067B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CEB498D"/>
    <w:multiLevelType w:val="hybridMultilevel"/>
    <w:tmpl w:val="D5DCE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0A411B"/>
    <w:multiLevelType w:val="hybridMultilevel"/>
    <w:tmpl w:val="80244A9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00D791E"/>
    <w:multiLevelType w:val="multilevel"/>
    <w:tmpl w:val="6CF2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47554"/>
    <w:multiLevelType w:val="hybridMultilevel"/>
    <w:tmpl w:val="E0E41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224501"/>
    <w:multiLevelType w:val="hybridMultilevel"/>
    <w:tmpl w:val="DCA08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9452EE"/>
    <w:multiLevelType w:val="hybridMultilevel"/>
    <w:tmpl w:val="84181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8860D3"/>
    <w:multiLevelType w:val="hybridMultilevel"/>
    <w:tmpl w:val="4E66F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355A0C"/>
    <w:multiLevelType w:val="multilevel"/>
    <w:tmpl w:val="7E225046"/>
    <w:styleLink w:val="AlphaList"/>
    <w:lvl w:ilvl="0">
      <w:start w:val="1"/>
      <w:numFmt w:val="upperLetter"/>
      <w:pStyle w:val="ABC"/>
      <w:lvlText w:val="%1."/>
      <w:lvlJc w:val="left"/>
      <w:pPr>
        <w:ind w:left="1134" w:hanging="567"/>
      </w:pPr>
      <w:rPr>
        <w:rFonts w:hint="default"/>
      </w:rPr>
    </w:lvl>
    <w:lvl w:ilvl="1">
      <w:start w:val="1"/>
      <w:numFmt w:val="lowerRoman"/>
      <w:pStyle w:val="iiiiii"/>
      <w:lvlText w:val="%2."/>
      <w:lvlJc w:val="left"/>
      <w:pPr>
        <w:ind w:left="1701" w:hanging="567"/>
      </w:pPr>
      <w:rPr>
        <w:rFonts w:hint="default"/>
      </w:rPr>
    </w:lvl>
    <w:lvl w:ilvl="2">
      <w:numFmt w:val="none"/>
      <w:lvlRestart w:val="0"/>
      <w:lvlText w:val=""/>
      <w:lvlJc w:val="left"/>
      <w:pPr>
        <w:ind w:left="0" w:firstLine="0"/>
      </w:pPr>
      <w:rPr>
        <w:rFonts w:hint="default"/>
      </w:rPr>
    </w:lvl>
    <w:lvl w:ilvl="3">
      <w:numFmt w:val="none"/>
      <w:lvlRestart w:val="0"/>
      <w:lvlText w:val=""/>
      <w:lvlJc w:val="left"/>
      <w:pPr>
        <w:tabs>
          <w:tab w:val="num" w:pos="0"/>
        </w:tabs>
        <w:ind w:left="0" w:firstLine="0"/>
      </w:pPr>
      <w:rPr>
        <w:rFonts w:hint="default"/>
      </w:rPr>
    </w:lvl>
    <w:lvl w:ilvl="4">
      <w:numFmt w:val="none"/>
      <w:lvlRestart w:val="0"/>
      <w:lvlText w:val=""/>
      <w:lvlJc w:val="left"/>
      <w:pPr>
        <w:tabs>
          <w:tab w:val="num" w:pos="0"/>
        </w:tabs>
        <w:ind w:left="0" w:firstLine="0"/>
      </w:pPr>
      <w:rPr>
        <w:rFonts w:hint="default"/>
      </w:rPr>
    </w:lvl>
    <w:lvl w:ilvl="5">
      <w:numFmt w:val="none"/>
      <w:lvlRestart w:val="0"/>
      <w:lvlText w:val=""/>
      <w:lvlJc w:val="left"/>
      <w:pPr>
        <w:tabs>
          <w:tab w:val="num" w:pos="0"/>
        </w:tabs>
        <w:ind w:left="0" w:firstLine="0"/>
      </w:pPr>
      <w:rPr>
        <w:rFonts w:hint="default"/>
      </w:rPr>
    </w:lvl>
    <w:lvl w:ilvl="6">
      <w:numFmt w:val="none"/>
      <w:lvlRestart w:val="0"/>
      <w:lvlText w:val=""/>
      <w:lvlJc w:val="left"/>
      <w:pPr>
        <w:tabs>
          <w:tab w:val="num" w:pos="0"/>
        </w:tabs>
        <w:ind w:left="0" w:firstLine="0"/>
      </w:pPr>
      <w:rPr>
        <w:rFonts w:hint="default"/>
      </w:rPr>
    </w:lvl>
    <w:lvl w:ilvl="7">
      <w:numFmt w:val="none"/>
      <w:lvlRestart w:val="0"/>
      <w:lvlText w:val=""/>
      <w:lvlJc w:val="left"/>
      <w:pPr>
        <w:tabs>
          <w:tab w:val="num" w:pos="0"/>
        </w:tabs>
        <w:ind w:left="0" w:firstLine="0"/>
      </w:pPr>
      <w:rPr>
        <w:rFonts w:hint="default"/>
      </w:rPr>
    </w:lvl>
    <w:lvl w:ilvl="8">
      <w:numFmt w:val="none"/>
      <w:lvlRestart w:val="0"/>
      <w:lvlText w:val=""/>
      <w:lvlJc w:val="left"/>
      <w:pPr>
        <w:tabs>
          <w:tab w:val="num" w:pos="0"/>
        </w:tabs>
        <w:ind w:left="0" w:firstLine="0"/>
      </w:pPr>
      <w:rPr>
        <w:rFonts w:hint="default"/>
      </w:rPr>
    </w:lvl>
  </w:abstractNum>
  <w:abstractNum w:abstractNumId="11" w15:restartNumberingAfterBreak="0">
    <w:nsid w:val="19323D3F"/>
    <w:multiLevelType w:val="hybridMultilevel"/>
    <w:tmpl w:val="98BAAA22"/>
    <w:lvl w:ilvl="0" w:tplc="FFFFFFFF">
      <w:start w:val="1"/>
      <w:numFmt w:val="decimal"/>
      <w:lvlText w:val="%1."/>
      <w:lvlJc w:val="left"/>
      <w:pPr>
        <w:ind w:left="720" w:hanging="360"/>
      </w:pPr>
      <w:rPr>
        <w:i w:val="0"/>
        <w:i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1A7A43"/>
    <w:multiLevelType w:val="hybridMultilevel"/>
    <w:tmpl w:val="3B2C75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273238"/>
    <w:multiLevelType w:val="multilevel"/>
    <w:tmpl w:val="D3EE05D8"/>
    <w:lvl w:ilvl="0">
      <w:start w:val="1"/>
      <w:numFmt w:val="decimal"/>
      <w:lvlText w:val="%1."/>
      <w:lvlJc w:val="left"/>
      <w:pPr>
        <w:ind w:left="-354" w:hanging="360"/>
      </w:pPr>
      <w:rPr>
        <w:rFonts w:ascii="Basic Sans Light" w:hAnsi="Basic Sans Light" w:hint="default"/>
        <w:b w:val="0"/>
        <w:bCs/>
        <w:i w:val="0"/>
        <w:iCs w:val="0"/>
      </w:rPr>
    </w:lvl>
    <w:lvl w:ilvl="1">
      <w:start w:val="1"/>
      <w:numFmt w:val="lowerLetter"/>
      <w:lvlText w:val="%2."/>
      <w:lvlJc w:val="left"/>
      <w:pPr>
        <w:ind w:left="366" w:hanging="360"/>
      </w:pPr>
    </w:lvl>
    <w:lvl w:ilvl="2">
      <w:start w:val="1"/>
      <w:numFmt w:val="lowerLetter"/>
      <w:lvlText w:val="%3."/>
      <w:lvlJc w:val="left"/>
      <w:pPr>
        <w:ind w:left="1266" w:hanging="360"/>
      </w:pPr>
    </w:lvl>
    <w:lvl w:ilvl="3">
      <w:start w:val="1"/>
      <w:numFmt w:val="decimal"/>
      <w:lvlText w:val="%4."/>
      <w:lvlJc w:val="left"/>
      <w:pPr>
        <w:ind w:left="1806" w:hanging="360"/>
      </w:pPr>
      <w:rPr>
        <w:rFonts w:hint="default"/>
      </w:rPr>
    </w:lvl>
    <w:lvl w:ilvl="4">
      <w:start w:val="1"/>
      <w:numFmt w:val="lowerLetter"/>
      <w:lvlText w:val="%5)"/>
      <w:lvlJc w:val="left"/>
      <w:pPr>
        <w:ind w:left="2526" w:hanging="360"/>
      </w:pPr>
      <w:rPr>
        <w:rFonts w:hint="default"/>
      </w:rPr>
    </w:lvl>
    <w:lvl w:ilvl="5">
      <w:start w:val="1"/>
      <w:numFmt w:val="lowerRoman"/>
      <w:lvlText w:val="%6)"/>
      <w:lvlJc w:val="right"/>
      <w:pPr>
        <w:ind w:left="3246" w:hanging="180"/>
      </w:pPr>
      <w:rPr>
        <w:rFonts w:hint="default"/>
      </w:rPr>
    </w:lvl>
    <w:lvl w:ilvl="6">
      <w:start w:val="1"/>
      <w:numFmt w:val="decimal"/>
      <w:lvlText w:val="%7."/>
      <w:lvlJc w:val="left"/>
      <w:pPr>
        <w:ind w:left="3966" w:hanging="360"/>
      </w:pPr>
      <w:rPr>
        <w:rFonts w:hint="default"/>
      </w:rPr>
    </w:lvl>
    <w:lvl w:ilvl="7">
      <w:start w:val="1"/>
      <w:numFmt w:val="lowerLetter"/>
      <w:lvlText w:val="%8)"/>
      <w:lvlJc w:val="left"/>
      <w:pPr>
        <w:ind w:left="4686" w:hanging="360"/>
      </w:pPr>
      <w:rPr>
        <w:rFonts w:hint="default"/>
      </w:rPr>
    </w:lvl>
    <w:lvl w:ilvl="8">
      <w:start w:val="1"/>
      <w:numFmt w:val="lowerRoman"/>
      <w:lvlText w:val="%9)"/>
      <w:lvlJc w:val="right"/>
      <w:pPr>
        <w:ind w:left="5406" w:hanging="180"/>
      </w:pPr>
      <w:rPr>
        <w:rFonts w:hint="default"/>
      </w:rPr>
    </w:lvl>
  </w:abstractNum>
  <w:abstractNum w:abstractNumId="14" w15:restartNumberingAfterBreak="0">
    <w:nsid w:val="22363935"/>
    <w:multiLevelType w:val="multilevel"/>
    <w:tmpl w:val="6CBCC838"/>
    <w:styleLink w:val="BulletList"/>
    <w:lvl w:ilvl="0">
      <w:start w:val="1"/>
      <w:numFmt w:val="bullet"/>
      <w:pStyle w:val="Bullet1"/>
      <w:lvlText w:val=""/>
      <w:lvlJc w:val="left"/>
      <w:pPr>
        <w:ind w:left="1134" w:hanging="567"/>
      </w:pPr>
      <w:rPr>
        <w:rFonts w:ascii="Symbol" w:hAnsi="Symbol" w:hint="default"/>
        <w:b w:val="0"/>
        <w:i w:val="0"/>
      </w:rPr>
    </w:lvl>
    <w:lvl w:ilvl="1">
      <w:start w:val="1"/>
      <w:numFmt w:val="bullet"/>
      <w:pStyle w:val="Bullet2"/>
      <w:lvlText w:val="○"/>
      <w:lvlJc w:val="left"/>
      <w:pPr>
        <w:tabs>
          <w:tab w:val="num" w:pos="1134"/>
        </w:tabs>
        <w:ind w:left="1701" w:hanging="567"/>
      </w:pPr>
      <w:rPr>
        <w:rFonts w:ascii="Arial" w:hAnsi="Arial" w:hint="default"/>
      </w:rPr>
    </w:lvl>
    <w:lvl w:ilvl="2">
      <w:start w:val="1"/>
      <w:numFmt w:val="none"/>
      <w:lvlRestart w:val="0"/>
      <w:lvlText w:val=""/>
      <w:lvlJc w:val="left"/>
      <w:pPr>
        <w:tabs>
          <w:tab w:val="num" w:pos="1134"/>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5B847A8"/>
    <w:multiLevelType w:val="multilevel"/>
    <w:tmpl w:val="6418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412E3C"/>
    <w:multiLevelType w:val="multilevel"/>
    <w:tmpl w:val="42145F60"/>
    <w:lvl w:ilvl="0">
      <w:start w:val="1"/>
      <w:numFmt w:val="decimal"/>
      <w:lvlText w:val="%1."/>
      <w:lvlJc w:val="left"/>
      <w:pPr>
        <w:ind w:left="-354" w:hanging="360"/>
      </w:pPr>
      <w:rPr>
        <w:rFonts w:ascii="Basic Sans Light" w:hAnsi="Basic Sans Light" w:hint="default"/>
        <w:b w:val="0"/>
        <w:bCs/>
        <w:i w:val="0"/>
        <w:iCs w:val="0"/>
      </w:rPr>
    </w:lvl>
    <w:lvl w:ilvl="1">
      <w:start w:val="1"/>
      <w:numFmt w:val="lowerLetter"/>
      <w:lvlText w:val="%2)"/>
      <w:lvlJc w:val="left"/>
      <w:pPr>
        <w:ind w:left="366" w:hanging="360"/>
      </w:pPr>
      <w:rPr>
        <w:rFonts w:hint="default"/>
      </w:rPr>
    </w:lvl>
    <w:lvl w:ilvl="2">
      <w:start w:val="1"/>
      <w:numFmt w:val="lowerRoman"/>
      <w:lvlText w:val="%3)"/>
      <w:lvlJc w:val="right"/>
      <w:pPr>
        <w:ind w:left="1086" w:hanging="180"/>
      </w:pPr>
      <w:rPr>
        <w:rFonts w:hint="default"/>
      </w:rPr>
    </w:lvl>
    <w:lvl w:ilvl="3">
      <w:start w:val="1"/>
      <w:numFmt w:val="decimal"/>
      <w:lvlText w:val="%4."/>
      <w:lvlJc w:val="left"/>
      <w:pPr>
        <w:ind w:left="1806" w:hanging="360"/>
      </w:pPr>
      <w:rPr>
        <w:rFonts w:hint="default"/>
      </w:rPr>
    </w:lvl>
    <w:lvl w:ilvl="4">
      <w:start w:val="1"/>
      <w:numFmt w:val="lowerLetter"/>
      <w:lvlText w:val="%5)"/>
      <w:lvlJc w:val="left"/>
      <w:pPr>
        <w:ind w:left="2526" w:hanging="360"/>
      </w:pPr>
      <w:rPr>
        <w:rFonts w:hint="default"/>
      </w:rPr>
    </w:lvl>
    <w:lvl w:ilvl="5">
      <w:start w:val="1"/>
      <w:numFmt w:val="lowerRoman"/>
      <w:lvlText w:val="%6)"/>
      <w:lvlJc w:val="right"/>
      <w:pPr>
        <w:ind w:left="3246" w:hanging="180"/>
      </w:pPr>
      <w:rPr>
        <w:rFonts w:hint="default"/>
      </w:rPr>
    </w:lvl>
    <w:lvl w:ilvl="6">
      <w:start w:val="1"/>
      <w:numFmt w:val="decimal"/>
      <w:lvlText w:val="%7."/>
      <w:lvlJc w:val="left"/>
      <w:pPr>
        <w:ind w:left="3966" w:hanging="360"/>
      </w:pPr>
      <w:rPr>
        <w:rFonts w:hint="default"/>
      </w:rPr>
    </w:lvl>
    <w:lvl w:ilvl="7">
      <w:start w:val="1"/>
      <w:numFmt w:val="lowerLetter"/>
      <w:lvlText w:val="%8)"/>
      <w:lvlJc w:val="left"/>
      <w:pPr>
        <w:ind w:left="4686" w:hanging="360"/>
      </w:pPr>
      <w:rPr>
        <w:rFonts w:hint="default"/>
      </w:rPr>
    </w:lvl>
    <w:lvl w:ilvl="8">
      <w:start w:val="1"/>
      <w:numFmt w:val="lowerRoman"/>
      <w:lvlText w:val="%9)"/>
      <w:lvlJc w:val="right"/>
      <w:pPr>
        <w:ind w:left="5406" w:hanging="180"/>
      </w:pPr>
      <w:rPr>
        <w:rFonts w:hint="default"/>
      </w:rPr>
    </w:lvl>
  </w:abstractNum>
  <w:abstractNum w:abstractNumId="17" w15:restartNumberingAfterBreak="0">
    <w:nsid w:val="288125A2"/>
    <w:multiLevelType w:val="hybridMultilevel"/>
    <w:tmpl w:val="F774B15C"/>
    <w:lvl w:ilvl="0" w:tplc="FFFFFFFF">
      <w:start w:val="1"/>
      <w:numFmt w:val="bullet"/>
      <w:lvlText w:val="•"/>
      <w:lvlJc w:val="left"/>
      <w:pPr>
        <w:tabs>
          <w:tab w:val="num" w:pos="720"/>
        </w:tabs>
        <w:ind w:left="720" w:hanging="360"/>
      </w:pPr>
      <w:rPr>
        <w:rFonts w:ascii="Arial" w:hAnsi="Arial" w:hint="default"/>
      </w:rPr>
    </w:lvl>
    <w:lvl w:ilvl="1" w:tplc="1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780C77"/>
    <w:multiLevelType w:val="hybridMultilevel"/>
    <w:tmpl w:val="D2AA40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E95597A"/>
    <w:multiLevelType w:val="hybridMultilevel"/>
    <w:tmpl w:val="FD62591C"/>
    <w:lvl w:ilvl="0" w:tplc="4F2E1996">
      <w:start w:val="3"/>
      <w:numFmt w:val="bullet"/>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F0058CD"/>
    <w:multiLevelType w:val="hybridMultilevel"/>
    <w:tmpl w:val="F6720396"/>
    <w:lvl w:ilvl="0" w:tplc="04090019">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303D5430"/>
    <w:multiLevelType w:val="hybridMultilevel"/>
    <w:tmpl w:val="14043094"/>
    <w:lvl w:ilvl="0" w:tplc="563A6050">
      <w:start w:val="1"/>
      <w:numFmt w:val="bullet"/>
      <w:pStyle w:val="ListParagraph"/>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32B454B0"/>
    <w:multiLevelType w:val="multilevel"/>
    <w:tmpl w:val="67D24F76"/>
    <w:lvl w:ilvl="0">
      <w:start w:val="1"/>
      <w:numFmt w:val="decimal"/>
      <w:lvlText w:val="%1."/>
      <w:lvlJc w:val="left"/>
      <w:pPr>
        <w:ind w:left="-354" w:hanging="360"/>
      </w:pPr>
      <w:rPr>
        <w:rFonts w:ascii="Basic Sans Light" w:hAnsi="Basic Sans Light" w:hint="default"/>
        <w:b w:val="0"/>
        <w:bCs/>
        <w:i w:val="0"/>
        <w:iCs w:val="0"/>
      </w:rPr>
    </w:lvl>
    <w:lvl w:ilvl="1">
      <w:start w:val="1"/>
      <w:numFmt w:val="lowerLetter"/>
      <w:lvlText w:val="%2)"/>
      <w:lvlJc w:val="left"/>
      <w:pPr>
        <w:ind w:left="366" w:hanging="360"/>
      </w:pPr>
      <w:rPr>
        <w:rFonts w:hint="default"/>
      </w:rPr>
    </w:lvl>
    <w:lvl w:ilvl="2">
      <w:start w:val="1"/>
      <w:numFmt w:val="lowerRoman"/>
      <w:lvlText w:val="%3)"/>
      <w:lvlJc w:val="right"/>
      <w:pPr>
        <w:ind w:left="1086" w:hanging="180"/>
      </w:pPr>
      <w:rPr>
        <w:rFonts w:hint="default"/>
      </w:rPr>
    </w:lvl>
    <w:lvl w:ilvl="3">
      <w:start w:val="1"/>
      <w:numFmt w:val="decimal"/>
      <w:lvlText w:val="%4."/>
      <w:lvlJc w:val="left"/>
      <w:pPr>
        <w:ind w:left="1806" w:hanging="360"/>
      </w:pPr>
      <w:rPr>
        <w:rFonts w:hint="default"/>
      </w:rPr>
    </w:lvl>
    <w:lvl w:ilvl="4">
      <w:start w:val="1"/>
      <w:numFmt w:val="lowerLetter"/>
      <w:lvlText w:val="%5)"/>
      <w:lvlJc w:val="left"/>
      <w:pPr>
        <w:ind w:left="2526" w:hanging="360"/>
      </w:pPr>
      <w:rPr>
        <w:rFonts w:hint="default"/>
      </w:rPr>
    </w:lvl>
    <w:lvl w:ilvl="5">
      <w:start w:val="1"/>
      <w:numFmt w:val="lowerRoman"/>
      <w:lvlText w:val="%6)"/>
      <w:lvlJc w:val="right"/>
      <w:pPr>
        <w:ind w:left="3246" w:hanging="180"/>
      </w:pPr>
      <w:rPr>
        <w:rFonts w:hint="default"/>
      </w:rPr>
    </w:lvl>
    <w:lvl w:ilvl="6">
      <w:start w:val="1"/>
      <w:numFmt w:val="decimal"/>
      <w:lvlText w:val="%7."/>
      <w:lvlJc w:val="left"/>
      <w:pPr>
        <w:ind w:left="3966" w:hanging="360"/>
      </w:pPr>
      <w:rPr>
        <w:rFonts w:hint="default"/>
      </w:rPr>
    </w:lvl>
    <w:lvl w:ilvl="7">
      <w:start w:val="1"/>
      <w:numFmt w:val="lowerLetter"/>
      <w:lvlText w:val="%8)"/>
      <w:lvlJc w:val="left"/>
      <w:pPr>
        <w:ind w:left="4686" w:hanging="360"/>
      </w:pPr>
      <w:rPr>
        <w:rFonts w:hint="default"/>
      </w:rPr>
    </w:lvl>
    <w:lvl w:ilvl="8">
      <w:start w:val="1"/>
      <w:numFmt w:val="lowerRoman"/>
      <w:lvlText w:val="%9)"/>
      <w:lvlJc w:val="right"/>
      <w:pPr>
        <w:ind w:left="5406" w:hanging="180"/>
      </w:pPr>
      <w:rPr>
        <w:rFonts w:hint="default"/>
      </w:rPr>
    </w:lvl>
  </w:abstractNum>
  <w:abstractNum w:abstractNumId="23" w15:restartNumberingAfterBreak="0">
    <w:nsid w:val="39E419ED"/>
    <w:multiLevelType w:val="hybridMultilevel"/>
    <w:tmpl w:val="98BAAA22"/>
    <w:lvl w:ilvl="0" w:tplc="FFFFFFFF">
      <w:start w:val="1"/>
      <w:numFmt w:val="decimal"/>
      <w:lvlText w:val="%1."/>
      <w:lvlJc w:val="left"/>
      <w:pPr>
        <w:ind w:left="720" w:hanging="360"/>
      </w:pPr>
      <w:rPr>
        <w:i w:val="0"/>
        <w:i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EE05D6"/>
    <w:multiLevelType w:val="hybridMultilevel"/>
    <w:tmpl w:val="353C87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EF205B0"/>
    <w:multiLevelType w:val="hybridMultilevel"/>
    <w:tmpl w:val="A05EC832"/>
    <w:lvl w:ilvl="0" w:tplc="DEB690A6">
      <w:start w:val="1"/>
      <w:numFmt w:val="bullet"/>
      <w:lvlText w:val="•"/>
      <w:lvlJc w:val="left"/>
      <w:pPr>
        <w:tabs>
          <w:tab w:val="num" w:pos="720"/>
        </w:tabs>
        <w:ind w:left="720" w:hanging="360"/>
      </w:pPr>
      <w:rPr>
        <w:rFonts w:ascii="Arial" w:hAnsi="Arial" w:hint="default"/>
      </w:rPr>
    </w:lvl>
    <w:lvl w:ilvl="1" w:tplc="A48879E4">
      <w:numFmt w:val="bullet"/>
      <w:lvlText w:val="o"/>
      <w:lvlJc w:val="left"/>
      <w:pPr>
        <w:tabs>
          <w:tab w:val="num" w:pos="1440"/>
        </w:tabs>
        <w:ind w:left="1440" w:hanging="360"/>
      </w:pPr>
      <w:rPr>
        <w:rFonts w:ascii="Courier New" w:hAnsi="Courier New" w:hint="default"/>
      </w:rPr>
    </w:lvl>
    <w:lvl w:ilvl="2" w:tplc="A17A3EBA" w:tentative="1">
      <w:start w:val="1"/>
      <w:numFmt w:val="bullet"/>
      <w:lvlText w:val="•"/>
      <w:lvlJc w:val="left"/>
      <w:pPr>
        <w:tabs>
          <w:tab w:val="num" w:pos="2160"/>
        </w:tabs>
        <w:ind w:left="2160" w:hanging="360"/>
      </w:pPr>
      <w:rPr>
        <w:rFonts w:ascii="Arial" w:hAnsi="Arial" w:hint="default"/>
      </w:rPr>
    </w:lvl>
    <w:lvl w:ilvl="3" w:tplc="D3366AC4" w:tentative="1">
      <w:start w:val="1"/>
      <w:numFmt w:val="bullet"/>
      <w:lvlText w:val="•"/>
      <w:lvlJc w:val="left"/>
      <w:pPr>
        <w:tabs>
          <w:tab w:val="num" w:pos="2880"/>
        </w:tabs>
        <w:ind w:left="2880" w:hanging="360"/>
      </w:pPr>
      <w:rPr>
        <w:rFonts w:ascii="Arial" w:hAnsi="Arial" w:hint="default"/>
      </w:rPr>
    </w:lvl>
    <w:lvl w:ilvl="4" w:tplc="45D6B134" w:tentative="1">
      <w:start w:val="1"/>
      <w:numFmt w:val="bullet"/>
      <w:lvlText w:val="•"/>
      <w:lvlJc w:val="left"/>
      <w:pPr>
        <w:tabs>
          <w:tab w:val="num" w:pos="3600"/>
        </w:tabs>
        <w:ind w:left="3600" w:hanging="360"/>
      </w:pPr>
      <w:rPr>
        <w:rFonts w:ascii="Arial" w:hAnsi="Arial" w:hint="default"/>
      </w:rPr>
    </w:lvl>
    <w:lvl w:ilvl="5" w:tplc="A226022A" w:tentative="1">
      <w:start w:val="1"/>
      <w:numFmt w:val="bullet"/>
      <w:lvlText w:val="•"/>
      <w:lvlJc w:val="left"/>
      <w:pPr>
        <w:tabs>
          <w:tab w:val="num" w:pos="4320"/>
        </w:tabs>
        <w:ind w:left="4320" w:hanging="360"/>
      </w:pPr>
      <w:rPr>
        <w:rFonts w:ascii="Arial" w:hAnsi="Arial" w:hint="default"/>
      </w:rPr>
    </w:lvl>
    <w:lvl w:ilvl="6" w:tplc="87BE29FA" w:tentative="1">
      <w:start w:val="1"/>
      <w:numFmt w:val="bullet"/>
      <w:lvlText w:val="•"/>
      <w:lvlJc w:val="left"/>
      <w:pPr>
        <w:tabs>
          <w:tab w:val="num" w:pos="5040"/>
        </w:tabs>
        <w:ind w:left="5040" w:hanging="360"/>
      </w:pPr>
      <w:rPr>
        <w:rFonts w:ascii="Arial" w:hAnsi="Arial" w:hint="default"/>
      </w:rPr>
    </w:lvl>
    <w:lvl w:ilvl="7" w:tplc="E1BC8BBC" w:tentative="1">
      <w:start w:val="1"/>
      <w:numFmt w:val="bullet"/>
      <w:lvlText w:val="•"/>
      <w:lvlJc w:val="left"/>
      <w:pPr>
        <w:tabs>
          <w:tab w:val="num" w:pos="5760"/>
        </w:tabs>
        <w:ind w:left="5760" w:hanging="360"/>
      </w:pPr>
      <w:rPr>
        <w:rFonts w:ascii="Arial" w:hAnsi="Arial" w:hint="default"/>
      </w:rPr>
    </w:lvl>
    <w:lvl w:ilvl="8" w:tplc="309E63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103868"/>
    <w:multiLevelType w:val="multilevel"/>
    <w:tmpl w:val="79E2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6346D8"/>
    <w:multiLevelType w:val="multilevel"/>
    <w:tmpl w:val="0332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F41539"/>
    <w:multiLevelType w:val="hybridMultilevel"/>
    <w:tmpl w:val="BED68E2A"/>
    <w:lvl w:ilvl="0" w:tplc="872AE0FE">
      <w:start w:val="1"/>
      <w:numFmt w:val="bullet"/>
      <w:lvlText w:val="•"/>
      <w:lvlJc w:val="left"/>
      <w:pPr>
        <w:tabs>
          <w:tab w:val="num" w:pos="720"/>
        </w:tabs>
        <w:ind w:left="720" w:hanging="360"/>
      </w:pPr>
      <w:rPr>
        <w:rFonts w:ascii="Times New Roman" w:hAnsi="Times New Roman" w:hint="default"/>
      </w:rPr>
    </w:lvl>
    <w:lvl w:ilvl="1" w:tplc="058066C0" w:tentative="1">
      <w:start w:val="1"/>
      <w:numFmt w:val="bullet"/>
      <w:lvlText w:val="•"/>
      <w:lvlJc w:val="left"/>
      <w:pPr>
        <w:tabs>
          <w:tab w:val="num" w:pos="1440"/>
        </w:tabs>
        <w:ind w:left="1440" w:hanging="360"/>
      </w:pPr>
      <w:rPr>
        <w:rFonts w:ascii="Times New Roman" w:hAnsi="Times New Roman" w:hint="default"/>
      </w:rPr>
    </w:lvl>
    <w:lvl w:ilvl="2" w:tplc="4658FB9C" w:tentative="1">
      <w:start w:val="1"/>
      <w:numFmt w:val="bullet"/>
      <w:lvlText w:val="•"/>
      <w:lvlJc w:val="left"/>
      <w:pPr>
        <w:tabs>
          <w:tab w:val="num" w:pos="2160"/>
        </w:tabs>
        <w:ind w:left="2160" w:hanging="360"/>
      </w:pPr>
      <w:rPr>
        <w:rFonts w:ascii="Times New Roman" w:hAnsi="Times New Roman" w:hint="default"/>
      </w:rPr>
    </w:lvl>
    <w:lvl w:ilvl="3" w:tplc="3D2E6D32" w:tentative="1">
      <w:start w:val="1"/>
      <w:numFmt w:val="bullet"/>
      <w:lvlText w:val="•"/>
      <w:lvlJc w:val="left"/>
      <w:pPr>
        <w:tabs>
          <w:tab w:val="num" w:pos="2880"/>
        </w:tabs>
        <w:ind w:left="2880" w:hanging="360"/>
      </w:pPr>
      <w:rPr>
        <w:rFonts w:ascii="Times New Roman" w:hAnsi="Times New Roman" w:hint="default"/>
      </w:rPr>
    </w:lvl>
    <w:lvl w:ilvl="4" w:tplc="78FA6DC2" w:tentative="1">
      <w:start w:val="1"/>
      <w:numFmt w:val="bullet"/>
      <w:lvlText w:val="•"/>
      <w:lvlJc w:val="left"/>
      <w:pPr>
        <w:tabs>
          <w:tab w:val="num" w:pos="3600"/>
        </w:tabs>
        <w:ind w:left="3600" w:hanging="360"/>
      </w:pPr>
      <w:rPr>
        <w:rFonts w:ascii="Times New Roman" w:hAnsi="Times New Roman" w:hint="default"/>
      </w:rPr>
    </w:lvl>
    <w:lvl w:ilvl="5" w:tplc="24BCA27A" w:tentative="1">
      <w:start w:val="1"/>
      <w:numFmt w:val="bullet"/>
      <w:lvlText w:val="•"/>
      <w:lvlJc w:val="left"/>
      <w:pPr>
        <w:tabs>
          <w:tab w:val="num" w:pos="4320"/>
        </w:tabs>
        <w:ind w:left="4320" w:hanging="360"/>
      </w:pPr>
      <w:rPr>
        <w:rFonts w:ascii="Times New Roman" w:hAnsi="Times New Roman" w:hint="default"/>
      </w:rPr>
    </w:lvl>
    <w:lvl w:ilvl="6" w:tplc="98E639CC" w:tentative="1">
      <w:start w:val="1"/>
      <w:numFmt w:val="bullet"/>
      <w:lvlText w:val="•"/>
      <w:lvlJc w:val="left"/>
      <w:pPr>
        <w:tabs>
          <w:tab w:val="num" w:pos="5040"/>
        </w:tabs>
        <w:ind w:left="5040" w:hanging="360"/>
      </w:pPr>
      <w:rPr>
        <w:rFonts w:ascii="Times New Roman" w:hAnsi="Times New Roman" w:hint="default"/>
      </w:rPr>
    </w:lvl>
    <w:lvl w:ilvl="7" w:tplc="B358C73E" w:tentative="1">
      <w:start w:val="1"/>
      <w:numFmt w:val="bullet"/>
      <w:lvlText w:val="•"/>
      <w:lvlJc w:val="left"/>
      <w:pPr>
        <w:tabs>
          <w:tab w:val="num" w:pos="5760"/>
        </w:tabs>
        <w:ind w:left="5760" w:hanging="360"/>
      </w:pPr>
      <w:rPr>
        <w:rFonts w:ascii="Times New Roman" w:hAnsi="Times New Roman" w:hint="default"/>
      </w:rPr>
    </w:lvl>
    <w:lvl w:ilvl="8" w:tplc="4198E8A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649180B"/>
    <w:multiLevelType w:val="hybridMultilevel"/>
    <w:tmpl w:val="0596AC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CCE4CBF"/>
    <w:multiLevelType w:val="hybridMultilevel"/>
    <w:tmpl w:val="09348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D5F6912"/>
    <w:multiLevelType w:val="hybridMultilevel"/>
    <w:tmpl w:val="B6E62324"/>
    <w:lvl w:ilvl="0" w:tplc="44A03234">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51C4015B"/>
    <w:multiLevelType w:val="hybridMultilevel"/>
    <w:tmpl w:val="82186C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5A60E36"/>
    <w:multiLevelType w:val="hybridMultilevel"/>
    <w:tmpl w:val="98BAAA22"/>
    <w:lvl w:ilvl="0" w:tplc="FFFFFFFF">
      <w:start w:val="1"/>
      <w:numFmt w:val="decimal"/>
      <w:lvlText w:val="%1."/>
      <w:lvlJc w:val="left"/>
      <w:pPr>
        <w:ind w:left="720" w:hanging="360"/>
      </w:pPr>
      <w:rPr>
        <w:i w:val="0"/>
        <w:i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C97180"/>
    <w:multiLevelType w:val="hybridMultilevel"/>
    <w:tmpl w:val="11DECECE"/>
    <w:lvl w:ilvl="0" w:tplc="2BEA04D6">
      <w:start w:val="1"/>
      <w:numFmt w:val="bullet"/>
      <w:lvlText w:val="•"/>
      <w:lvlJc w:val="left"/>
      <w:pPr>
        <w:tabs>
          <w:tab w:val="num" w:pos="720"/>
        </w:tabs>
        <w:ind w:left="720" w:hanging="360"/>
      </w:pPr>
      <w:rPr>
        <w:rFonts w:ascii="Arial" w:hAnsi="Arial" w:hint="default"/>
      </w:rPr>
    </w:lvl>
    <w:lvl w:ilvl="1" w:tplc="043A9FD2">
      <w:numFmt w:val="bullet"/>
      <w:lvlText w:val="o"/>
      <w:lvlJc w:val="left"/>
      <w:pPr>
        <w:tabs>
          <w:tab w:val="num" w:pos="1440"/>
        </w:tabs>
        <w:ind w:left="1440" w:hanging="360"/>
      </w:pPr>
      <w:rPr>
        <w:rFonts w:ascii="Courier New" w:hAnsi="Courier New" w:hint="default"/>
      </w:rPr>
    </w:lvl>
    <w:lvl w:ilvl="2" w:tplc="EBE43CAE" w:tentative="1">
      <w:start w:val="1"/>
      <w:numFmt w:val="bullet"/>
      <w:lvlText w:val="•"/>
      <w:lvlJc w:val="left"/>
      <w:pPr>
        <w:tabs>
          <w:tab w:val="num" w:pos="2160"/>
        </w:tabs>
        <w:ind w:left="2160" w:hanging="360"/>
      </w:pPr>
      <w:rPr>
        <w:rFonts w:ascii="Arial" w:hAnsi="Arial" w:hint="default"/>
      </w:rPr>
    </w:lvl>
    <w:lvl w:ilvl="3" w:tplc="2A0A4A80" w:tentative="1">
      <w:start w:val="1"/>
      <w:numFmt w:val="bullet"/>
      <w:lvlText w:val="•"/>
      <w:lvlJc w:val="left"/>
      <w:pPr>
        <w:tabs>
          <w:tab w:val="num" w:pos="2880"/>
        </w:tabs>
        <w:ind w:left="2880" w:hanging="360"/>
      </w:pPr>
      <w:rPr>
        <w:rFonts w:ascii="Arial" w:hAnsi="Arial" w:hint="default"/>
      </w:rPr>
    </w:lvl>
    <w:lvl w:ilvl="4" w:tplc="A188876A" w:tentative="1">
      <w:start w:val="1"/>
      <w:numFmt w:val="bullet"/>
      <w:lvlText w:val="•"/>
      <w:lvlJc w:val="left"/>
      <w:pPr>
        <w:tabs>
          <w:tab w:val="num" w:pos="3600"/>
        </w:tabs>
        <w:ind w:left="3600" w:hanging="360"/>
      </w:pPr>
      <w:rPr>
        <w:rFonts w:ascii="Arial" w:hAnsi="Arial" w:hint="default"/>
      </w:rPr>
    </w:lvl>
    <w:lvl w:ilvl="5" w:tplc="906C09CC" w:tentative="1">
      <w:start w:val="1"/>
      <w:numFmt w:val="bullet"/>
      <w:lvlText w:val="•"/>
      <w:lvlJc w:val="left"/>
      <w:pPr>
        <w:tabs>
          <w:tab w:val="num" w:pos="4320"/>
        </w:tabs>
        <w:ind w:left="4320" w:hanging="360"/>
      </w:pPr>
      <w:rPr>
        <w:rFonts w:ascii="Arial" w:hAnsi="Arial" w:hint="default"/>
      </w:rPr>
    </w:lvl>
    <w:lvl w:ilvl="6" w:tplc="110E9C18" w:tentative="1">
      <w:start w:val="1"/>
      <w:numFmt w:val="bullet"/>
      <w:lvlText w:val="•"/>
      <w:lvlJc w:val="left"/>
      <w:pPr>
        <w:tabs>
          <w:tab w:val="num" w:pos="5040"/>
        </w:tabs>
        <w:ind w:left="5040" w:hanging="360"/>
      </w:pPr>
      <w:rPr>
        <w:rFonts w:ascii="Arial" w:hAnsi="Arial" w:hint="default"/>
      </w:rPr>
    </w:lvl>
    <w:lvl w:ilvl="7" w:tplc="EA765AEC" w:tentative="1">
      <w:start w:val="1"/>
      <w:numFmt w:val="bullet"/>
      <w:lvlText w:val="•"/>
      <w:lvlJc w:val="left"/>
      <w:pPr>
        <w:tabs>
          <w:tab w:val="num" w:pos="5760"/>
        </w:tabs>
        <w:ind w:left="5760" w:hanging="360"/>
      </w:pPr>
      <w:rPr>
        <w:rFonts w:ascii="Arial" w:hAnsi="Arial" w:hint="default"/>
      </w:rPr>
    </w:lvl>
    <w:lvl w:ilvl="8" w:tplc="94F4C33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933864"/>
    <w:multiLevelType w:val="hybridMultilevel"/>
    <w:tmpl w:val="43C0A1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9CC1DCE"/>
    <w:multiLevelType w:val="multilevel"/>
    <w:tmpl w:val="22EA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814079"/>
    <w:multiLevelType w:val="hybridMultilevel"/>
    <w:tmpl w:val="3F74BBBE"/>
    <w:lvl w:ilvl="0" w:tplc="6C04507C">
      <w:start w:val="1"/>
      <w:numFmt w:val="decimal"/>
      <w:lvlText w:val="%1."/>
      <w:lvlJc w:val="left"/>
      <w:pPr>
        <w:ind w:left="720" w:hanging="360"/>
      </w:pPr>
      <w:rPr>
        <w:i w:val="0"/>
        <w:iCs/>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EEF3BD0"/>
    <w:multiLevelType w:val="hybridMultilevel"/>
    <w:tmpl w:val="C56413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36433ED"/>
    <w:multiLevelType w:val="hybridMultilevel"/>
    <w:tmpl w:val="A3928C12"/>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6662EB3"/>
    <w:multiLevelType w:val="hybridMultilevel"/>
    <w:tmpl w:val="9A9CF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9095BBE"/>
    <w:multiLevelType w:val="hybridMultilevel"/>
    <w:tmpl w:val="C7744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9593B80"/>
    <w:multiLevelType w:val="multilevel"/>
    <w:tmpl w:val="B502BAE4"/>
    <w:lvl w:ilvl="0">
      <w:start w:val="1"/>
      <w:numFmt w:val="decimal"/>
      <w:lvlText w:val="%1."/>
      <w:lvlJc w:val="left"/>
      <w:pPr>
        <w:ind w:left="-354" w:hanging="360"/>
      </w:pPr>
      <w:rPr>
        <w:rFonts w:ascii="Basic Sans Light" w:hAnsi="Basic Sans Light" w:hint="default"/>
        <w:b w:val="0"/>
        <w:bCs/>
        <w:i w:val="0"/>
        <w:iCs w:val="0"/>
      </w:rPr>
    </w:lvl>
    <w:lvl w:ilvl="1">
      <w:start w:val="1"/>
      <w:numFmt w:val="lowerLetter"/>
      <w:lvlText w:val="%2."/>
      <w:lvlJc w:val="left"/>
      <w:pPr>
        <w:ind w:left="366" w:hanging="360"/>
      </w:pPr>
    </w:lvl>
    <w:lvl w:ilvl="2">
      <w:start w:val="1"/>
      <w:numFmt w:val="lowerRoman"/>
      <w:lvlText w:val="%3)"/>
      <w:lvlJc w:val="right"/>
      <w:pPr>
        <w:ind w:left="1086" w:hanging="180"/>
      </w:pPr>
      <w:rPr>
        <w:rFonts w:hint="default"/>
      </w:rPr>
    </w:lvl>
    <w:lvl w:ilvl="3">
      <w:start w:val="1"/>
      <w:numFmt w:val="decimal"/>
      <w:lvlText w:val="%4."/>
      <w:lvlJc w:val="left"/>
      <w:pPr>
        <w:ind w:left="1806" w:hanging="360"/>
      </w:pPr>
      <w:rPr>
        <w:rFonts w:hint="default"/>
      </w:rPr>
    </w:lvl>
    <w:lvl w:ilvl="4">
      <w:start w:val="1"/>
      <w:numFmt w:val="lowerLetter"/>
      <w:lvlText w:val="%5)"/>
      <w:lvlJc w:val="left"/>
      <w:pPr>
        <w:ind w:left="2526" w:hanging="360"/>
      </w:pPr>
      <w:rPr>
        <w:rFonts w:hint="default"/>
      </w:rPr>
    </w:lvl>
    <w:lvl w:ilvl="5">
      <w:start w:val="1"/>
      <w:numFmt w:val="lowerRoman"/>
      <w:lvlText w:val="%6)"/>
      <w:lvlJc w:val="right"/>
      <w:pPr>
        <w:ind w:left="3246" w:hanging="180"/>
      </w:pPr>
      <w:rPr>
        <w:rFonts w:hint="default"/>
      </w:rPr>
    </w:lvl>
    <w:lvl w:ilvl="6">
      <w:start w:val="1"/>
      <w:numFmt w:val="decimal"/>
      <w:lvlText w:val="%7."/>
      <w:lvlJc w:val="left"/>
      <w:pPr>
        <w:ind w:left="3966" w:hanging="360"/>
      </w:pPr>
      <w:rPr>
        <w:rFonts w:hint="default"/>
      </w:rPr>
    </w:lvl>
    <w:lvl w:ilvl="7">
      <w:start w:val="1"/>
      <w:numFmt w:val="lowerLetter"/>
      <w:lvlText w:val="%8)"/>
      <w:lvlJc w:val="left"/>
      <w:pPr>
        <w:ind w:left="4686" w:hanging="360"/>
      </w:pPr>
      <w:rPr>
        <w:rFonts w:hint="default"/>
      </w:rPr>
    </w:lvl>
    <w:lvl w:ilvl="8">
      <w:start w:val="1"/>
      <w:numFmt w:val="lowerRoman"/>
      <w:lvlText w:val="%9)"/>
      <w:lvlJc w:val="right"/>
      <w:pPr>
        <w:ind w:left="5406" w:hanging="180"/>
      </w:pPr>
      <w:rPr>
        <w:rFonts w:hint="default"/>
      </w:rPr>
    </w:lvl>
  </w:abstractNum>
  <w:abstractNum w:abstractNumId="43" w15:restartNumberingAfterBreak="0">
    <w:nsid w:val="69F81C0F"/>
    <w:multiLevelType w:val="multilevel"/>
    <w:tmpl w:val="31E6C8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6CB11BC6"/>
    <w:multiLevelType w:val="hybridMultilevel"/>
    <w:tmpl w:val="587E32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1BA463C"/>
    <w:multiLevelType w:val="hybridMultilevel"/>
    <w:tmpl w:val="6C44EDF2"/>
    <w:lvl w:ilvl="0" w:tplc="E4D430E2">
      <w:start w:val="1"/>
      <w:numFmt w:val="bullet"/>
      <w:pStyle w:val="Table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6" w15:restartNumberingAfterBreak="0">
    <w:nsid w:val="734C75B4"/>
    <w:multiLevelType w:val="multilevel"/>
    <w:tmpl w:val="7E08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6363D2"/>
    <w:multiLevelType w:val="hybridMultilevel"/>
    <w:tmpl w:val="5E4CF1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38756AF"/>
    <w:multiLevelType w:val="hybridMultilevel"/>
    <w:tmpl w:val="A350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7C46931"/>
    <w:multiLevelType w:val="multilevel"/>
    <w:tmpl w:val="AAFE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414801">
    <w:abstractNumId w:val="21"/>
  </w:num>
  <w:num w:numId="2" w16cid:durableId="1620524747">
    <w:abstractNumId w:val="37"/>
  </w:num>
  <w:num w:numId="3" w16cid:durableId="1434085756">
    <w:abstractNumId w:val="19"/>
  </w:num>
  <w:num w:numId="4" w16cid:durableId="1484930124">
    <w:abstractNumId w:val="46"/>
  </w:num>
  <w:num w:numId="5" w16cid:durableId="2126920803">
    <w:abstractNumId w:val="27"/>
  </w:num>
  <w:num w:numId="6" w16cid:durableId="425351522">
    <w:abstractNumId w:val="1"/>
  </w:num>
  <w:num w:numId="7" w16cid:durableId="486172106">
    <w:abstractNumId w:val="47"/>
  </w:num>
  <w:num w:numId="8" w16cid:durableId="1007517625">
    <w:abstractNumId w:val="29"/>
  </w:num>
  <w:num w:numId="9" w16cid:durableId="1071732244">
    <w:abstractNumId w:val="12"/>
  </w:num>
  <w:num w:numId="10" w16cid:durableId="1768578184">
    <w:abstractNumId w:val="26"/>
  </w:num>
  <w:num w:numId="11" w16cid:durableId="77409862">
    <w:abstractNumId w:val="15"/>
  </w:num>
  <w:num w:numId="12" w16cid:durableId="576594768">
    <w:abstractNumId w:val="36"/>
  </w:num>
  <w:num w:numId="13" w16cid:durableId="2020544975">
    <w:abstractNumId w:val="45"/>
  </w:num>
  <w:num w:numId="14" w16cid:durableId="1005017669">
    <w:abstractNumId w:val="24"/>
  </w:num>
  <w:num w:numId="15" w16cid:durableId="231232731">
    <w:abstractNumId w:val="44"/>
  </w:num>
  <w:num w:numId="16" w16cid:durableId="1154683729">
    <w:abstractNumId w:val="7"/>
  </w:num>
  <w:num w:numId="17" w16cid:durableId="387415192">
    <w:abstractNumId w:val="32"/>
  </w:num>
  <w:num w:numId="18" w16cid:durableId="1470245404">
    <w:abstractNumId w:val="2"/>
  </w:num>
  <w:num w:numId="19" w16cid:durableId="1308440829">
    <w:abstractNumId w:val="10"/>
  </w:num>
  <w:num w:numId="20" w16cid:durableId="247423884">
    <w:abstractNumId w:val="14"/>
  </w:num>
  <w:num w:numId="21" w16cid:durableId="2085518642">
    <w:abstractNumId w:val="3"/>
  </w:num>
  <w:num w:numId="22" w16cid:durableId="1679886944">
    <w:abstractNumId w:val="41"/>
  </w:num>
  <w:num w:numId="23" w16cid:durableId="84769560">
    <w:abstractNumId w:val="8"/>
  </w:num>
  <w:num w:numId="24" w16cid:durableId="30301616">
    <w:abstractNumId w:val="20"/>
  </w:num>
  <w:num w:numId="25" w16cid:durableId="1433010661">
    <w:abstractNumId w:val="13"/>
  </w:num>
  <w:num w:numId="26" w16cid:durableId="690954107">
    <w:abstractNumId w:val="9"/>
  </w:num>
  <w:num w:numId="27" w16cid:durableId="1778257673">
    <w:abstractNumId w:val="31"/>
  </w:num>
  <w:num w:numId="28" w16cid:durableId="1869487751">
    <w:abstractNumId w:val="25"/>
  </w:num>
  <w:num w:numId="29" w16cid:durableId="1625161740">
    <w:abstractNumId w:val="17"/>
  </w:num>
  <w:num w:numId="30" w16cid:durableId="36585962">
    <w:abstractNumId w:val="4"/>
  </w:num>
  <w:num w:numId="31" w16cid:durableId="2030177285">
    <w:abstractNumId w:val="23"/>
  </w:num>
  <w:num w:numId="32" w16cid:durableId="1476215769">
    <w:abstractNumId w:val="22"/>
  </w:num>
  <w:num w:numId="33" w16cid:durableId="351537468">
    <w:abstractNumId w:val="16"/>
  </w:num>
  <w:num w:numId="34" w16cid:durableId="71661661">
    <w:abstractNumId w:val="18"/>
  </w:num>
  <w:num w:numId="35" w16cid:durableId="1808359251">
    <w:abstractNumId w:val="11"/>
  </w:num>
  <w:num w:numId="36" w16cid:durableId="1036153163">
    <w:abstractNumId w:val="38"/>
  </w:num>
  <w:num w:numId="37" w16cid:durableId="125784532">
    <w:abstractNumId w:val="48"/>
  </w:num>
  <w:num w:numId="38" w16cid:durableId="59713254">
    <w:abstractNumId w:val="33"/>
  </w:num>
  <w:num w:numId="39" w16cid:durableId="305210403">
    <w:abstractNumId w:val="34"/>
  </w:num>
  <w:num w:numId="40" w16cid:durableId="2122020629">
    <w:abstractNumId w:val="43"/>
  </w:num>
  <w:num w:numId="41" w16cid:durableId="850097659">
    <w:abstractNumId w:val="30"/>
  </w:num>
  <w:num w:numId="42" w16cid:durableId="2099716903">
    <w:abstractNumId w:val="28"/>
  </w:num>
  <w:num w:numId="43" w16cid:durableId="975985150">
    <w:abstractNumId w:val="40"/>
  </w:num>
  <w:num w:numId="44" w16cid:durableId="780953217">
    <w:abstractNumId w:val="5"/>
  </w:num>
  <w:num w:numId="45" w16cid:durableId="585194670">
    <w:abstractNumId w:val="49"/>
  </w:num>
  <w:num w:numId="46" w16cid:durableId="1318652907">
    <w:abstractNumId w:val="39"/>
  </w:num>
  <w:num w:numId="47" w16cid:durableId="1649214135">
    <w:abstractNumId w:val="6"/>
  </w:num>
  <w:num w:numId="48" w16cid:durableId="1126195184">
    <w:abstractNumId w:val="42"/>
  </w:num>
  <w:num w:numId="49" w16cid:durableId="1551962932">
    <w:abstractNumId w:val="0"/>
  </w:num>
  <w:num w:numId="50" w16cid:durableId="1832062769">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defaultTabStop w:val="720"/>
  <w:evenAndOddHeaders/>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5A"/>
    <w:rsid w:val="000014B1"/>
    <w:rsid w:val="0000248E"/>
    <w:rsid w:val="0000263A"/>
    <w:rsid w:val="00002A25"/>
    <w:rsid w:val="00002D68"/>
    <w:rsid w:val="000049BF"/>
    <w:rsid w:val="00007074"/>
    <w:rsid w:val="00007CC4"/>
    <w:rsid w:val="00007D0A"/>
    <w:rsid w:val="0001181D"/>
    <w:rsid w:val="00011909"/>
    <w:rsid w:val="00011AB1"/>
    <w:rsid w:val="00012138"/>
    <w:rsid w:val="00012E32"/>
    <w:rsid w:val="000135E3"/>
    <w:rsid w:val="00015F43"/>
    <w:rsid w:val="00017146"/>
    <w:rsid w:val="000209B4"/>
    <w:rsid w:val="00022B3E"/>
    <w:rsid w:val="00022C9C"/>
    <w:rsid w:val="00031694"/>
    <w:rsid w:val="00031E23"/>
    <w:rsid w:val="00031F60"/>
    <w:rsid w:val="0003271F"/>
    <w:rsid w:val="000335A4"/>
    <w:rsid w:val="00034AE2"/>
    <w:rsid w:val="0003552B"/>
    <w:rsid w:val="00036CF9"/>
    <w:rsid w:val="0003701D"/>
    <w:rsid w:val="000373E3"/>
    <w:rsid w:val="0004025B"/>
    <w:rsid w:val="000407AB"/>
    <w:rsid w:val="00041969"/>
    <w:rsid w:val="00041E99"/>
    <w:rsid w:val="00042AF9"/>
    <w:rsid w:val="0004308E"/>
    <w:rsid w:val="00044B94"/>
    <w:rsid w:val="00045B60"/>
    <w:rsid w:val="0004672A"/>
    <w:rsid w:val="00047338"/>
    <w:rsid w:val="000473FE"/>
    <w:rsid w:val="0004797F"/>
    <w:rsid w:val="00053479"/>
    <w:rsid w:val="000543AF"/>
    <w:rsid w:val="0006132D"/>
    <w:rsid w:val="000627C6"/>
    <w:rsid w:val="0006285F"/>
    <w:rsid w:val="000633B4"/>
    <w:rsid w:val="0006465A"/>
    <w:rsid w:val="0006472F"/>
    <w:rsid w:val="000647B3"/>
    <w:rsid w:val="0006482B"/>
    <w:rsid w:val="00065392"/>
    <w:rsid w:val="0006557D"/>
    <w:rsid w:val="00066C7D"/>
    <w:rsid w:val="00067106"/>
    <w:rsid w:val="000674F3"/>
    <w:rsid w:val="00067667"/>
    <w:rsid w:val="000676D7"/>
    <w:rsid w:val="00070D86"/>
    <w:rsid w:val="00071A49"/>
    <w:rsid w:val="00072460"/>
    <w:rsid w:val="00072CB0"/>
    <w:rsid w:val="00073122"/>
    <w:rsid w:val="000768DD"/>
    <w:rsid w:val="0007763A"/>
    <w:rsid w:val="00080091"/>
    <w:rsid w:val="00081191"/>
    <w:rsid w:val="00082695"/>
    <w:rsid w:val="00082925"/>
    <w:rsid w:val="00083518"/>
    <w:rsid w:val="00083AF8"/>
    <w:rsid w:val="0008437D"/>
    <w:rsid w:val="000846D5"/>
    <w:rsid w:val="00084CC0"/>
    <w:rsid w:val="0008634F"/>
    <w:rsid w:val="000869A0"/>
    <w:rsid w:val="00087558"/>
    <w:rsid w:val="0009077E"/>
    <w:rsid w:val="000914CB"/>
    <w:rsid w:val="00091C8E"/>
    <w:rsid w:val="0009240E"/>
    <w:rsid w:val="00094A4E"/>
    <w:rsid w:val="000972E5"/>
    <w:rsid w:val="000A09DD"/>
    <w:rsid w:val="000A1CAF"/>
    <w:rsid w:val="000A267D"/>
    <w:rsid w:val="000A2817"/>
    <w:rsid w:val="000A2934"/>
    <w:rsid w:val="000A3B38"/>
    <w:rsid w:val="000A4377"/>
    <w:rsid w:val="000A4604"/>
    <w:rsid w:val="000A76CE"/>
    <w:rsid w:val="000A7A26"/>
    <w:rsid w:val="000B02F6"/>
    <w:rsid w:val="000B0355"/>
    <w:rsid w:val="000B17E4"/>
    <w:rsid w:val="000B220F"/>
    <w:rsid w:val="000B58AD"/>
    <w:rsid w:val="000B7B25"/>
    <w:rsid w:val="000C0691"/>
    <w:rsid w:val="000C075C"/>
    <w:rsid w:val="000C2301"/>
    <w:rsid w:val="000C2F4C"/>
    <w:rsid w:val="000C3D9C"/>
    <w:rsid w:val="000C4302"/>
    <w:rsid w:val="000C5CB4"/>
    <w:rsid w:val="000C60C3"/>
    <w:rsid w:val="000C73B4"/>
    <w:rsid w:val="000C7D33"/>
    <w:rsid w:val="000D0092"/>
    <w:rsid w:val="000D2596"/>
    <w:rsid w:val="000D48A3"/>
    <w:rsid w:val="000D509C"/>
    <w:rsid w:val="000D5128"/>
    <w:rsid w:val="000D55A6"/>
    <w:rsid w:val="000D592D"/>
    <w:rsid w:val="000D601B"/>
    <w:rsid w:val="000D67C7"/>
    <w:rsid w:val="000D67F5"/>
    <w:rsid w:val="000D68A9"/>
    <w:rsid w:val="000E0150"/>
    <w:rsid w:val="000E0DC7"/>
    <w:rsid w:val="000E2A9D"/>
    <w:rsid w:val="000E387D"/>
    <w:rsid w:val="000E3D20"/>
    <w:rsid w:val="000E469C"/>
    <w:rsid w:val="000E4D2F"/>
    <w:rsid w:val="000E4F2F"/>
    <w:rsid w:val="000E568F"/>
    <w:rsid w:val="000E5AFE"/>
    <w:rsid w:val="000E6F0E"/>
    <w:rsid w:val="000E710A"/>
    <w:rsid w:val="000F01E1"/>
    <w:rsid w:val="000F07EE"/>
    <w:rsid w:val="000F0AFB"/>
    <w:rsid w:val="000F0C06"/>
    <w:rsid w:val="000F0C14"/>
    <w:rsid w:val="000F14DA"/>
    <w:rsid w:val="000F17C6"/>
    <w:rsid w:val="000F4DBB"/>
    <w:rsid w:val="000F53FF"/>
    <w:rsid w:val="000F672A"/>
    <w:rsid w:val="000F6AE4"/>
    <w:rsid w:val="001005B0"/>
    <w:rsid w:val="00100D65"/>
    <w:rsid w:val="00104720"/>
    <w:rsid w:val="00105A36"/>
    <w:rsid w:val="00106362"/>
    <w:rsid w:val="00106ED5"/>
    <w:rsid w:val="001102FF"/>
    <w:rsid w:val="00110D3D"/>
    <w:rsid w:val="00110E9C"/>
    <w:rsid w:val="0011138E"/>
    <w:rsid w:val="00111F8E"/>
    <w:rsid w:val="00112562"/>
    <w:rsid w:val="00112638"/>
    <w:rsid w:val="00112BB9"/>
    <w:rsid w:val="00114B18"/>
    <w:rsid w:val="00115F2B"/>
    <w:rsid w:val="00116C6B"/>
    <w:rsid w:val="00116FBE"/>
    <w:rsid w:val="00117206"/>
    <w:rsid w:val="001178C8"/>
    <w:rsid w:val="001179C6"/>
    <w:rsid w:val="00117D20"/>
    <w:rsid w:val="00117E36"/>
    <w:rsid w:val="0012254A"/>
    <w:rsid w:val="00122BE9"/>
    <w:rsid w:val="00123516"/>
    <w:rsid w:val="00123663"/>
    <w:rsid w:val="001249CB"/>
    <w:rsid w:val="00125759"/>
    <w:rsid w:val="0012642F"/>
    <w:rsid w:val="00127586"/>
    <w:rsid w:val="00127F35"/>
    <w:rsid w:val="001300DC"/>
    <w:rsid w:val="00131208"/>
    <w:rsid w:val="00131456"/>
    <w:rsid w:val="001331EF"/>
    <w:rsid w:val="00134CB1"/>
    <w:rsid w:val="001402DC"/>
    <w:rsid w:val="00140691"/>
    <w:rsid w:val="00140CAF"/>
    <w:rsid w:val="00142302"/>
    <w:rsid w:val="0014295A"/>
    <w:rsid w:val="00143BF7"/>
    <w:rsid w:val="00145336"/>
    <w:rsid w:val="001459D7"/>
    <w:rsid w:val="00146668"/>
    <w:rsid w:val="00147836"/>
    <w:rsid w:val="0015030C"/>
    <w:rsid w:val="001506AB"/>
    <w:rsid w:val="001514A5"/>
    <w:rsid w:val="001555E4"/>
    <w:rsid w:val="00155D7C"/>
    <w:rsid w:val="001566F6"/>
    <w:rsid w:val="001577A1"/>
    <w:rsid w:val="00157FF8"/>
    <w:rsid w:val="00160784"/>
    <w:rsid w:val="00160AC0"/>
    <w:rsid w:val="0016153A"/>
    <w:rsid w:val="00163EB6"/>
    <w:rsid w:val="00164EFB"/>
    <w:rsid w:val="001651F2"/>
    <w:rsid w:val="00166722"/>
    <w:rsid w:val="0016674B"/>
    <w:rsid w:val="00166978"/>
    <w:rsid w:val="00167890"/>
    <w:rsid w:val="00167E71"/>
    <w:rsid w:val="00170F3A"/>
    <w:rsid w:val="001720E7"/>
    <w:rsid w:val="0017340C"/>
    <w:rsid w:val="00174051"/>
    <w:rsid w:val="001749C8"/>
    <w:rsid w:val="00174CE5"/>
    <w:rsid w:val="00174F27"/>
    <w:rsid w:val="00175B81"/>
    <w:rsid w:val="001766C5"/>
    <w:rsid w:val="00176805"/>
    <w:rsid w:val="00176AE9"/>
    <w:rsid w:val="00183781"/>
    <w:rsid w:val="00183E83"/>
    <w:rsid w:val="00183FF1"/>
    <w:rsid w:val="001845CE"/>
    <w:rsid w:val="001851ED"/>
    <w:rsid w:val="00186E4C"/>
    <w:rsid w:val="00187EF2"/>
    <w:rsid w:val="00192236"/>
    <w:rsid w:val="00192353"/>
    <w:rsid w:val="001932A6"/>
    <w:rsid w:val="0019384C"/>
    <w:rsid w:val="001948B1"/>
    <w:rsid w:val="00194B70"/>
    <w:rsid w:val="00194B8D"/>
    <w:rsid w:val="00194FE7"/>
    <w:rsid w:val="00195306"/>
    <w:rsid w:val="0019537E"/>
    <w:rsid w:val="00196EDF"/>
    <w:rsid w:val="00197668"/>
    <w:rsid w:val="00197E9A"/>
    <w:rsid w:val="001A0B1E"/>
    <w:rsid w:val="001A1A1B"/>
    <w:rsid w:val="001A4E43"/>
    <w:rsid w:val="001A53F9"/>
    <w:rsid w:val="001A5B69"/>
    <w:rsid w:val="001A61D7"/>
    <w:rsid w:val="001A6D53"/>
    <w:rsid w:val="001A7D04"/>
    <w:rsid w:val="001B09E9"/>
    <w:rsid w:val="001B1687"/>
    <w:rsid w:val="001B2169"/>
    <w:rsid w:val="001B348B"/>
    <w:rsid w:val="001B363D"/>
    <w:rsid w:val="001B369E"/>
    <w:rsid w:val="001B4DEF"/>
    <w:rsid w:val="001B6ABD"/>
    <w:rsid w:val="001C0576"/>
    <w:rsid w:val="001C0A2A"/>
    <w:rsid w:val="001C1CB0"/>
    <w:rsid w:val="001C2C2D"/>
    <w:rsid w:val="001C50AE"/>
    <w:rsid w:val="001C6801"/>
    <w:rsid w:val="001C6EB9"/>
    <w:rsid w:val="001D1465"/>
    <w:rsid w:val="001D149B"/>
    <w:rsid w:val="001D17E1"/>
    <w:rsid w:val="001D28F2"/>
    <w:rsid w:val="001D3452"/>
    <w:rsid w:val="001D3B4C"/>
    <w:rsid w:val="001D3B90"/>
    <w:rsid w:val="001D3C7A"/>
    <w:rsid w:val="001D5025"/>
    <w:rsid w:val="001D535C"/>
    <w:rsid w:val="001D58B6"/>
    <w:rsid w:val="001D5E85"/>
    <w:rsid w:val="001D6DA5"/>
    <w:rsid w:val="001E1286"/>
    <w:rsid w:val="001E19C9"/>
    <w:rsid w:val="001E1A0C"/>
    <w:rsid w:val="001E5C32"/>
    <w:rsid w:val="001E7692"/>
    <w:rsid w:val="001F056C"/>
    <w:rsid w:val="001F2CDC"/>
    <w:rsid w:val="001F32F2"/>
    <w:rsid w:val="001F34A0"/>
    <w:rsid w:val="001F414A"/>
    <w:rsid w:val="001F48D8"/>
    <w:rsid w:val="001F49A2"/>
    <w:rsid w:val="001F5840"/>
    <w:rsid w:val="001F58C0"/>
    <w:rsid w:val="001F68FD"/>
    <w:rsid w:val="001F6A96"/>
    <w:rsid w:val="001F6EE1"/>
    <w:rsid w:val="00201FF9"/>
    <w:rsid w:val="002026A8"/>
    <w:rsid w:val="00202DF7"/>
    <w:rsid w:val="002057B0"/>
    <w:rsid w:val="002071BF"/>
    <w:rsid w:val="00207463"/>
    <w:rsid w:val="00210316"/>
    <w:rsid w:val="00211014"/>
    <w:rsid w:val="00212AC9"/>
    <w:rsid w:val="00213098"/>
    <w:rsid w:val="002130B9"/>
    <w:rsid w:val="00213173"/>
    <w:rsid w:val="00213D83"/>
    <w:rsid w:val="00214616"/>
    <w:rsid w:val="00214D20"/>
    <w:rsid w:val="002151BC"/>
    <w:rsid w:val="00215A4B"/>
    <w:rsid w:val="00215FED"/>
    <w:rsid w:val="00216400"/>
    <w:rsid w:val="00217246"/>
    <w:rsid w:val="00217530"/>
    <w:rsid w:val="00217AFF"/>
    <w:rsid w:val="00217DCC"/>
    <w:rsid w:val="00220054"/>
    <w:rsid w:val="002215DD"/>
    <w:rsid w:val="0022229F"/>
    <w:rsid w:val="00222C5C"/>
    <w:rsid w:val="00223326"/>
    <w:rsid w:val="00223E95"/>
    <w:rsid w:val="0022448C"/>
    <w:rsid w:val="00224AE1"/>
    <w:rsid w:val="00224D05"/>
    <w:rsid w:val="00224DC0"/>
    <w:rsid w:val="0022501E"/>
    <w:rsid w:val="002252CC"/>
    <w:rsid w:val="00227A27"/>
    <w:rsid w:val="00227AA4"/>
    <w:rsid w:val="00227D68"/>
    <w:rsid w:val="00227E5E"/>
    <w:rsid w:val="00230003"/>
    <w:rsid w:val="002312C6"/>
    <w:rsid w:val="0023164B"/>
    <w:rsid w:val="002328E0"/>
    <w:rsid w:val="002336C6"/>
    <w:rsid w:val="002350E2"/>
    <w:rsid w:val="00235145"/>
    <w:rsid w:val="00235B8C"/>
    <w:rsid w:val="00236757"/>
    <w:rsid w:val="00236797"/>
    <w:rsid w:val="00236A80"/>
    <w:rsid w:val="002402CE"/>
    <w:rsid w:val="002403DE"/>
    <w:rsid w:val="00241432"/>
    <w:rsid w:val="00243AC7"/>
    <w:rsid w:val="00243DFE"/>
    <w:rsid w:val="0024464B"/>
    <w:rsid w:val="00244992"/>
    <w:rsid w:val="002457F2"/>
    <w:rsid w:val="00245F3E"/>
    <w:rsid w:val="0024669E"/>
    <w:rsid w:val="0025035D"/>
    <w:rsid w:val="002503B0"/>
    <w:rsid w:val="00250EAC"/>
    <w:rsid w:val="00251244"/>
    <w:rsid w:val="00252969"/>
    <w:rsid w:val="00252D5E"/>
    <w:rsid w:val="0025326D"/>
    <w:rsid w:val="00253641"/>
    <w:rsid w:val="0025437F"/>
    <w:rsid w:val="0025471A"/>
    <w:rsid w:val="00255585"/>
    <w:rsid w:val="002555AE"/>
    <w:rsid w:val="00255632"/>
    <w:rsid w:val="00255A2B"/>
    <w:rsid w:val="00262F7F"/>
    <w:rsid w:val="002635EE"/>
    <w:rsid w:val="00263BFD"/>
    <w:rsid w:val="00264B68"/>
    <w:rsid w:val="002654CD"/>
    <w:rsid w:val="002669B8"/>
    <w:rsid w:val="00267CAE"/>
    <w:rsid w:val="00270A8D"/>
    <w:rsid w:val="00271D56"/>
    <w:rsid w:val="0027211C"/>
    <w:rsid w:val="00272B2D"/>
    <w:rsid w:val="00272C9F"/>
    <w:rsid w:val="0027490A"/>
    <w:rsid w:val="00274FD9"/>
    <w:rsid w:val="002755A2"/>
    <w:rsid w:val="00276A36"/>
    <w:rsid w:val="00277182"/>
    <w:rsid w:val="002777EE"/>
    <w:rsid w:val="0028084F"/>
    <w:rsid w:val="00280D82"/>
    <w:rsid w:val="00283228"/>
    <w:rsid w:val="00283AFA"/>
    <w:rsid w:val="00283CFE"/>
    <w:rsid w:val="00283D66"/>
    <w:rsid w:val="002846C1"/>
    <w:rsid w:val="0028551B"/>
    <w:rsid w:val="00285697"/>
    <w:rsid w:val="00287C0E"/>
    <w:rsid w:val="00287C17"/>
    <w:rsid w:val="00290350"/>
    <w:rsid w:val="00290909"/>
    <w:rsid w:val="00290957"/>
    <w:rsid w:val="00290C23"/>
    <w:rsid w:val="0029259B"/>
    <w:rsid w:val="002935E7"/>
    <w:rsid w:val="00294354"/>
    <w:rsid w:val="002949AE"/>
    <w:rsid w:val="002960C4"/>
    <w:rsid w:val="00296719"/>
    <w:rsid w:val="00297AED"/>
    <w:rsid w:val="002A063D"/>
    <w:rsid w:val="002A0650"/>
    <w:rsid w:val="002A1742"/>
    <w:rsid w:val="002A20F4"/>
    <w:rsid w:val="002A38BF"/>
    <w:rsid w:val="002A4850"/>
    <w:rsid w:val="002A4A4B"/>
    <w:rsid w:val="002A4D7A"/>
    <w:rsid w:val="002A5347"/>
    <w:rsid w:val="002A5420"/>
    <w:rsid w:val="002A63C1"/>
    <w:rsid w:val="002A6403"/>
    <w:rsid w:val="002A70D5"/>
    <w:rsid w:val="002A75E4"/>
    <w:rsid w:val="002B085C"/>
    <w:rsid w:val="002B09D2"/>
    <w:rsid w:val="002B2230"/>
    <w:rsid w:val="002B357A"/>
    <w:rsid w:val="002B4175"/>
    <w:rsid w:val="002B44E6"/>
    <w:rsid w:val="002B4ADA"/>
    <w:rsid w:val="002B4C57"/>
    <w:rsid w:val="002B51A0"/>
    <w:rsid w:val="002B6BA9"/>
    <w:rsid w:val="002B7BB0"/>
    <w:rsid w:val="002B7EFC"/>
    <w:rsid w:val="002C3790"/>
    <w:rsid w:val="002C450C"/>
    <w:rsid w:val="002C4890"/>
    <w:rsid w:val="002C4953"/>
    <w:rsid w:val="002C4C5C"/>
    <w:rsid w:val="002C4D30"/>
    <w:rsid w:val="002C5238"/>
    <w:rsid w:val="002C76CD"/>
    <w:rsid w:val="002C7FC4"/>
    <w:rsid w:val="002D0A7B"/>
    <w:rsid w:val="002D2F6D"/>
    <w:rsid w:val="002D3B83"/>
    <w:rsid w:val="002D4019"/>
    <w:rsid w:val="002D4ABC"/>
    <w:rsid w:val="002D59D6"/>
    <w:rsid w:val="002D668F"/>
    <w:rsid w:val="002D7F14"/>
    <w:rsid w:val="002E072B"/>
    <w:rsid w:val="002E0816"/>
    <w:rsid w:val="002E0E2E"/>
    <w:rsid w:val="002E2036"/>
    <w:rsid w:val="002E2A2E"/>
    <w:rsid w:val="002E3044"/>
    <w:rsid w:val="002E3ACC"/>
    <w:rsid w:val="002E5D1D"/>
    <w:rsid w:val="002E631F"/>
    <w:rsid w:val="002E7B9D"/>
    <w:rsid w:val="002F00C0"/>
    <w:rsid w:val="002F207B"/>
    <w:rsid w:val="002F34BE"/>
    <w:rsid w:val="002F380B"/>
    <w:rsid w:val="002F41EB"/>
    <w:rsid w:val="002F487F"/>
    <w:rsid w:val="002F491A"/>
    <w:rsid w:val="002F6230"/>
    <w:rsid w:val="002F69A2"/>
    <w:rsid w:val="002F708E"/>
    <w:rsid w:val="0030036D"/>
    <w:rsid w:val="00300FCC"/>
    <w:rsid w:val="003012D0"/>
    <w:rsid w:val="00302C55"/>
    <w:rsid w:val="00304528"/>
    <w:rsid w:val="00305016"/>
    <w:rsid w:val="0030585F"/>
    <w:rsid w:val="00306985"/>
    <w:rsid w:val="00306FCD"/>
    <w:rsid w:val="00307FFD"/>
    <w:rsid w:val="00310178"/>
    <w:rsid w:val="00310477"/>
    <w:rsid w:val="00310A2B"/>
    <w:rsid w:val="00311B32"/>
    <w:rsid w:val="00312FCB"/>
    <w:rsid w:val="00315054"/>
    <w:rsid w:val="00315F5E"/>
    <w:rsid w:val="00316AC3"/>
    <w:rsid w:val="00317821"/>
    <w:rsid w:val="00317FAD"/>
    <w:rsid w:val="003207AA"/>
    <w:rsid w:val="003216CA"/>
    <w:rsid w:val="0032217F"/>
    <w:rsid w:val="0032264B"/>
    <w:rsid w:val="00323D37"/>
    <w:rsid w:val="00324B1C"/>
    <w:rsid w:val="00325074"/>
    <w:rsid w:val="00325B0E"/>
    <w:rsid w:val="00326062"/>
    <w:rsid w:val="003275CC"/>
    <w:rsid w:val="0032764D"/>
    <w:rsid w:val="0033036D"/>
    <w:rsid w:val="0033231C"/>
    <w:rsid w:val="00332F17"/>
    <w:rsid w:val="003336DF"/>
    <w:rsid w:val="003336FA"/>
    <w:rsid w:val="00333FA4"/>
    <w:rsid w:val="003341A6"/>
    <w:rsid w:val="003341D5"/>
    <w:rsid w:val="003361BA"/>
    <w:rsid w:val="00336720"/>
    <w:rsid w:val="00340EA3"/>
    <w:rsid w:val="00341141"/>
    <w:rsid w:val="003420B7"/>
    <w:rsid w:val="0034470D"/>
    <w:rsid w:val="00346CEC"/>
    <w:rsid w:val="003478A9"/>
    <w:rsid w:val="00347C3F"/>
    <w:rsid w:val="00347CF9"/>
    <w:rsid w:val="00350D89"/>
    <w:rsid w:val="003517DC"/>
    <w:rsid w:val="003521FC"/>
    <w:rsid w:val="00352535"/>
    <w:rsid w:val="00353600"/>
    <w:rsid w:val="003549CE"/>
    <w:rsid w:val="00354AA6"/>
    <w:rsid w:val="00355821"/>
    <w:rsid w:val="00355FF3"/>
    <w:rsid w:val="00356E44"/>
    <w:rsid w:val="00356F7E"/>
    <w:rsid w:val="00360440"/>
    <w:rsid w:val="00360600"/>
    <w:rsid w:val="00361FF6"/>
    <w:rsid w:val="0036296D"/>
    <w:rsid w:val="00363BB6"/>
    <w:rsid w:val="00363D74"/>
    <w:rsid w:val="00364E62"/>
    <w:rsid w:val="00365734"/>
    <w:rsid w:val="0036615C"/>
    <w:rsid w:val="00367884"/>
    <w:rsid w:val="00370BE5"/>
    <w:rsid w:val="0037193A"/>
    <w:rsid w:val="00372E93"/>
    <w:rsid w:val="00373AD9"/>
    <w:rsid w:val="003745DE"/>
    <w:rsid w:val="003745EC"/>
    <w:rsid w:val="00374636"/>
    <w:rsid w:val="003746F8"/>
    <w:rsid w:val="00376881"/>
    <w:rsid w:val="00377A64"/>
    <w:rsid w:val="00380154"/>
    <w:rsid w:val="003808FC"/>
    <w:rsid w:val="003812DA"/>
    <w:rsid w:val="003816FF"/>
    <w:rsid w:val="00382065"/>
    <w:rsid w:val="003846FE"/>
    <w:rsid w:val="00385796"/>
    <w:rsid w:val="00385B50"/>
    <w:rsid w:val="00387896"/>
    <w:rsid w:val="00387B5B"/>
    <w:rsid w:val="00387B6D"/>
    <w:rsid w:val="00390D32"/>
    <w:rsid w:val="00391C77"/>
    <w:rsid w:val="00392BB0"/>
    <w:rsid w:val="00393072"/>
    <w:rsid w:val="003944F2"/>
    <w:rsid w:val="003948CA"/>
    <w:rsid w:val="00394CE5"/>
    <w:rsid w:val="00395BCA"/>
    <w:rsid w:val="003966C2"/>
    <w:rsid w:val="00396C41"/>
    <w:rsid w:val="003A0C5B"/>
    <w:rsid w:val="003A136B"/>
    <w:rsid w:val="003A1789"/>
    <w:rsid w:val="003A1E86"/>
    <w:rsid w:val="003A2B17"/>
    <w:rsid w:val="003A2D54"/>
    <w:rsid w:val="003A3035"/>
    <w:rsid w:val="003A3AE5"/>
    <w:rsid w:val="003A4101"/>
    <w:rsid w:val="003A67C0"/>
    <w:rsid w:val="003A7BF6"/>
    <w:rsid w:val="003A7E3E"/>
    <w:rsid w:val="003B057A"/>
    <w:rsid w:val="003B1B7A"/>
    <w:rsid w:val="003B4BD6"/>
    <w:rsid w:val="003B573A"/>
    <w:rsid w:val="003B63F6"/>
    <w:rsid w:val="003B6F79"/>
    <w:rsid w:val="003B769A"/>
    <w:rsid w:val="003C060D"/>
    <w:rsid w:val="003C212E"/>
    <w:rsid w:val="003C40CB"/>
    <w:rsid w:val="003C51C9"/>
    <w:rsid w:val="003C5409"/>
    <w:rsid w:val="003C59CE"/>
    <w:rsid w:val="003C692E"/>
    <w:rsid w:val="003C7B89"/>
    <w:rsid w:val="003D14C0"/>
    <w:rsid w:val="003D15AD"/>
    <w:rsid w:val="003D192A"/>
    <w:rsid w:val="003D291D"/>
    <w:rsid w:val="003D37F2"/>
    <w:rsid w:val="003D3AAD"/>
    <w:rsid w:val="003D3E65"/>
    <w:rsid w:val="003D4F8B"/>
    <w:rsid w:val="003D5051"/>
    <w:rsid w:val="003D54ED"/>
    <w:rsid w:val="003D5704"/>
    <w:rsid w:val="003D679F"/>
    <w:rsid w:val="003D6DE1"/>
    <w:rsid w:val="003E24D0"/>
    <w:rsid w:val="003E325D"/>
    <w:rsid w:val="003E42DE"/>
    <w:rsid w:val="003E6937"/>
    <w:rsid w:val="003E7714"/>
    <w:rsid w:val="003F0333"/>
    <w:rsid w:val="003F0FC0"/>
    <w:rsid w:val="003F19B5"/>
    <w:rsid w:val="003F3C50"/>
    <w:rsid w:val="003F4C78"/>
    <w:rsid w:val="003F5725"/>
    <w:rsid w:val="003F673F"/>
    <w:rsid w:val="003F6D13"/>
    <w:rsid w:val="003F74F1"/>
    <w:rsid w:val="003F7F9D"/>
    <w:rsid w:val="00400510"/>
    <w:rsid w:val="004006F7"/>
    <w:rsid w:val="00400752"/>
    <w:rsid w:val="004015FA"/>
    <w:rsid w:val="00401640"/>
    <w:rsid w:val="00403D1F"/>
    <w:rsid w:val="004055C9"/>
    <w:rsid w:val="0040569D"/>
    <w:rsid w:val="004059F3"/>
    <w:rsid w:val="004064BA"/>
    <w:rsid w:val="00406B1C"/>
    <w:rsid w:val="0040755B"/>
    <w:rsid w:val="00410010"/>
    <w:rsid w:val="00410B72"/>
    <w:rsid w:val="0041339F"/>
    <w:rsid w:val="0041347F"/>
    <w:rsid w:val="00413875"/>
    <w:rsid w:val="004142E6"/>
    <w:rsid w:val="004143CD"/>
    <w:rsid w:val="00414A74"/>
    <w:rsid w:val="004168BB"/>
    <w:rsid w:val="00416A09"/>
    <w:rsid w:val="00416AC0"/>
    <w:rsid w:val="004175B6"/>
    <w:rsid w:val="004179D8"/>
    <w:rsid w:val="004203D9"/>
    <w:rsid w:val="00420B0A"/>
    <w:rsid w:val="004214F7"/>
    <w:rsid w:val="00421DD9"/>
    <w:rsid w:val="00422923"/>
    <w:rsid w:val="00422CA5"/>
    <w:rsid w:val="00423198"/>
    <w:rsid w:val="00424D4A"/>
    <w:rsid w:val="0042741D"/>
    <w:rsid w:val="00427C96"/>
    <w:rsid w:val="00430257"/>
    <w:rsid w:val="0043043E"/>
    <w:rsid w:val="00430AC2"/>
    <w:rsid w:val="004332E0"/>
    <w:rsid w:val="004333A7"/>
    <w:rsid w:val="00433CD4"/>
    <w:rsid w:val="004357C6"/>
    <w:rsid w:val="00435A24"/>
    <w:rsid w:val="00435F79"/>
    <w:rsid w:val="00435FD3"/>
    <w:rsid w:val="00436BFD"/>
    <w:rsid w:val="004427B1"/>
    <w:rsid w:val="0044376D"/>
    <w:rsid w:val="00443D95"/>
    <w:rsid w:val="004445C4"/>
    <w:rsid w:val="00445E7E"/>
    <w:rsid w:val="00447218"/>
    <w:rsid w:val="0044732C"/>
    <w:rsid w:val="0045119C"/>
    <w:rsid w:val="00451565"/>
    <w:rsid w:val="00451F25"/>
    <w:rsid w:val="00452C10"/>
    <w:rsid w:val="00453EB3"/>
    <w:rsid w:val="004549E0"/>
    <w:rsid w:val="00454B88"/>
    <w:rsid w:val="0045686F"/>
    <w:rsid w:val="00456EB0"/>
    <w:rsid w:val="00457266"/>
    <w:rsid w:val="004574EF"/>
    <w:rsid w:val="00457E22"/>
    <w:rsid w:val="00460AD3"/>
    <w:rsid w:val="00460F30"/>
    <w:rsid w:val="004637BD"/>
    <w:rsid w:val="00463E69"/>
    <w:rsid w:val="00464E26"/>
    <w:rsid w:val="00464FCA"/>
    <w:rsid w:val="004664DA"/>
    <w:rsid w:val="00466CE7"/>
    <w:rsid w:val="00466D3D"/>
    <w:rsid w:val="00466E5F"/>
    <w:rsid w:val="0046743A"/>
    <w:rsid w:val="00467A42"/>
    <w:rsid w:val="004705BE"/>
    <w:rsid w:val="00470F1B"/>
    <w:rsid w:val="0047367F"/>
    <w:rsid w:val="00474125"/>
    <w:rsid w:val="0047419D"/>
    <w:rsid w:val="00474769"/>
    <w:rsid w:val="00475B36"/>
    <w:rsid w:val="00476648"/>
    <w:rsid w:val="00477005"/>
    <w:rsid w:val="00477131"/>
    <w:rsid w:val="004773C5"/>
    <w:rsid w:val="00477EE4"/>
    <w:rsid w:val="0048052B"/>
    <w:rsid w:val="004807A0"/>
    <w:rsid w:val="004807A2"/>
    <w:rsid w:val="0048114F"/>
    <w:rsid w:val="004818E6"/>
    <w:rsid w:val="00481CCF"/>
    <w:rsid w:val="00482A53"/>
    <w:rsid w:val="00486A97"/>
    <w:rsid w:val="00487749"/>
    <w:rsid w:val="0048788C"/>
    <w:rsid w:val="004906E9"/>
    <w:rsid w:val="00491015"/>
    <w:rsid w:val="004911BD"/>
    <w:rsid w:val="004923B6"/>
    <w:rsid w:val="00492BDD"/>
    <w:rsid w:val="00493300"/>
    <w:rsid w:val="00493467"/>
    <w:rsid w:val="0049347D"/>
    <w:rsid w:val="004939A8"/>
    <w:rsid w:val="00493F12"/>
    <w:rsid w:val="00494D00"/>
    <w:rsid w:val="00495E78"/>
    <w:rsid w:val="0049631A"/>
    <w:rsid w:val="00496860"/>
    <w:rsid w:val="00497296"/>
    <w:rsid w:val="0049745C"/>
    <w:rsid w:val="004A016D"/>
    <w:rsid w:val="004A267F"/>
    <w:rsid w:val="004A2D55"/>
    <w:rsid w:val="004A2D78"/>
    <w:rsid w:val="004A3902"/>
    <w:rsid w:val="004A48E9"/>
    <w:rsid w:val="004A490E"/>
    <w:rsid w:val="004A4A17"/>
    <w:rsid w:val="004A4D46"/>
    <w:rsid w:val="004A5EE5"/>
    <w:rsid w:val="004A7CAE"/>
    <w:rsid w:val="004B03EE"/>
    <w:rsid w:val="004B185F"/>
    <w:rsid w:val="004B2399"/>
    <w:rsid w:val="004B3B98"/>
    <w:rsid w:val="004B3DC5"/>
    <w:rsid w:val="004B3E1F"/>
    <w:rsid w:val="004B7005"/>
    <w:rsid w:val="004B72C8"/>
    <w:rsid w:val="004C0571"/>
    <w:rsid w:val="004C2172"/>
    <w:rsid w:val="004C43E6"/>
    <w:rsid w:val="004C4F8F"/>
    <w:rsid w:val="004C56F4"/>
    <w:rsid w:val="004C64D3"/>
    <w:rsid w:val="004C6671"/>
    <w:rsid w:val="004C6D75"/>
    <w:rsid w:val="004C707C"/>
    <w:rsid w:val="004C7993"/>
    <w:rsid w:val="004D02ED"/>
    <w:rsid w:val="004D2397"/>
    <w:rsid w:val="004D26C9"/>
    <w:rsid w:val="004D2CB0"/>
    <w:rsid w:val="004D32B6"/>
    <w:rsid w:val="004D5781"/>
    <w:rsid w:val="004D58AF"/>
    <w:rsid w:val="004D5ECB"/>
    <w:rsid w:val="004D696B"/>
    <w:rsid w:val="004D6DC0"/>
    <w:rsid w:val="004D7FA2"/>
    <w:rsid w:val="004E0A23"/>
    <w:rsid w:val="004E1C74"/>
    <w:rsid w:val="004E3B64"/>
    <w:rsid w:val="004E4907"/>
    <w:rsid w:val="004E4B03"/>
    <w:rsid w:val="004E4D5C"/>
    <w:rsid w:val="004E54D0"/>
    <w:rsid w:val="004E6104"/>
    <w:rsid w:val="004E61EE"/>
    <w:rsid w:val="004E747F"/>
    <w:rsid w:val="004F000D"/>
    <w:rsid w:val="004F01C6"/>
    <w:rsid w:val="004F0492"/>
    <w:rsid w:val="004F2C0F"/>
    <w:rsid w:val="004F40F9"/>
    <w:rsid w:val="004F4B41"/>
    <w:rsid w:val="004F4BDF"/>
    <w:rsid w:val="004F5795"/>
    <w:rsid w:val="004F6064"/>
    <w:rsid w:val="004F70C4"/>
    <w:rsid w:val="004F733B"/>
    <w:rsid w:val="004F7F6E"/>
    <w:rsid w:val="00500544"/>
    <w:rsid w:val="00500FF2"/>
    <w:rsid w:val="00501056"/>
    <w:rsid w:val="005018C7"/>
    <w:rsid w:val="005019B0"/>
    <w:rsid w:val="00502CB3"/>
    <w:rsid w:val="00507545"/>
    <w:rsid w:val="00510B32"/>
    <w:rsid w:val="005111A0"/>
    <w:rsid w:val="0051237D"/>
    <w:rsid w:val="00513411"/>
    <w:rsid w:val="00516183"/>
    <w:rsid w:val="0051687F"/>
    <w:rsid w:val="00516EEF"/>
    <w:rsid w:val="005178D9"/>
    <w:rsid w:val="005201A3"/>
    <w:rsid w:val="00521075"/>
    <w:rsid w:val="00522299"/>
    <w:rsid w:val="005229E2"/>
    <w:rsid w:val="00522F41"/>
    <w:rsid w:val="00524E25"/>
    <w:rsid w:val="00525635"/>
    <w:rsid w:val="00525C34"/>
    <w:rsid w:val="0052617B"/>
    <w:rsid w:val="005277A3"/>
    <w:rsid w:val="0052791D"/>
    <w:rsid w:val="00530E23"/>
    <w:rsid w:val="0053148B"/>
    <w:rsid w:val="00532441"/>
    <w:rsid w:val="00533442"/>
    <w:rsid w:val="00533AFD"/>
    <w:rsid w:val="005361BC"/>
    <w:rsid w:val="005364DC"/>
    <w:rsid w:val="00536618"/>
    <w:rsid w:val="00536E9A"/>
    <w:rsid w:val="00537B6E"/>
    <w:rsid w:val="00540297"/>
    <w:rsid w:val="00540553"/>
    <w:rsid w:val="00540AB6"/>
    <w:rsid w:val="00540FA0"/>
    <w:rsid w:val="00541545"/>
    <w:rsid w:val="00542183"/>
    <w:rsid w:val="005422ED"/>
    <w:rsid w:val="00544D87"/>
    <w:rsid w:val="00545A71"/>
    <w:rsid w:val="00545EB0"/>
    <w:rsid w:val="00547A22"/>
    <w:rsid w:val="0055017F"/>
    <w:rsid w:val="00550E0C"/>
    <w:rsid w:val="00550F7A"/>
    <w:rsid w:val="00551255"/>
    <w:rsid w:val="00551C60"/>
    <w:rsid w:val="005527BE"/>
    <w:rsid w:val="005536DE"/>
    <w:rsid w:val="00553D87"/>
    <w:rsid w:val="00555DBB"/>
    <w:rsid w:val="0055689C"/>
    <w:rsid w:val="005600F0"/>
    <w:rsid w:val="0056291D"/>
    <w:rsid w:val="00563377"/>
    <w:rsid w:val="00563941"/>
    <w:rsid w:val="005650E0"/>
    <w:rsid w:val="005654EA"/>
    <w:rsid w:val="0056580A"/>
    <w:rsid w:val="00565FCD"/>
    <w:rsid w:val="0056660B"/>
    <w:rsid w:val="00566651"/>
    <w:rsid w:val="00566AE6"/>
    <w:rsid w:val="00566B6B"/>
    <w:rsid w:val="0057013D"/>
    <w:rsid w:val="00570676"/>
    <w:rsid w:val="00570DDE"/>
    <w:rsid w:val="00570E8B"/>
    <w:rsid w:val="005714DB"/>
    <w:rsid w:val="005716C1"/>
    <w:rsid w:val="00572572"/>
    <w:rsid w:val="00572DCA"/>
    <w:rsid w:val="005733E7"/>
    <w:rsid w:val="005738CD"/>
    <w:rsid w:val="00576580"/>
    <w:rsid w:val="00576C89"/>
    <w:rsid w:val="00576C8F"/>
    <w:rsid w:val="0057759F"/>
    <w:rsid w:val="005779EE"/>
    <w:rsid w:val="00581215"/>
    <w:rsid w:val="00581831"/>
    <w:rsid w:val="00581A07"/>
    <w:rsid w:val="00581ADF"/>
    <w:rsid w:val="00582308"/>
    <w:rsid w:val="00582BE8"/>
    <w:rsid w:val="0058385A"/>
    <w:rsid w:val="005838CC"/>
    <w:rsid w:val="00584036"/>
    <w:rsid w:val="005872E7"/>
    <w:rsid w:val="005873A5"/>
    <w:rsid w:val="00587F7D"/>
    <w:rsid w:val="0059049F"/>
    <w:rsid w:val="00590F27"/>
    <w:rsid w:val="00592302"/>
    <w:rsid w:val="00593A01"/>
    <w:rsid w:val="00594211"/>
    <w:rsid w:val="00594B42"/>
    <w:rsid w:val="00595755"/>
    <w:rsid w:val="00595977"/>
    <w:rsid w:val="00595D48"/>
    <w:rsid w:val="00595DEB"/>
    <w:rsid w:val="00596CEB"/>
    <w:rsid w:val="005A098E"/>
    <w:rsid w:val="005A108F"/>
    <w:rsid w:val="005A1D10"/>
    <w:rsid w:val="005A1E5A"/>
    <w:rsid w:val="005A382D"/>
    <w:rsid w:val="005A3C4B"/>
    <w:rsid w:val="005A3D97"/>
    <w:rsid w:val="005A56F1"/>
    <w:rsid w:val="005A56FC"/>
    <w:rsid w:val="005A610E"/>
    <w:rsid w:val="005A6D8E"/>
    <w:rsid w:val="005A7444"/>
    <w:rsid w:val="005B0894"/>
    <w:rsid w:val="005B2466"/>
    <w:rsid w:val="005B448A"/>
    <w:rsid w:val="005B6E30"/>
    <w:rsid w:val="005B70AF"/>
    <w:rsid w:val="005B7EC8"/>
    <w:rsid w:val="005B7FD7"/>
    <w:rsid w:val="005C01E5"/>
    <w:rsid w:val="005C10A5"/>
    <w:rsid w:val="005C3262"/>
    <w:rsid w:val="005C348A"/>
    <w:rsid w:val="005C5EE2"/>
    <w:rsid w:val="005C67F9"/>
    <w:rsid w:val="005C707C"/>
    <w:rsid w:val="005C7520"/>
    <w:rsid w:val="005D09E9"/>
    <w:rsid w:val="005D1835"/>
    <w:rsid w:val="005D24C0"/>
    <w:rsid w:val="005D3CB3"/>
    <w:rsid w:val="005D6E5C"/>
    <w:rsid w:val="005D6FE4"/>
    <w:rsid w:val="005D7174"/>
    <w:rsid w:val="005E1325"/>
    <w:rsid w:val="005E296E"/>
    <w:rsid w:val="005E3A46"/>
    <w:rsid w:val="005E76EE"/>
    <w:rsid w:val="005E7E76"/>
    <w:rsid w:val="005F0053"/>
    <w:rsid w:val="005F024B"/>
    <w:rsid w:val="005F22D9"/>
    <w:rsid w:val="005F2701"/>
    <w:rsid w:val="005F3049"/>
    <w:rsid w:val="005F4775"/>
    <w:rsid w:val="005F64D8"/>
    <w:rsid w:val="005F7780"/>
    <w:rsid w:val="005F7FD4"/>
    <w:rsid w:val="006003C2"/>
    <w:rsid w:val="00602501"/>
    <w:rsid w:val="006029C7"/>
    <w:rsid w:val="00602FAA"/>
    <w:rsid w:val="006034D8"/>
    <w:rsid w:val="006044B3"/>
    <w:rsid w:val="006057FC"/>
    <w:rsid w:val="00606518"/>
    <w:rsid w:val="00607250"/>
    <w:rsid w:val="00607BC5"/>
    <w:rsid w:val="006104CB"/>
    <w:rsid w:val="00613692"/>
    <w:rsid w:val="00613807"/>
    <w:rsid w:val="00614280"/>
    <w:rsid w:val="006142F7"/>
    <w:rsid w:val="00614AD4"/>
    <w:rsid w:val="006161FD"/>
    <w:rsid w:val="00616422"/>
    <w:rsid w:val="00621041"/>
    <w:rsid w:val="00621279"/>
    <w:rsid w:val="0062134B"/>
    <w:rsid w:val="006218EA"/>
    <w:rsid w:val="00622EFB"/>
    <w:rsid w:val="00623959"/>
    <w:rsid w:val="00625809"/>
    <w:rsid w:val="00630CD0"/>
    <w:rsid w:val="00630F31"/>
    <w:rsid w:val="0063102C"/>
    <w:rsid w:val="0063162B"/>
    <w:rsid w:val="00632F1A"/>
    <w:rsid w:val="00633292"/>
    <w:rsid w:val="006336A0"/>
    <w:rsid w:val="00633DA9"/>
    <w:rsid w:val="00634280"/>
    <w:rsid w:val="00634412"/>
    <w:rsid w:val="0063453C"/>
    <w:rsid w:val="00635EA1"/>
    <w:rsid w:val="006367B3"/>
    <w:rsid w:val="00637404"/>
    <w:rsid w:val="0064089C"/>
    <w:rsid w:val="00640F3A"/>
    <w:rsid w:val="00641253"/>
    <w:rsid w:val="00641E2C"/>
    <w:rsid w:val="00642181"/>
    <w:rsid w:val="00642924"/>
    <w:rsid w:val="00642FB8"/>
    <w:rsid w:val="00644BC4"/>
    <w:rsid w:val="006453D1"/>
    <w:rsid w:val="00646563"/>
    <w:rsid w:val="006468AF"/>
    <w:rsid w:val="00646E9D"/>
    <w:rsid w:val="00647036"/>
    <w:rsid w:val="00647485"/>
    <w:rsid w:val="00650000"/>
    <w:rsid w:val="006509B8"/>
    <w:rsid w:val="00651C10"/>
    <w:rsid w:val="00652212"/>
    <w:rsid w:val="006530EB"/>
    <w:rsid w:val="00653558"/>
    <w:rsid w:val="0065509C"/>
    <w:rsid w:val="00656512"/>
    <w:rsid w:val="00657928"/>
    <w:rsid w:val="00657945"/>
    <w:rsid w:val="006602CF"/>
    <w:rsid w:val="00660CA8"/>
    <w:rsid w:val="00660E48"/>
    <w:rsid w:val="00663CC8"/>
    <w:rsid w:val="006653B0"/>
    <w:rsid w:val="0066663B"/>
    <w:rsid w:val="00666DA7"/>
    <w:rsid w:val="006671CA"/>
    <w:rsid w:val="00670204"/>
    <w:rsid w:val="006706B8"/>
    <w:rsid w:val="00670846"/>
    <w:rsid w:val="006708C9"/>
    <w:rsid w:val="00670A6B"/>
    <w:rsid w:val="00671D00"/>
    <w:rsid w:val="00671EC3"/>
    <w:rsid w:val="006720BE"/>
    <w:rsid w:val="0067389D"/>
    <w:rsid w:val="00674232"/>
    <w:rsid w:val="00675A63"/>
    <w:rsid w:val="00676899"/>
    <w:rsid w:val="00677690"/>
    <w:rsid w:val="006777AF"/>
    <w:rsid w:val="00681565"/>
    <w:rsid w:val="00682687"/>
    <w:rsid w:val="006838BE"/>
    <w:rsid w:val="00684365"/>
    <w:rsid w:val="006857C8"/>
    <w:rsid w:val="00686260"/>
    <w:rsid w:val="006864C5"/>
    <w:rsid w:val="006876FF"/>
    <w:rsid w:val="00690030"/>
    <w:rsid w:val="00690063"/>
    <w:rsid w:val="006927AB"/>
    <w:rsid w:val="00692BEC"/>
    <w:rsid w:val="00692FA8"/>
    <w:rsid w:val="00693101"/>
    <w:rsid w:val="00693200"/>
    <w:rsid w:val="00696585"/>
    <w:rsid w:val="0069782B"/>
    <w:rsid w:val="00697D5C"/>
    <w:rsid w:val="006A15AA"/>
    <w:rsid w:val="006A1E30"/>
    <w:rsid w:val="006A202C"/>
    <w:rsid w:val="006A31B0"/>
    <w:rsid w:val="006A3699"/>
    <w:rsid w:val="006A45FD"/>
    <w:rsid w:val="006A47B0"/>
    <w:rsid w:val="006A4A5A"/>
    <w:rsid w:val="006A5063"/>
    <w:rsid w:val="006A623F"/>
    <w:rsid w:val="006A6B48"/>
    <w:rsid w:val="006A6E2F"/>
    <w:rsid w:val="006B0C81"/>
    <w:rsid w:val="006B118C"/>
    <w:rsid w:val="006B3899"/>
    <w:rsid w:val="006B77F7"/>
    <w:rsid w:val="006B7AD7"/>
    <w:rsid w:val="006C0072"/>
    <w:rsid w:val="006C1288"/>
    <w:rsid w:val="006C326E"/>
    <w:rsid w:val="006C350C"/>
    <w:rsid w:val="006C3541"/>
    <w:rsid w:val="006C58C3"/>
    <w:rsid w:val="006D0331"/>
    <w:rsid w:val="006D132C"/>
    <w:rsid w:val="006D1660"/>
    <w:rsid w:val="006D1B7F"/>
    <w:rsid w:val="006D2527"/>
    <w:rsid w:val="006D34C2"/>
    <w:rsid w:val="006D3872"/>
    <w:rsid w:val="006D3E69"/>
    <w:rsid w:val="006D3EA8"/>
    <w:rsid w:val="006D4C80"/>
    <w:rsid w:val="006D4D11"/>
    <w:rsid w:val="006D4EB0"/>
    <w:rsid w:val="006D55CB"/>
    <w:rsid w:val="006D57FD"/>
    <w:rsid w:val="006D618F"/>
    <w:rsid w:val="006E0AF2"/>
    <w:rsid w:val="006E0C6A"/>
    <w:rsid w:val="006E0E57"/>
    <w:rsid w:val="006E15C6"/>
    <w:rsid w:val="006E20C7"/>
    <w:rsid w:val="006E23A1"/>
    <w:rsid w:val="006E3429"/>
    <w:rsid w:val="006E3BA8"/>
    <w:rsid w:val="006E3C35"/>
    <w:rsid w:val="006E5DC3"/>
    <w:rsid w:val="006E61FD"/>
    <w:rsid w:val="006E665C"/>
    <w:rsid w:val="006E7DB0"/>
    <w:rsid w:val="006E7F24"/>
    <w:rsid w:val="006F3005"/>
    <w:rsid w:val="006F3140"/>
    <w:rsid w:val="006F45AF"/>
    <w:rsid w:val="007008EC"/>
    <w:rsid w:val="00700D17"/>
    <w:rsid w:val="007015B4"/>
    <w:rsid w:val="00702081"/>
    <w:rsid w:val="00702A00"/>
    <w:rsid w:val="00703095"/>
    <w:rsid w:val="0070345C"/>
    <w:rsid w:val="00703C1E"/>
    <w:rsid w:val="0070430A"/>
    <w:rsid w:val="00704C53"/>
    <w:rsid w:val="00704EDC"/>
    <w:rsid w:val="00705471"/>
    <w:rsid w:val="0070551A"/>
    <w:rsid w:val="0070599C"/>
    <w:rsid w:val="00711E2F"/>
    <w:rsid w:val="00711F60"/>
    <w:rsid w:val="00712416"/>
    <w:rsid w:val="00712C55"/>
    <w:rsid w:val="007135C9"/>
    <w:rsid w:val="00713855"/>
    <w:rsid w:val="007138EF"/>
    <w:rsid w:val="007144C4"/>
    <w:rsid w:val="007147C9"/>
    <w:rsid w:val="007155A4"/>
    <w:rsid w:val="00715FDA"/>
    <w:rsid w:val="00717384"/>
    <w:rsid w:val="007202E2"/>
    <w:rsid w:val="0072070D"/>
    <w:rsid w:val="0072072E"/>
    <w:rsid w:val="00720937"/>
    <w:rsid w:val="00720BDB"/>
    <w:rsid w:val="00720D21"/>
    <w:rsid w:val="0072191B"/>
    <w:rsid w:val="00722877"/>
    <w:rsid w:val="00723B23"/>
    <w:rsid w:val="00723D24"/>
    <w:rsid w:val="00723D4A"/>
    <w:rsid w:val="007250F0"/>
    <w:rsid w:val="00725A5A"/>
    <w:rsid w:val="00726735"/>
    <w:rsid w:val="00726832"/>
    <w:rsid w:val="00727FBB"/>
    <w:rsid w:val="0073069C"/>
    <w:rsid w:val="007314FD"/>
    <w:rsid w:val="00731F62"/>
    <w:rsid w:val="00733339"/>
    <w:rsid w:val="00734138"/>
    <w:rsid w:val="00734B39"/>
    <w:rsid w:val="00736718"/>
    <w:rsid w:val="00736EE0"/>
    <w:rsid w:val="00737937"/>
    <w:rsid w:val="00737A0A"/>
    <w:rsid w:val="00737B3D"/>
    <w:rsid w:val="00737B47"/>
    <w:rsid w:val="00740907"/>
    <w:rsid w:val="00741184"/>
    <w:rsid w:val="00741DD5"/>
    <w:rsid w:val="00742ECA"/>
    <w:rsid w:val="0074310C"/>
    <w:rsid w:val="007445DA"/>
    <w:rsid w:val="00745F5B"/>
    <w:rsid w:val="00746C62"/>
    <w:rsid w:val="0074797B"/>
    <w:rsid w:val="007500F4"/>
    <w:rsid w:val="007506E3"/>
    <w:rsid w:val="00750EB8"/>
    <w:rsid w:val="00750EDC"/>
    <w:rsid w:val="00751533"/>
    <w:rsid w:val="00753B49"/>
    <w:rsid w:val="00753D2C"/>
    <w:rsid w:val="00753FC3"/>
    <w:rsid w:val="0075459A"/>
    <w:rsid w:val="00754D28"/>
    <w:rsid w:val="00754D42"/>
    <w:rsid w:val="00755FF8"/>
    <w:rsid w:val="007568D7"/>
    <w:rsid w:val="00757421"/>
    <w:rsid w:val="00757996"/>
    <w:rsid w:val="007579E4"/>
    <w:rsid w:val="00760133"/>
    <w:rsid w:val="00760351"/>
    <w:rsid w:val="007603CF"/>
    <w:rsid w:val="00760BF5"/>
    <w:rsid w:val="0076232C"/>
    <w:rsid w:val="00762791"/>
    <w:rsid w:val="007634F6"/>
    <w:rsid w:val="007661A4"/>
    <w:rsid w:val="007701CD"/>
    <w:rsid w:val="007707A8"/>
    <w:rsid w:val="00770BB9"/>
    <w:rsid w:val="00770D99"/>
    <w:rsid w:val="00771550"/>
    <w:rsid w:val="00773FB3"/>
    <w:rsid w:val="00775D7D"/>
    <w:rsid w:val="00775ED2"/>
    <w:rsid w:val="0077613A"/>
    <w:rsid w:val="00777E82"/>
    <w:rsid w:val="007830D4"/>
    <w:rsid w:val="00783F89"/>
    <w:rsid w:val="007841A6"/>
    <w:rsid w:val="007851F3"/>
    <w:rsid w:val="007859E9"/>
    <w:rsid w:val="00785C88"/>
    <w:rsid w:val="0079457F"/>
    <w:rsid w:val="00794EEE"/>
    <w:rsid w:val="00794FEE"/>
    <w:rsid w:val="00795074"/>
    <w:rsid w:val="00795708"/>
    <w:rsid w:val="007958F2"/>
    <w:rsid w:val="007958F9"/>
    <w:rsid w:val="00796005"/>
    <w:rsid w:val="00797362"/>
    <w:rsid w:val="00797E6C"/>
    <w:rsid w:val="007A2F34"/>
    <w:rsid w:val="007A3116"/>
    <w:rsid w:val="007A3156"/>
    <w:rsid w:val="007A3FBE"/>
    <w:rsid w:val="007A430C"/>
    <w:rsid w:val="007A49F8"/>
    <w:rsid w:val="007A505E"/>
    <w:rsid w:val="007A61E8"/>
    <w:rsid w:val="007A6401"/>
    <w:rsid w:val="007A77D0"/>
    <w:rsid w:val="007A7CAF"/>
    <w:rsid w:val="007B08A7"/>
    <w:rsid w:val="007B0C65"/>
    <w:rsid w:val="007B0F90"/>
    <w:rsid w:val="007B1508"/>
    <w:rsid w:val="007B1E23"/>
    <w:rsid w:val="007B2438"/>
    <w:rsid w:val="007B2EC9"/>
    <w:rsid w:val="007B34AA"/>
    <w:rsid w:val="007B39BF"/>
    <w:rsid w:val="007B3AB8"/>
    <w:rsid w:val="007B473E"/>
    <w:rsid w:val="007B53A5"/>
    <w:rsid w:val="007B5639"/>
    <w:rsid w:val="007B57DA"/>
    <w:rsid w:val="007B62E1"/>
    <w:rsid w:val="007B6322"/>
    <w:rsid w:val="007B6618"/>
    <w:rsid w:val="007C1166"/>
    <w:rsid w:val="007C1F27"/>
    <w:rsid w:val="007C27CF"/>
    <w:rsid w:val="007C2F85"/>
    <w:rsid w:val="007C4CC8"/>
    <w:rsid w:val="007C63CF"/>
    <w:rsid w:val="007C6749"/>
    <w:rsid w:val="007C7C17"/>
    <w:rsid w:val="007C7C66"/>
    <w:rsid w:val="007C7CD8"/>
    <w:rsid w:val="007D0253"/>
    <w:rsid w:val="007D40E4"/>
    <w:rsid w:val="007D41B7"/>
    <w:rsid w:val="007D4837"/>
    <w:rsid w:val="007D4980"/>
    <w:rsid w:val="007D6D7F"/>
    <w:rsid w:val="007D7005"/>
    <w:rsid w:val="007E19D8"/>
    <w:rsid w:val="007E22E9"/>
    <w:rsid w:val="007E29D5"/>
    <w:rsid w:val="007E2DD9"/>
    <w:rsid w:val="007E2E56"/>
    <w:rsid w:val="007E3F19"/>
    <w:rsid w:val="007E49F6"/>
    <w:rsid w:val="007E4A4A"/>
    <w:rsid w:val="007E6599"/>
    <w:rsid w:val="007E6C60"/>
    <w:rsid w:val="007E7CF7"/>
    <w:rsid w:val="007F0232"/>
    <w:rsid w:val="007F0B2A"/>
    <w:rsid w:val="007F0F79"/>
    <w:rsid w:val="007F1069"/>
    <w:rsid w:val="007F1B62"/>
    <w:rsid w:val="007F263B"/>
    <w:rsid w:val="007F28A9"/>
    <w:rsid w:val="007F2FAA"/>
    <w:rsid w:val="007F38C0"/>
    <w:rsid w:val="007F401C"/>
    <w:rsid w:val="007F420C"/>
    <w:rsid w:val="007F42E9"/>
    <w:rsid w:val="007F4D02"/>
    <w:rsid w:val="007F6E02"/>
    <w:rsid w:val="007F730A"/>
    <w:rsid w:val="007F7C3F"/>
    <w:rsid w:val="008003F8"/>
    <w:rsid w:val="008004E0"/>
    <w:rsid w:val="00801543"/>
    <w:rsid w:val="0080177D"/>
    <w:rsid w:val="00801BE4"/>
    <w:rsid w:val="00801DBA"/>
    <w:rsid w:val="008021CF"/>
    <w:rsid w:val="00802923"/>
    <w:rsid w:val="00803095"/>
    <w:rsid w:val="008030A1"/>
    <w:rsid w:val="008031CE"/>
    <w:rsid w:val="008031D6"/>
    <w:rsid w:val="00803BDC"/>
    <w:rsid w:val="0080524E"/>
    <w:rsid w:val="0080570F"/>
    <w:rsid w:val="00805A7B"/>
    <w:rsid w:val="00805AD3"/>
    <w:rsid w:val="008061DB"/>
    <w:rsid w:val="00806432"/>
    <w:rsid w:val="00806B30"/>
    <w:rsid w:val="00806F1F"/>
    <w:rsid w:val="008072AF"/>
    <w:rsid w:val="00811919"/>
    <w:rsid w:val="00812160"/>
    <w:rsid w:val="00812D9B"/>
    <w:rsid w:val="00812E2E"/>
    <w:rsid w:val="00814547"/>
    <w:rsid w:val="00814CCB"/>
    <w:rsid w:val="008155F8"/>
    <w:rsid w:val="00815877"/>
    <w:rsid w:val="0081672E"/>
    <w:rsid w:val="00816BAF"/>
    <w:rsid w:val="00816F9E"/>
    <w:rsid w:val="00817640"/>
    <w:rsid w:val="00817DB2"/>
    <w:rsid w:val="00820273"/>
    <w:rsid w:val="00820B83"/>
    <w:rsid w:val="00820C73"/>
    <w:rsid w:val="0082316F"/>
    <w:rsid w:val="0082469A"/>
    <w:rsid w:val="008249F2"/>
    <w:rsid w:val="00825124"/>
    <w:rsid w:val="00825A70"/>
    <w:rsid w:val="00825FB3"/>
    <w:rsid w:val="00826AB7"/>
    <w:rsid w:val="00831571"/>
    <w:rsid w:val="0083298A"/>
    <w:rsid w:val="00832EA3"/>
    <w:rsid w:val="0083345A"/>
    <w:rsid w:val="00834113"/>
    <w:rsid w:val="008341AE"/>
    <w:rsid w:val="00834765"/>
    <w:rsid w:val="0083512A"/>
    <w:rsid w:val="008356F4"/>
    <w:rsid w:val="00836700"/>
    <w:rsid w:val="00836EB2"/>
    <w:rsid w:val="008408F6"/>
    <w:rsid w:val="00840A0F"/>
    <w:rsid w:val="00841440"/>
    <w:rsid w:val="008418E4"/>
    <w:rsid w:val="00842858"/>
    <w:rsid w:val="008462AD"/>
    <w:rsid w:val="008464A9"/>
    <w:rsid w:val="0084659A"/>
    <w:rsid w:val="00846828"/>
    <w:rsid w:val="008470B6"/>
    <w:rsid w:val="00847596"/>
    <w:rsid w:val="00850086"/>
    <w:rsid w:val="00851131"/>
    <w:rsid w:val="008514DE"/>
    <w:rsid w:val="008518DE"/>
    <w:rsid w:val="00851E7A"/>
    <w:rsid w:val="00852E17"/>
    <w:rsid w:val="00853368"/>
    <w:rsid w:val="008542B3"/>
    <w:rsid w:val="0085487E"/>
    <w:rsid w:val="00855E95"/>
    <w:rsid w:val="0085658E"/>
    <w:rsid w:val="00857A94"/>
    <w:rsid w:val="00857D41"/>
    <w:rsid w:val="00860078"/>
    <w:rsid w:val="00862221"/>
    <w:rsid w:val="008628D6"/>
    <w:rsid w:val="00862F61"/>
    <w:rsid w:val="00866C10"/>
    <w:rsid w:val="00867A11"/>
    <w:rsid w:val="00867B8C"/>
    <w:rsid w:val="008701C6"/>
    <w:rsid w:val="00871157"/>
    <w:rsid w:val="00872280"/>
    <w:rsid w:val="008724D2"/>
    <w:rsid w:val="00874001"/>
    <w:rsid w:val="00874D13"/>
    <w:rsid w:val="00875955"/>
    <w:rsid w:val="00876084"/>
    <w:rsid w:val="00876B4B"/>
    <w:rsid w:val="00877B1A"/>
    <w:rsid w:val="00880B4B"/>
    <w:rsid w:val="00880E8E"/>
    <w:rsid w:val="00881167"/>
    <w:rsid w:val="00882C2C"/>
    <w:rsid w:val="0088447A"/>
    <w:rsid w:val="00884971"/>
    <w:rsid w:val="0088691E"/>
    <w:rsid w:val="00890064"/>
    <w:rsid w:val="0089111F"/>
    <w:rsid w:val="00891152"/>
    <w:rsid w:val="008929E2"/>
    <w:rsid w:val="00893591"/>
    <w:rsid w:val="00893756"/>
    <w:rsid w:val="00893993"/>
    <w:rsid w:val="008943D7"/>
    <w:rsid w:val="00894B6F"/>
    <w:rsid w:val="00895F22"/>
    <w:rsid w:val="0089667A"/>
    <w:rsid w:val="008967CD"/>
    <w:rsid w:val="008978A3"/>
    <w:rsid w:val="008A018D"/>
    <w:rsid w:val="008A09D7"/>
    <w:rsid w:val="008A0FE5"/>
    <w:rsid w:val="008A1121"/>
    <w:rsid w:val="008A11DC"/>
    <w:rsid w:val="008A2433"/>
    <w:rsid w:val="008A29D9"/>
    <w:rsid w:val="008A2A93"/>
    <w:rsid w:val="008A31B8"/>
    <w:rsid w:val="008A3345"/>
    <w:rsid w:val="008A5E78"/>
    <w:rsid w:val="008A697E"/>
    <w:rsid w:val="008A7252"/>
    <w:rsid w:val="008A7976"/>
    <w:rsid w:val="008B266A"/>
    <w:rsid w:val="008B31EB"/>
    <w:rsid w:val="008B3BB3"/>
    <w:rsid w:val="008B4034"/>
    <w:rsid w:val="008B4A80"/>
    <w:rsid w:val="008B4B15"/>
    <w:rsid w:val="008B4EFA"/>
    <w:rsid w:val="008B5C2C"/>
    <w:rsid w:val="008B5C88"/>
    <w:rsid w:val="008B5E7E"/>
    <w:rsid w:val="008B64C5"/>
    <w:rsid w:val="008B653C"/>
    <w:rsid w:val="008C1901"/>
    <w:rsid w:val="008C2950"/>
    <w:rsid w:val="008C2A79"/>
    <w:rsid w:val="008C2DAD"/>
    <w:rsid w:val="008C498D"/>
    <w:rsid w:val="008C4A66"/>
    <w:rsid w:val="008C63D3"/>
    <w:rsid w:val="008C6815"/>
    <w:rsid w:val="008C71C7"/>
    <w:rsid w:val="008D0342"/>
    <w:rsid w:val="008D07E4"/>
    <w:rsid w:val="008D1AB0"/>
    <w:rsid w:val="008D239D"/>
    <w:rsid w:val="008D51AF"/>
    <w:rsid w:val="008D5815"/>
    <w:rsid w:val="008D5911"/>
    <w:rsid w:val="008D5EAB"/>
    <w:rsid w:val="008D5F3F"/>
    <w:rsid w:val="008D607F"/>
    <w:rsid w:val="008E03AE"/>
    <w:rsid w:val="008E0634"/>
    <w:rsid w:val="008E2150"/>
    <w:rsid w:val="008E2809"/>
    <w:rsid w:val="008E2C69"/>
    <w:rsid w:val="008E37AD"/>
    <w:rsid w:val="008E47DC"/>
    <w:rsid w:val="008E5CF2"/>
    <w:rsid w:val="008E68CB"/>
    <w:rsid w:val="008E6A52"/>
    <w:rsid w:val="008E6E1D"/>
    <w:rsid w:val="008E7E85"/>
    <w:rsid w:val="008F14C1"/>
    <w:rsid w:val="008F1E7D"/>
    <w:rsid w:val="008F2BEB"/>
    <w:rsid w:val="008F309F"/>
    <w:rsid w:val="008F3585"/>
    <w:rsid w:val="008F3CA6"/>
    <w:rsid w:val="008F4C05"/>
    <w:rsid w:val="008F5426"/>
    <w:rsid w:val="008F5983"/>
    <w:rsid w:val="008F6001"/>
    <w:rsid w:val="008F6E18"/>
    <w:rsid w:val="008F7192"/>
    <w:rsid w:val="008F7A85"/>
    <w:rsid w:val="008F7E3C"/>
    <w:rsid w:val="008F7F3E"/>
    <w:rsid w:val="00900212"/>
    <w:rsid w:val="00900E72"/>
    <w:rsid w:val="00901338"/>
    <w:rsid w:val="0090141B"/>
    <w:rsid w:val="0090149B"/>
    <w:rsid w:val="0090617B"/>
    <w:rsid w:val="009065DB"/>
    <w:rsid w:val="00910DF8"/>
    <w:rsid w:val="00911B18"/>
    <w:rsid w:val="00911B2C"/>
    <w:rsid w:val="0091227C"/>
    <w:rsid w:val="009128BF"/>
    <w:rsid w:val="009138E9"/>
    <w:rsid w:val="009145A4"/>
    <w:rsid w:val="009145DF"/>
    <w:rsid w:val="009151F4"/>
    <w:rsid w:val="00915B92"/>
    <w:rsid w:val="00917F3E"/>
    <w:rsid w:val="009208A2"/>
    <w:rsid w:val="00921A6B"/>
    <w:rsid w:val="0092228B"/>
    <w:rsid w:val="009225B4"/>
    <w:rsid w:val="00922F60"/>
    <w:rsid w:val="009237F2"/>
    <w:rsid w:val="009241EA"/>
    <w:rsid w:val="00924F75"/>
    <w:rsid w:val="00925EB9"/>
    <w:rsid w:val="0092650B"/>
    <w:rsid w:val="009310FA"/>
    <w:rsid w:val="00931149"/>
    <w:rsid w:val="0093123B"/>
    <w:rsid w:val="00932EDB"/>
    <w:rsid w:val="009337FA"/>
    <w:rsid w:val="0093601E"/>
    <w:rsid w:val="00936DF2"/>
    <w:rsid w:val="009372CA"/>
    <w:rsid w:val="00937472"/>
    <w:rsid w:val="00940736"/>
    <w:rsid w:val="009411DE"/>
    <w:rsid w:val="009413E9"/>
    <w:rsid w:val="00941FF4"/>
    <w:rsid w:val="0094323B"/>
    <w:rsid w:val="009432D9"/>
    <w:rsid w:val="00943669"/>
    <w:rsid w:val="00944C89"/>
    <w:rsid w:val="009453EA"/>
    <w:rsid w:val="00945614"/>
    <w:rsid w:val="00945F67"/>
    <w:rsid w:val="00946133"/>
    <w:rsid w:val="00946E44"/>
    <w:rsid w:val="00947434"/>
    <w:rsid w:val="00947681"/>
    <w:rsid w:val="00947AB7"/>
    <w:rsid w:val="00947C22"/>
    <w:rsid w:val="00951BE4"/>
    <w:rsid w:val="00952767"/>
    <w:rsid w:val="00952D10"/>
    <w:rsid w:val="00953E12"/>
    <w:rsid w:val="00956F16"/>
    <w:rsid w:val="00960EF4"/>
    <w:rsid w:val="00961206"/>
    <w:rsid w:val="00961BC8"/>
    <w:rsid w:val="00963313"/>
    <w:rsid w:val="009633A0"/>
    <w:rsid w:val="00964055"/>
    <w:rsid w:val="00964A9F"/>
    <w:rsid w:val="00965437"/>
    <w:rsid w:val="0096565C"/>
    <w:rsid w:val="00966217"/>
    <w:rsid w:val="00966500"/>
    <w:rsid w:val="009666AA"/>
    <w:rsid w:val="00967174"/>
    <w:rsid w:val="009710F2"/>
    <w:rsid w:val="0097236E"/>
    <w:rsid w:val="009734B8"/>
    <w:rsid w:val="00974690"/>
    <w:rsid w:val="00974D03"/>
    <w:rsid w:val="00975D59"/>
    <w:rsid w:val="00976169"/>
    <w:rsid w:val="009770F6"/>
    <w:rsid w:val="00977F64"/>
    <w:rsid w:val="009802A0"/>
    <w:rsid w:val="00980734"/>
    <w:rsid w:val="00980A85"/>
    <w:rsid w:val="00980A9B"/>
    <w:rsid w:val="009816AC"/>
    <w:rsid w:val="009828A4"/>
    <w:rsid w:val="00983438"/>
    <w:rsid w:val="009838C1"/>
    <w:rsid w:val="00983ECB"/>
    <w:rsid w:val="00983FD1"/>
    <w:rsid w:val="00985B22"/>
    <w:rsid w:val="00986773"/>
    <w:rsid w:val="00991085"/>
    <w:rsid w:val="009918A4"/>
    <w:rsid w:val="00991944"/>
    <w:rsid w:val="00991BF3"/>
    <w:rsid w:val="00991CF1"/>
    <w:rsid w:val="0099225D"/>
    <w:rsid w:val="0099232A"/>
    <w:rsid w:val="00993F5C"/>
    <w:rsid w:val="009947DF"/>
    <w:rsid w:val="009956FB"/>
    <w:rsid w:val="0099702D"/>
    <w:rsid w:val="009971BF"/>
    <w:rsid w:val="00997FA5"/>
    <w:rsid w:val="009A1D0B"/>
    <w:rsid w:val="009A22F2"/>
    <w:rsid w:val="009A2C42"/>
    <w:rsid w:val="009A2C92"/>
    <w:rsid w:val="009A3A54"/>
    <w:rsid w:val="009A42FC"/>
    <w:rsid w:val="009A5236"/>
    <w:rsid w:val="009A59F3"/>
    <w:rsid w:val="009A6199"/>
    <w:rsid w:val="009A7B8F"/>
    <w:rsid w:val="009A7D1A"/>
    <w:rsid w:val="009B040A"/>
    <w:rsid w:val="009B050A"/>
    <w:rsid w:val="009B14B3"/>
    <w:rsid w:val="009B2ED4"/>
    <w:rsid w:val="009B3F6C"/>
    <w:rsid w:val="009B4005"/>
    <w:rsid w:val="009B40E5"/>
    <w:rsid w:val="009B6485"/>
    <w:rsid w:val="009C1935"/>
    <w:rsid w:val="009C3F50"/>
    <w:rsid w:val="009C5C5F"/>
    <w:rsid w:val="009C6A64"/>
    <w:rsid w:val="009C6AB3"/>
    <w:rsid w:val="009D08FC"/>
    <w:rsid w:val="009D46E9"/>
    <w:rsid w:val="009D53D7"/>
    <w:rsid w:val="009D58FD"/>
    <w:rsid w:val="009E043E"/>
    <w:rsid w:val="009E0A10"/>
    <w:rsid w:val="009E1D66"/>
    <w:rsid w:val="009E2596"/>
    <w:rsid w:val="009E2AD4"/>
    <w:rsid w:val="009E3E9B"/>
    <w:rsid w:val="009E418D"/>
    <w:rsid w:val="009E4CEF"/>
    <w:rsid w:val="009E4D4C"/>
    <w:rsid w:val="009E4E09"/>
    <w:rsid w:val="009E4E95"/>
    <w:rsid w:val="009E5356"/>
    <w:rsid w:val="009E5AC8"/>
    <w:rsid w:val="009E6315"/>
    <w:rsid w:val="009E6816"/>
    <w:rsid w:val="009E7966"/>
    <w:rsid w:val="009E7E0C"/>
    <w:rsid w:val="009F0605"/>
    <w:rsid w:val="009F0BCF"/>
    <w:rsid w:val="009F6410"/>
    <w:rsid w:val="009F7244"/>
    <w:rsid w:val="00A00A60"/>
    <w:rsid w:val="00A0186E"/>
    <w:rsid w:val="00A01B87"/>
    <w:rsid w:val="00A01D7D"/>
    <w:rsid w:val="00A026CE"/>
    <w:rsid w:val="00A04472"/>
    <w:rsid w:val="00A049B2"/>
    <w:rsid w:val="00A04E3D"/>
    <w:rsid w:val="00A063A9"/>
    <w:rsid w:val="00A07B85"/>
    <w:rsid w:val="00A11A56"/>
    <w:rsid w:val="00A11A7A"/>
    <w:rsid w:val="00A13A18"/>
    <w:rsid w:val="00A14E4C"/>
    <w:rsid w:val="00A15784"/>
    <w:rsid w:val="00A16A33"/>
    <w:rsid w:val="00A20730"/>
    <w:rsid w:val="00A2074D"/>
    <w:rsid w:val="00A21710"/>
    <w:rsid w:val="00A21C64"/>
    <w:rsid w:val="00A22C86"/>
    <w:rsid w:val="00A234FF"/>
    <w:rsid w:val="00A24152"/>
    <w:rsid w:val="00A30A67"/>
    <w:rsid w:val="00A321C7"/>
    <w:rsid w:val="00A330F1"/>
    <w:rsid w:val="00A33832"/>
    <w:rsid w:val="00A34D87"/>
    <w:rsid w:val="00A34FBA"/>
    <w:rsid w:val="00A37308"/>
    <w:rsid w:val="00A37630"/>
    <w:rsid w:val="00A40C00"/>
    <w:rsid w:val="00A428A5"/>
    <w:rsid w:val="00A44454"/>
    <w:rsid w:val="00A44C9D"/>
    <w:rsid w:val="00A44D43"/>
    <w:rsid w:val="00A457E8"/>
    <w:rsid w:val="00A45BDA"/>
    <w:rsid w:val="00A45FD8"/>
    <w:rsid w:val="00A46FED"/>
    <w:rsid w:val="00A4762C"/>
    <w:rsid w:val="00A4797C"/>
    <w:rsid w:val="00A5059B"/>
    <w:rsid w:val="00A505BA"/>
    <w:rsid w:val="00A5107D"/>
    <w:rsid w:val="00A51177"/>
    <w:rsid w:val="00A52025"/>
    <w:rsid w:val="00A53155"/>
    <w:rsid w:val="00A5433F"/>
    <w:rsid w:val="00A54B1E"/>
    <w:rsid w:val="00A54FEC"/>
    <w:rsid w:val="00A5669B"/>
    <w:rsid w:val="00A56CC8"/>
    <w:rsid w:val="00A57150"/>
    <w:rsid w:val="00A577C2"/>
    <w:rsid w:val="00A6043F"/>
    <w:rsid w:val="00A60BC0"/>
    <w:rsid w:val="00A60F5B"/>
    <w:rsid w:val="00A61467"/>
    <w:rsid w:val="00A61AB4"/>
    <w:rsid w:val="00A62A72"/>
    <w:rsid w:val="00A6308D"/>
    <w:rsid w:val="00A645D9"/>
    <w:rsid w:val="00A64E27"/>
    <w:rsid w:val="00A650ED"/>
    <w:rsid w:val="00A65CA3"/>
    <w:rsid w:val="00A65E99"/>
    <w:rsid w:val="00A66597"/>
    <w:rsid w:val="00A667E1"/>
    <w:rsid w:val="00A67039"/>
    <w:rsid w:val="00A6712C"/>
    <w:rsid w:val="00A677FC"/>
    <w:rsid w:val="00A67C1D"/>
    <w:rsid w:val="00A70B87"/>
    <w:rsid w:val="00A7152F"/>
    <w:rsid w:val="00A732B6"/>
    <w:rsid w:val="00A732FF"/>
    <w:rsid w:val="00A73327"/>
    <w:rsid w:val="00A739F3"/>
    <w:rsid w:val="00A74908"/>
    <w:rsid w:val="00A75EED"/>
    <w:rsid w:val="00A76672"/>
    <w:rsid w:val="00A80065"/>
    <w:rsid w:val="00A80CB7"/>
    <w:rsid w:val="00A8193F"/>
    <w:rsid w:val="00A825A5"/>
    <w:rsid w:val="00A839C5"/>
    <w:rsid w:val="00A83ACA"/>
    <w:rsid w:val="00A83FA5"/>
    <w:rsid w:val="00A85B16"/>
    <w:rsid w:val="00A86405"/>
    <w:rsid w:val="00A86FD0"/>
    <w:rsid w:val="00A87445"/>
    <w:rsid w:val="00A90211"/>
    <w:rsid w:val="00A90E3B"/>
    <w:rsid w:val="00A93C00"/>
    <w:rsid w:val="00A94B6A"/>
    <w:rsid w:val="00A94C31"/>
    <w:rsid w:val="00A96418"/>
    <w:rsid w:val="00AA01C5"/>
    <w:rsid w:val="00AA0D1B"/>
    <w:rsid w:val="00AA2727"/>
    <w:rsid w:val="00AA2BBA"/>
    <w:rsid w:val="00AA3A3C"/>
    <w:rsid w:val="00AA46C0"/>
    <w:rsid w:val="00AA4877"/>
    <w:rsid w:val="00AA4F3C"/>
    <w:rsid w:val="00AA51B0"/>
    <w:rsid w:val="00AA5FD0"/>
    <w:rsid w:val="00AA7545"/>
    <w:rsid w:val="00AB1677"/>
    <w:rsid w:val="00AB16E4"/>
    <w:rsid w:val="00AB187A"/>
    <w:rsid w:val="00AB1AE6"/>
    <w:rsid w:val="00AB21A6"/>
    <w:rsid w:val="00AB3954"/>
    <w:rsid w:val="00AB5100"/>
    <w:rsid w:val="00AB5DB5"/>
    <w:rsid w:val="00AB5F90"/>
    <w:rsid w:val="00AB6E88"/>
    <w:rsid w:val="00AC13FE"/>
    <w:rsid w:val="00AC182E"/>
    <w:rsid w:val="00AC1F18"/>
    <w:rsid w:val="00AC2321"/>
    <w:rsid w:val="00AC238C"/>
    <w:rsid w:val="00AC5AD4"/>
    <w:rsid w:val="00AC62CF"/>
    <w:rsid w:val="00AC722C"/>
    <w:rsid w:val="00AC7B77"/>
    <w:rsid w:val="00AC7D8E"/>
    <w:rsid w:val="00AC7D9F"/>
    <w:rsid w:val="00AC7FE4"/>
    <w:rsid w:val="00AD02D6"/>
    <w:rsid w:val="00AD1197"/>
    <w:rsid w:val="00AD1CBE"/>
    <w:rsid w:val="00AD59DC"/>
    <w:rsid w:val="00AD6821"/>
    <w:rsid w:val="00AD7134"/>
    <w:rsid w:val="00AE09A1"/>
    <w:rsid w:val="00AE178E"/>
    <w:rsid w:val="00AE1933"/>
    <w:rsid w:val="00AE1B81"/>
    <w:rsid w:val="00AE2FF9"/>
    <w:rsid w:val="00AE4B5A"/>
    <w:rsid w:val="00AE4D09"/>
    <w:rsid w:val="00AE68DF"/>
    <w:rsid w:val="00AE6AEF"/>
    <w:rsid w:val="00AE70A3"/>
    <w:rsid w:val="00AE78EE"/>
    <w:rsid w:val="00AE7B3A"/>
    <w:rsid w:val="00AF0130"/>
    <w:rsid w:val="00AF041E"/>
    <w:rsid w:val="00AF057B"/>
    <w:rsid w:val="00AF19F3"/>
    <w:rsid w:val="00AF31E0"/>
    <w:rsid w:val="00AF3441"/>
    <w:rsid w:val="00AF39FA"/>
    <w:rsid w:val="00AF4CFD"/>
    <w:rsid w:val="00AF5332"/>
    <w:rsid w:val="00AF7883"/>
    <w:rsid w:val="00B00AEA"/>
    <w:rsid w:val="00B01C8A"/>
    <w:rsid w:val="00B022AE"/>
    <w:rsid w:val="00B02448"/>
    <w:rsid w:val="00B02937"/>
    <w:rsid w:val="00B02C87"/>
    <w:rsid w:val="00B033E4"/>
    <w:rsid w:val="00B03B67"/>
    <w:rsid w:val="00B043E6"/>
    <w:rsid w:val="00B04B23"/>
    <w:rsid w:val="00B05EF6"/>
    <w:rsid w:val="00B06E6D"/>
    <w:rsid w:val="00B07289"/>
    <w:rsid w:val="00B072CA"/>
    <w:rsid w:val="00B07BBA"/>
    <w:rsid w:val="00B12594"/>
    <w:rsid w:val="00B1267F"/>
    <w:rsid w:val="00B1356E"/>
    <w:rsid w:val="00B13D9C"/>
    <w:rsid w:val="00B14B92"/>
    <w:rsid w:val="00B14E6B"/>
    <w:rsid w:val="00B17380"/>
    <w:rsid w:val="00B17FAF"/>
    <w:rsid w:val="00B20F60"/>
    <w:rsid w:val="00B2113B"/>
    <w:rsid w:val="00B217AA"/>
    <w:rsid w:val="00B229EE"/>
    <w:rsid w:val="00B23677"/>
    <w:rsid w:val="00B236D6"/>
    <w:rsid w:val="00B249E5"/>
    <w:rsid w:val="00B25CB4"/>
    <w:rsid w:val="00B27177"/>
    <w:rsid w:val="00B27BCF"/>
    <w:rsid w:val="00B27C83"/>
    <w:rsid w:val="00B303FC"/>
    <w:rsid w:val="00B31B09"/>
    <w:rsid w:val="00B31C02"/>
    <w:rsid w:val="00B32053"/>
    <w:rsid w:val="00B3295A"/>
    <w:rsid w:val="00B3350B"/>
    <w:rsid w:val="00B34217"/>
    <w:rsid w:val="00B3490A"/>
    <w:rsid w:val="00B34C0E"/>
    <w:rsid w:val="00B353E6"/>
    <w:rsid w:val="00B35D00"/>
    <w:rsid w:val="00B362A3"/>
    <w:rsid w:val="00B36439"/>
    <w:rsid w:val="00B37010"/>
    <w:rsid w:val="00B37414"/>
    <w:rsid w:val="00B4025C"/>
    <w:rsid w:val="00B404BD"/>
    <w:rsid w:val="00B4054F"/>
    <w:rsid w:val="00B419DF"/>
    <w:rsid w:val="00B41A71"/>
    <w:rsid w:val="00B42865"/>
    <w:rsid w:val="00B4389B"/>
    <w:rsid w:val="00B43EC8"/>
    <w:rsid w:val="00B454AB"/>
    <w:rsid w:val="00B45779"/>
    <w:rsid w:val="00B45E2D"/>
    <w:rsid w:val="00B462FE"/>
    <w:rsid w:val="00B517F6"/>
    <w:rsid w:val="00B51FD1"/>
    <w:rsid w:val="00B531E6"/>
    <w:rsid w:val="00B53F84"/>
    <w:rsid w:val="00B54B8B"/>
    <w:rsid w:val="00B55717"/>
    <w:rsid w:val="00B557D3"/>
    <w:rsid w:val="00B55ABA"/>
    <w:rsid w:val="00B55D8E"/>
    <w:rsid w:val="00B577A9"/>
    <w:rsid w:val="00B60000"/>
    <w:rsid w:val="00B608D6"/>
    <w:rsid w:val="00B61A5A"/>
    <w:rsid w:val="00B6217E"/>
    <w:rsid w:val="00B6226D"/>
    <w:rsid w:val="00B63993"/>
    <w:rsid w:val="00B65892"/>
    <w:rsid w:val="00B66550"/>
    <w:rsid w:val="00B66A63"/>
    <w:rsid w:val="00B66D36"/>
    <w:rsid w:val="00B67832"/>
    <w:rsid w:val="00B67E4C"/>
    <w:rsid w:val="00B727F5"/>
    <w:rsid w:val="00B72EB2"/>
    <w:rsid w:val="00B74595"/>
    <w:rsid w:val="00B756EC"/>
    <w:rsid w:val="00B75E37"/>
    <w:rsid w:val="00B767F9"/>
    <w:rsid w:val="00B76F55"/>
    <w:rsid w:val="00B771A4"/>
    <w:rsid w:val="00B771F4"/>
    <w:rsid w:val="00B81030"/>
    <w:rsid w:val="00B8192E"/>
    <w:rsid w:val="00B8284F"/>
    <w:rsid w:val="00B82998"/>
    <w:rsid w:val="00B830F9"/>
    <w:rsid w:val="00B83E97"/>
    <w:rsid w:val="00B8439A"/>
    <w:rsid w:val="00B84644"/>
    <w:rsid w:val="00B84AC0"/>
    <w:rsid w:val="00B861F7"/>
    <w:rsid w:val="00B871BF"/>
    <w:rsid w:val="00B87554"/>
    <w:rsid w:val="00B87698"/>
    <w:rsid w:val="00B87D7B"/>
    <w:rsid w:val="00B905F6"/>
    <w:rsid w:val="00B90A3C"/>
    <w:rsid w:val="00B90D97"/>
    <w:rsid w:val="00B90E5C"/>
    <w:rsid w:val="00B923E4"/>
    <w:rsid w:val="00B94384"/>
    <w:rsid w:val="00B94CBE"/>
    <w:rsid w:val="00B95A3C"/>
    <w:rsid w:val="00B9602A"/>
    <w:rsid w:val="00B9733A"/>
    <w:rsid w:val="00B973A2"/>
    <w:rsid w:val="00BA0250"/>
    <w:rsid w:val="00BA0878"/>
    <w:rsid w:val="00BA0FF4"/>
    <w:rsid w:val="00BA159E"/>
    <w:rsid w:val="00BA1698"/>
    <w:rsid w:val="00BA1C3C"/>
    <w:rsid w:val="00BA3565"/>
    <w:rsid w:val="00BA3BA3"/>
    <w:rsid w:val="00BA4AE6"/>
    <w:rsid w:val="00BA4F8D"/>
    <w:rsid w:val="00BA68CD"/>
    <w:rsid w:val="00BA735E"/>
    <w:rsid w:val="00BA7881"/>
    <w:rsid w:val="00BA7FF8"/>
    <w:rsid w:val="00BB006A"/>
    <w:rsid w:val="00BB00D3"/>
    <w:rsid w:val="00BB087D"/>
    <w:rsid w:val="00BB10D8"/>
    <w:rsid w:val="00BB12C0"/>
    <w:rsid w:val="00BB26E0"/>
    <w:rsid w:val="00BB2C4E"/>
    <w:rsid w:val="00BB2D96"/>
    <w:rsid w:val="00BB3916"/>
    <w:rsid w:val="00BB46CA"/>
    <w:rsid w:val="00BB694D"/>
    <w:rsid w:val="00BB7774"/>
    <w:rsid w:val="00BC3A7E"/>
    <w:rsid w:val="00BC3B36"/>
    <w:rsid w:val="00BC452A"/>
    <w:rsid w:val="00BC6C7D"/>
    <w:rsid w:val="00BC6DF5"/>
    <w:rsid w:val="00BD0841"/>
    <w:rsid w:val="00BD1A30"/>
    <w:rsid w:val="00BD3459"/>
    <w:rsid w:val="00BD36E9"/>
    <w:rsid w:val="00BD394A"/>
    <w:rsid w:val="00BD3E6D"/>
    <w:rsid w:val="00BD4A91"/>
    <w:rsid w:val="00BD5E1B"/>
    <w:rsid w:val="00BD6FEC"/>
    <w:rsid w:val="00BD74FC"/>
    <w:rsid w:val="00BD75CD"/>
    <w:rsid w:val="00BE2461"/>
    <w:rsid w:val="00BE24DD"/>
    <w:rsid w:val="00BE3B2A"/>
    <w:rsid w:val="00BE4EE6"/>
    <w:rsid w:val="00BE52C8"/>
    <w:rsid w:val="00BE5982"/>
    <w:rsid w:val="00BE6239"/>
    <w:rsid w:val="00BE65E3"/>
    <w:rsid w:val="00BE6A61"/>
    <w:rsid w:val="00BE6E61"/>
    <w:rsid w:val="00BF0818"/>
    <w:rsid w:val="00BF0AB6"/>
    <w:rsid w:val="00BF0F6B"/>
    <w:rsid w:val="00BF3858"/>
    <w:rsid w:val="00BF3BE8"/>
    <w:rsid w:val="00BF3C71"/>
    <w:rsid w:val="00BF5239"/>
    <w:rsid w:val="00BF5344"/>
    <w:rsid w:val="00BF6490"/>
    <w:rsid w:val="00BF7037"/>
    <w:rsid w:val="00BF7CC5"/>
    <w:rsid w:val="00C01542"/>
    <w:rsid w:val="00C01A0F"/>
    <w:rsid w:val="00C01C61"/>
    <w:rsid w:val="00C0217A"/>
    <w:rsid w:val="00C04249"/>
    <w:rsid w:val="00C0529B"/>
    <w:rsid w:val="00C0631C"/>
    <w:rsid w:val="00C06826"/>
    <w:rsid w:val="00C06FD0"/>
    <w:rsid w:val="00C0731B"/>
    <w:rsid w:val="00C0755E"/>
    <w:rsid w:val="00C07837"/>
    <w:rsid w:val="00C104D7"/>
    <w:rsid w:val="00C111B1"/>
    <w:rsid w:val="00C12A3E"/>
    <w:rsid w:val="00C12E20"/>
    <w:rsid w:val="00C1311C"/>
    <w:rsid w:val="00C15A05"/>
    <w:rsid w:val="00C16531"/>
    <w:rsid w:val="00C16AB1"/>
    <w:rsid w:val="00C16EB2"/>
    <w:rsid w:val="00C1752B"/>
    <w:rsid w:val="00C17862"/>
    <w:rsid w:val="00C2039B"/>
    <w:rsid w:val="00C20EA9"/>
    <w:rsid w:val="00C20FBB"/>
    <w:rsid w:val="00C2103D"/>
    <w:rsid w:val="00C22025"/>
    <w:rsid w:val="00C23810"/>
    <w:rsid w:val="00C23F00"/>
    <w:rsid w:val="00C24764"/>
    <w:rsid w:val="00C24A50"/>
    <w:rsid w:val="00C25654"/>
    <w:rsid w:val="00C264C9"/>
    <w:rsid w:val="00C2729D"/>
    <w:rsid w:val="00C3056C"/>
    <w:rsid w:val="00C30AEC"/>
    <w:rsid w:val="00C314C9"/>
    <w:rsid w:val="00C31A9E"/>
    <w:rsid w:val="00C323AA"/>
    <w:rsid w:val="00C32671"/>
    <w:rsid w:val="00C33488"/>
    <w:rsid w:val="00C342C1"/>
    <w:rsid w:val="00C35097"/>
    <w:rsid w:val="00C36E1F"/>
    <w:rsid w:val="00C36FD1"/>
    <w:rsid w:val="00C37486"/>
    <w:rsid w:val="00C375C5"/>
    <w:rsid w:val="00C40F16"/>
    <w:rsid w:val="00C438C4"/>
    <w:rsid w:val="00C439D4"/>
    <w:rsid w:val="00C4611B"/>
    <w:rsid w:val="00C46BBA"/>
    <w:rsid w:val="00C47243"/>
    <w:rsid w:val="00C47A79"/>
    <w:rsid w:val="00C502DE"/>
    <w:rsid w:val="00C50D47"/>
    <w:rsid w:val="00C5128E"/>
    <w:rsid w:val="00C5214C"/>
    <w:rsid w:val="00C521AA"/>
    <w:rsid w:val="00C52663"/>
    <w:rsid w:val="00C53707"/>
    <w:rsid w:val="00C5495B"/>
    <w:rsid w:val="00C54B5E"/>
    <w:rsid w:val="00C570B1"/>
    <w:rsid w:val="00C5727C"/>
    <w:rsid w:val="00C572B9"/>
    <w:rsid w:val="00C57748"/>
    <w:rsid w:val="00C57F6A"/>
    <w:rsid w:val="00C60BB5"/>
    <w:rsid w:val="00C60DF9"/>
    <w:rsid w:val="00C612A8"/>
    <w:rsid w:val="00C61CAB"/>
    <w:rsid w:val="00C61FBF"/>
    <w:rsid w:val="00C654A6"/>
    <w:rsid w:val="00C656E6"/>
    <w:rsid w:val="00C65E59"/>
    <w:rsid w:val="00C660E9"/>
    <w:rsid w:val="00C6669D"/>
    <w:rsid w:val="00C6744C"/>
    <w:rsid w:val="00C71AA9"/>
    <w:rsid w:val="00C73314"/>
    <w:rsid w:val="00C73F59"/>
    <w:rsid w:val="00C73FA8"/>
    <w:rsid w:val="00C75066"/>
    <w:rsid w:val="00C750BE"/>
    <w:rsid w:val="00C76288"/>
    <w:rsid w:val="00C77083"/>
    <w:rsid w:val="00C802DA"/>
    <w:rsid w:val="00C808D5"/>
    <w:rsid w:val="00C80CA3"/>
    <w:rsid w:val="00C810CC"/>
    <w:rsid w:val="00C81D20"/>
    <w:rsid w:val="00C8231B"/>
    <w:rsid w:val="00C82482"/>
    <w:rsid w:val="00C82A10"/>
    <w:rsid w:val="00C838CE"/>
    <w:rsid w:val="00C8416D"/>
    <w:rsid w:val="00C8508D"/>
    <w:rsid w:val="00C85381"/>
    <w:rsid w:val="00C8601C"/>
    <w:rsid w:val="00C86290"/>
    <w:rsid w:val="00C86509"/>
    <w:rsid w:val="00C866C2"/>
    <w:rsid w:val="00C87173"/>
    <w:rsid w:val="00C9000A"/>
    <w:rsid w:val="00C90D7D"/>
    <w:rsid w:val="00C94999"/>
    <w:rsid w:val="00C9505E"/>
    <w:rsid w:val="00C95F94"/>
    <w:rsid w:val="00CA0AEC"/>
    <w:rsid w:val="00CA0C93"/>
    <w:rsid w:val="00CA2978"/>
    <w:rsid w:val="00CA3343"/>
    <w:rsid w:val="00CA34BC"/>
    <w:rsid w:val="00CA69D2"/>
    <w:rsid w:val="00CA7785"/>
    <w:rsid w:val="00CA7E04"/>
    <w:rsid w:val="00CB0263"/>
    <w:rsid w:val="00CB0B16"/>
    <w:rsid w:val="00CB10F1"/>
    <w:rsid w:val="00CB1C89"/>
    <w:rsid w:val="00CB2067"/>
    <w:rsid w:val="00CB3BB7"/>
    <w:rsid w:val="00CB4249"/>
    <w:rsid w:val="00CB44B9"/>
    <w:rsid w:val="00CC0BB2"/>
    <w:rsid w:val="00CC0EE1"/>
    <w:rsid w:val="00CC11C2"/>
    <w:rsid w:val="00CC145A"/>
    <w:rsid w:val="00CC2A54"/>
    <w:rsid w:val="00CC4BD7"/>
    <w:rsid w:val="00CC4D94"/>
    <w:rsid w:val="00CC4F4D"/>
    <w:rsid w:val="00CC5A04"/>
    <w:rsid w:val="00CC6326"/>
    <w:rsid w:val="00CD0E8B"/>
    <w:rsid w:val="00CD1218"/>
    <w:rsid w:val="00CD1C58"/>
    <w:rsid w:val="00CD47C6"/>
    <w:rsid w:val="00CD50F3"/>
    <w:rsid w:val="00CD51D9"/>
    <w:rsid w:val="00CD526A"/>
    <w:rsid w:val="00CD75FE"/>
    <w:rsid w:val="00CD767A"/>
    <w:rsid w:val="00CE046B"/>
    <w:rsid w:val="00CE125D"/>
    <w:rsid w:val="00CE12DF"/>
    <w:rsid w:val="00CE15E6"/>
    <w:rsid w:val="00CE1C80"/>
    <w:rsid w:val="00CE2255"/>
    <w:rsid w:val="00CE2621"/>
    <w:rsid w:val="00CE31D8"/>
    <w:rsid w:val="00CE4120"/>
    <w:rsid w:val="00CE4CB6"/>
    <w:rsid w:val="00CE4CBA"/>
    <w:rsid w:val="00CE4D5B"/>
    <w:rsid w:val="00CE5A00"/>
    <w:rsid w:val="00CE5A81"/>
    <w:rsid w:val="00CE62CD"/>
    <w:rsid w:val="00CE7C21"/>
    <w:rsid w:val="00CE7FC4"/>
    <w:rsid w:val="00CF097E"/>
    <w:rsid w:val="00CF1BB7"/>
    <w:rsid w:val="00CF1E19"/>
    <w:rsid w:val="00CF1EEE"/>
    <w:rsid w:val="00CF3122"/>
    <w:rsid w:val="00CF3193"/>
    <w:rsid w:val="00CF32D9"/>
    <w:rsid w:val="00CF4044"/>
    <w:rsid w:val="00CF43C7"/>
    <w:rsid w:val="00CF5AC9"/>
    <w:rsid w:val="00CF5CE4"/>
    <w:rsid w:val="00CF5F9F"/>
    <w:rsid w:val="00CF67E9"/>
    <w:rsid w:val="00CF70E6"/>
    <w:rsid w:val="00D00A5E"/>
    <w:rsid w:val="00D00B49"/>
    <w:rsid w:val="00D02B48"/>
    <w:rsid w:val="00D02B6E"/>
    <w:rsid w:val="00D03E5B"/>
    <w:rsid w:val="00D04AC2"/>
    <w:rsid w:val="00D059EE"/>
    <w:rsid w:val="00D0636B"/>
    <w:rsid w:val="00D06EB3"/>
    <w:rsid w:val="00D07DD5"/>
    <w:rsid w:val="00D10149"/>
    <w:rsid w:val="00D10BAB"/>
    <w:rsid w:val="00D1126E"/>
    <w:rsid w:val="00D11503"/>
    <w:rsid w:val="00D11E06"/>
    <w:rsid w:val="00D149E1"/>
    <w:rsid w:val="00D14F8A"/>
    <w:rsid w:val="00D16702"/>
    <w:rsid w:val="00D17808"/>
    <w:rsid w:val="00D17A45"/>
    <w:rsid w:val="00D17CE2"/>
    <w:rsid w:val="00D20313"/>
    <w:rsid w:val="00D2043E"/>
    <w:rsid w:val="00D218C8"/>
    <w:rsid w:val="00D21E50"/>
    <w:rsid w:val="00D224C0"/>
    <w:rsid w:val="00D22679"/>
    <w:rsid w:val="00D23855"/>
    <w:rsid w:val="00D25843"/>
    <w:rsid w:val="00D258E4"/>
    <w:rsid w:val="00D25E1C"/>
    <w:rsid w:val="00D265E9"/>
    <w:rsid w:val="00D265FE"/>
    <w:rsid w:val="00D26CD8"/>
    <w:rsid w:val="00D27D92"/>
    <w:rsid w:val="00D3092E"/>
    <w:rsid w:val="00D31BF5"/>
    <w:rsid w:val="00D326E9"/>
    <w:rsid w:val="00D32B0C"/>
    <w:rsid w:val="00D330D7"/>
    <w:rsid w:val="00D335EA"/>
    <w:rsid w:val="00D3514C"/>
    <w:rsid w:val="00D35B39"/>
    <w:rsid w:val="00D35E78"/>
    <w:rsid w:val="00D37C8F"/>
    <w:rsid w:val="00D40ECF"/>
    <w:rsid w:val="00D4163A"/>
    <w:rsid w:val="00D41AF5"/>
    <w:rsid w:val="00D424EA"/>
    <w:rsid w:val="00D4457C"/>
    <w:rsid w:val="00D44A89"/>
    <w:rsid w:val="00D46DBD"/>
    <w:rsid w:val="00D46F63"/>
    <w:rsid w:val="00D47144"/>
    <w:rsid w:val="00D476E0"/>
    <w:rsid w:val="00D47ECB"/>
    <w:rsid w:val="00D50EFB"/>
    <w:rsid w:val="00D521CE"/>
    <w:rsid w:val="00D55C6E"/>
    <w:rsid w:val="00D56801"/>
    <w:rsid w:val="00D56F15"/>
    <w:rsid w:val="00D57328"/>
    <w:rsid w:val="00D600C6"/>
    <w:rsid w:val="00D60E6C"/>
    <w:rsid w:val="00D61D82"/>
    <w:rsid w:val="00D62D24"/>
    <w:rsid w:val="00D6522E"/>
    <w:rsid w:val="00D65845"/>
    <w:rsid w:val="00D66024"/>
    <w:rsid w:val="00D66BCD"/>
    <w:rsid w:val="00D66C8F"/>
    <w:rsid w:val="00D70AA9"/>
    <w:rsid w:val="00D7144D"/>
    <w:rsid w:val="00D71ED7"/>
    <w:rsid w:val="00D71FFF"/>
    <w:rsid w:val="00D72147"/>
    <w:rsid w:val="00D72723"/>
    <w:rsid w:val="00D73448"/>
    <w:rsid w:val="00D7398B"/>
    <w:rsid w:val="00D75DDB"/>
    <w:rsid w:val="00D7611D"/>
    <w:rsid w:val="00D76504"/>
    <w:rsid w:val="00D77128"/>
    <w:rsid w:val="00D772FA"/>
    <w:rsid w:val="00D77696"/>
    <w:rsid w:val="00D800CF"/>
    <w:rsid w:val="00D8029F"/>
    <w:rsid w:val="00D81D64"/>
    <w:rsid w:val="00D82494"/>
    <w:rsid w:val="00D8257B"/>
    <w:rsid w:val="00D825AC"/>
    <w:rsid w:val="00D8286E"/>
    <w:rsid w:val="00D82BA7"/>
    <w:rsid w:val="00D83972"/>
    <w:rsid w:val="00D83F71"/>
    <w:rsid w:val="00D84AE1"/>
    <w:rsid w:val="00D84BED"/>
    <w:rsid w:val="00D85F2F"/>
    <w:rsid w:val="00D85FD3"/>
    <w:rsid w:val="00D865B3"/>
    <w:rsid w:val="00D8686E"/>
    <w:rsid w:val="00D86A5B"/>
    <w:rsid w:val="00D86C25"/>
    <w:rsid w:val="00D870CB"/>
    <w:rsid w:val="00D87741"/>
    <w:rsid w:val="00D8787A"/>
    <w:rsid w:val="00D90D5C"/>
    <w:rsid w:val="00D90D97"/>
    <w:rsid w:val="00D90FB6"/>
    <w:rsid w:val="00D9186C"/>
    <w:rsid w:val="00D91C66"/>
    <w:rsid w:val="00D91DF7"/>
    <w:rsid w:val="00D952AB"/>
    <w:rsid w:val="00D95A69"/>
    <w:rsid w:val="00D964E6"/>
    <w:rsid w:val="00D96AFE"/>
    <w:rsid w:val="00DA176A"/>
    <w:rsid w:val="00DA183A"/>
    <w:rsid w:val="00DA262C"/>
    <w:rsid w:val="00DA27FC"/>
    <w:rsid w:val="00DA2C2C"/>
    <w:rsid w:val="00DA7492"/>
    <w:rsid w:val="00DB2C80"/>
    <w:rsid w:val="00DB357E"/>
    <w:rsid w:val="00DB5378"/>
    <w:rsid w:val="00DB5491"/>
    <w:rsid w:val="00DB6210"/>
    <w:rsid w:val="00DB654B"/>
    <w:rsid w:val="00DB662D"/>
    <w:rsid w:val="00DB6BBD"/>
    <w:rsid w:val="00DB7030"/>
    <w:rsid w:val="00DB77CC"/>
    <w:rsid w:val="00DB7BAB"/>
    <w:rsid w:val="00DC06F8"/>
    <w:rsid w:val="00DC1C40"/>
    <w:rsid w:val="00DC1F49"/>
    <w:rsid w:val="00DC2436"/>
    <w:rsid w:val="00DC2EBF"/>
    <w:rsid w:val="00DC39BD"/>
    <w:rsid w:val="00DC3FFD"/>
    <w:rsid w:val="00DC45B0"/>
    <w:rsid w:val="00DC4DB6"/>
    <w:rsid w:val="00DC5BBE"/>
    <w:rsid w:val="00DC5C39"/>
    <w:rsid w:val="00DC5ED9"/>
    <w:rsid w:val="00DC75B4"/>
    <w:rsid w:val="00DC794B"/>
    <w:rsid w:val="00DD0CDC"/>
    <w:rsid w:val="00DD1C57"/>
    <w:rsid w:val="00DD49D5"/>
    <w:rsid w:val="00DD561E"/>
    <w:rsid w:val="00DD5B97"/>
    <w:rsid w:val="00DD6A36"/>
    <w:rsid w:val="00DE06C1"/>
    <w:rsid w:val="00DE08A0"/>
    <w:rsid w:val="00DE0A4B"/>
    <w:rsid w:val="00DE0FF6"/>
    <w:rsid w:val="00DE18E8"/>
    <w:rsid w:val="00DE2171"/>
    <w:rsid w:val="00DE2C5B"/>
    <w:rsid w:val="00DE2E52"/>
    <w:rsid w:val="00DE4350"/>
    <w:rsid w:val="00DE4750"/>
    <w:rsid w:val="00DE48D0"/>
    <w:rsid w:val="00DE4BAD"/>
    <w:rsid w:val="00DE592B"/>
    <w:rsid w:val="00DE63A1"/>
    <w:rsid w:val="00DE6751"/>
    <w:rsid w:val="00DE6CFB"/>
    <w:rsid w:val="00DE7D24"/>
    <w:rsid w:val="00DF1526"/>
    <w:rsid w:val="00DF1C32"/>
    <w:rsid w:val="00DF23E6"/>
    <w:rsid w:val="00DF2431"/>
    <w:rsid w:val="00DF4431"/>
    <w:rsid w:val="00DF526A"/>
    <w:rsid w:val="00DF5AEB"/>
    <w:rsid w:val="00DF62F5"/>
    <w:rsid w:val="00DF7A14"/>
    <w:rsid w:val="00E0087F"/>
    <w:rsid w:val="00E00BE1"/>
    <w:rsid w:val="00E00DE8"/>
    <w:rsid w:val="00E02780"/>
    <w:rsid w:val="00E02F68"/>
    <w:rsid w:val="00E03CA4"/>
    <w:rsid w:val="00E058DD"/>
    <w:rsid w:val="00E06609"/>
    <w:rsid w:val="00E068DF"/>
    <w:rsid w:val="00E070E1"/>
    <w:rsid w:val="00E07355"/>
    <w:rsid w:val="00E07460"/>
    <w:rsid w:val="00E07E4A"/>
    <w:rsid w:val="00E10005"/>
    <w:rsid w:val="00E1042A"/>
    <w:rsid w:val="00E10FF6"/>
    <w:rsid w:val="00E11BAD"/>
    <w:rsid w:val="00E11ECD"/>
    <w:rsid w:val="00E12793"/>
    <w:rsid w:val="00E12EA7"/>
    <w:rsid w:val="00E12EC5"/>
    <w:rsid w:val="00E1386A"/>
    <w:rsid w:val="00E1395A"/>
    <w:rsid w:val="00E13FBA"/>
    <w:rsid w:val="00E142A0"/>
    <w:rsid w:val="00E14810"/>
    <w:rsid w:val="00E17226"/>
    <w:rsid w:val="00E17E30"/>
    <w:rsid w:val="00E20E8B"/>
    <w:rsid w:val="00E20F41"/>
    <w:rsid w:val="00E24FDB"/>
    <w:rsid w:val="00E2567E"/>
    <w:rsid w:val="00E25C75"/>
    <w:rsid w:val="00E2630F"/>
    <w:rsid w:val="00E26CE5"/>
    <w:rsid w:val="00E3051A"/>
    <w:rsid w:val="00E313C7"/>
    <w:rsid w:val="00E319D2"/>
    <w:rsid w:val="00E32D6B"/>
    <w:rsid w:val="00E33090"/>
    <w:rsid w:val="00E33924"/>
    <w:rsid w:val="00E33B3B"/>
    <w:rsid w:val="00E33FD4"/>
    <w:rsid w:val="00E33FEB"/>
    <w:rsid w:val="00E34D14"/>
    <w:rsid w:val="00E351C6"/>
    <w:rsid w:val="00E3544A"/>
    <w:rsid w:val="00E367FA"/>
    <w:rsid w:val="00E36F8C"/>
    <w:rsid w:val="00E37794"/>
    <w:rsid w:val="00E37A17"/>
    <w:rsid w:val="00E37A3C"/>
    <w:rsid w:val="00E37BE2"/>
    <w:rsid w:val="00E40FC1"/>
    <w:rsid w:val="00E4193C"/>
    <w:rsid w:val="00E41AB8"/>
    <w:rsid w:val="00E42DDD"/>
    <w:rsid w:val="00E43CC6"/>
    <w:rsid w:val="00E443E0"/>
    <w:rsid w:val="00E4463A"/>
    <w:rsid w:val="00E45678"/>
    <w:rsid w:val="00E45E9F"/>
    <w:rsid w:val="00E47F36"/>
    <w:rsid w:val="00E50047"/>
    <w:rsid w:val="00E516F8"/>
    <w:rsid w:val="00E51F0F"/>
    <w:rsid w:val="00E52000"/>
    <w:rsid w:val="00E52CD9"/>
    <w:rsid w:val="00E55A11"/>
    <w:rsid w:val="00E5697A"/>
    <w:rsid w:val="00E56F49"/>
    <w:rsid w:val="00E57CAD"/>
    <w:rsid w:val="00E600F8"/>
    <w:rsid w:val="00E60100"/>
    <w:rsid w:val="00E60A8F"/>
    <w:rsid w:val="00E60DF8"/>
    <w:rsid w:val="00E6234F"/>
    <w:rsid w:val="00E62976"/>
    <w:rsid w:val="00E62CCA"/>
    <w:rsid w:val="00E63B78"/>
    <w:rsid w:val="00E64470"/>
    <w:rsid w:val="00E6690D"/>
    <w:rsid w:val="00E67DE6"/>
    <w:rsid w:val="00E71641"/>
    <w:rsid w:val="00E71FF6"/>
    <w:rsid w:val="00E73005"/>
    <w:rsid w:val="00E73E66"/>
    <w:rsid w:val="00E753AD"/>
    <w:rsid w:val="00E75D80"/>
    <w:rsid w:val="00E765EB"/>
    <w:rsid w:val="00E76E56"/>
    <w:rsid w:val="00E77230"/>
    <w:rsid w:val="00E777BC"/>
    <w:rsid w:val="00E80CD2"/>
    <w:rsid w:val="00E82659"/>
    <w:rsid w:val="00E82FBC"/>
    <w:rsid w:val="00E83F46"/>
    <w:rsid w:val="00E84CC7"/>
    <w:rsid w:val="00E85B95"/>
    <w:rsid w:val="00E86239"/>
    <w:rsid w:val="00E90ECE"/>
    <w:rsid w:val="00E92176"/>
    <w:rsid w:val="00E92612"/>
    <w:rsid w:val="00E92E94"/>
    <w:rsid w:val="00E931CF"/>
    <w:rsid w:val="00E93269"/>
    <w:rsid w:val="00E9388C"/>
    <w:rsid w:val="00E94AA1"/>
    <w:rsid w:val="00E94C22"/>
    <w:rsid w:val="00E94C2D"/>
    <w:rsid w:val="00E95810"/>
    <w:rsid w:val="00EA011F"/>
    <w:rsid w:val="00EA15DB"/>
    <w:rsid w:val="00EA1FB0"/>
    <w:rsid w:val="00EA2EDC"/>
    <w:rsid w:val="00EA3047"/>
    <w:rsid w:val="00EA396D"/>
    <w:rsid w:val="00EA3ECE"/>
    <w:rsid w:val="00EA55D3"/>
    <w:rsid w:val="00EA6582"/>
    <w:rsid w:val="00EA65DF"/>
    <w:rsid w:val="00EA70B1"/>
    <w:rsid w:val="00EA7F3C"/>
    <w:rsid w:val="00EB0908"/>
    <w:rsid w:val="00EB1721"/>
    <w:rsid w:val="00EB1E13"/>
    <w:rsid w:val="00EB210B"/>
    <w:rsid w:val="00EB2D63"/>
    <w:rsid w:val="00EB449C"/>
    <w:rsid w:val="00EC0BCE"/>
    <w:rsid w:val="00EC2297"/>
    <w:rsid w:val="00EC22A0"/>
    <w:rsid w:val="00EC29C4"/>
    <w:rsid w:val="00EC39B1"/>
    <w:rsid w:val="00EC4307"/>
    <w:rsid w:val="00EC47F6"/>
    <w:rsid w:val="00EC74D1"/>
    <w:rsid w:val="00ED03B5"/>
    <w:rsid w:val="00ED057E"/>
    <w:rsid w:val="00ED065F"/>
    <w:rsid w:val="00ED0D4D"/>
    <w:rsid w:val="00ED28CA"/>
    <w:rsid w:val="00ED32DF"/>
    <w:rsid w:val="00ED4572"/>
    <w:rsid w:val="00ED6271"/>
    <w:rsid w:val="00EE0DF2"/>
    <w:rsid w:val="00EE35A6"/>
    <w:rsid w:val="00EE3F00"/>
    <w:rsid w:val="00EE410C"/>
    <w:rsid w:val="00EE5DC5"/>
    <w:rsid w:val="00EE60C5"/>
    <w:rsid w:val="00EF0BC1"/>
    <w:rsid w:val="00EF1E04"/>
    <w:rsid w:val="00EF1E8D"/>
    <w:rsid w:val="00EF29A3"/>
    <w:rsid w:val="00EF2AB7"/>
    <w:rsid w:val="00EF444B"/>
    <w:rsid w:val="00EF6336"/>
    <w:rsid w:val="00EF640F"/>
    <w:rsid w:val="00EF6FC3"/>
    <w:rsid w:val="00F007C6"/>
    <w:rsid w:val="00F00A77"/>
    <w:rsid w:val="00F02462"/>
    <w:rsid w:val="00F034B6"/>
    <w:rsid w:val="00F04695"/>
    <w:rsid w:val="00F0502B"/>
    <w:rsid w:val="00F05BC5"/>
    <w:rsid w:val="00F061F0"/>
    <w:rsid w:val="00F064CA"/>
    <w:rsid w:val="00F069E0"/>
    <w:rsid w:val="00F070E3"/>
    <w:rsid w:val="00F10F31"/>
    <w:rsid w:val="00F11128"/>
    <w:rsid w:val="00F11BA5"/>
    <w:rsid w:val="00F11F35"/>
    <w:rsid w:val="00F12E93"/>
    <w:rsid w:val="00F132C0"/>
    <w:rsid w:val="00F15421"/>
    <w:rsid w:val="00F16E86"/>
    <w:rsid w:val="00F20C9B"/>
    <w:rsid w:val="00F21434"/>
    <w:rsid w:val="00F22717"/>
    <w:rsid w:val="00F22AAE"/>
    <w:rsid w:val="00F2335C"/>
    <w:rsid w:val="00F24A5F"/>
    <w:rsid w:val="00F24EB9"/>
    <w:rsid w:val="00F2529E"/>
    <w:rsid w:val="00F25FEC"/>
    <w:rsid w:val="00F269A3"/>
    <w:rsid w:val="00F26D88"/>
    <w:rsid w:val="00F310B3"/>
    <w:rsid w:val="00F335D3"/>
    <w:rsid w:val="00F3437D"/>
    <w:rsid w:val="00F3482B"/>
    <w:rsid w:val="00F351DF"/>
    <w:rsid w:val="00F35931"/>
    <w:rsid w:val="00F35B9B"/>
    <w:rsid w:val="00F37615"/>
    <w:rsid w:val="00F404EA"/>
    <w:rsid w:val="00F406F7"/>
    <w:rsid w:val="00F40947"/>
    <w:rsid w:val="00F4140B"/>
    <w:rsid w:val="00F41A5B"/>
    <w:rsid w:val="00F42335"/>
    <w:rsid w:val="00F42A2C"/>
    <w:rsid w:val="00F42D6B"/>
    <w:rsid w:val="00F42F16"/>
    <w:rsid w:val="00F43F54"/>
    <w:rsid w:val="00F454E1"/>
    <w:rsid w:val="00F47095"/>
    <w:rsid w:val="00F47169"/>
    <w:rsid w:val="00F4750C"/>
    <w:rsid w:val="00F4763B"/>
    <w:rsid w:val="00F47F67"/>
    <w:rsid w:val="00F50598"/>
    <w:rsid w:val="00F517E9"/>
    <w:rsid w:val="00F5185A"/>
    <w:rsid w:val="00F52412"/>
    <w:rsid w:val="00F52951"/>
    <w:rsid w:val="00F53C27"/>
    <w:rsid w:val="00F54043"/>
    <w:rsid w:val="00F54D57"/>
    <w:rsid w:val="00F55F07"/>
    <w:rsid w:val="00F57496"/>
    <w:rsid w:val="00F57634"/>
    <w:rsid w:val="00F57B26"/>
    <w:rsid w:val="00F604E1"/>
    <w:rsid w:val="00F61742"/>
    <w:rsid w:val="00F61C05"/>
    <w:rsid w:val="00F61C2F"/>
    <w:rsid w:val="00F63D64"/>
    <w:rsid w:val="00F640D9"/>
    <w:rsid w:val="00F64DF8"/>
    <w:rsid w:val="00F64FB9"/>
    <w:rsid w:val="00F660B6"/>
    <w:rsid w:val="00F6649F"/>
    <w:rsid w:val="00F672FD"/>
    <w:rsid w:val="00F67492"/>
    <w:rsid w:val="00F676D6"/>
    <w:rsid w:val="00F715E9"/>
    <w:rsid w:val="00F721CC"/>
    <w:rsid w:val="00F72368"/>
    <w:rsid w:val="00F73113"/>
    <w:rsid w:val="00F732E4"/>
    <w:rsid w:val="00F749E5"/>
    <w:rsid w:val="00F755BB"/>
    <w:rsid w:val="00F75635"/>
    <w:rsid w:val="00F75B4A"/>
    <w:rsid w:val="00F76098"/>
    <w:rsid w:val="00F7720D"/>
    <w:rsid w:val="00F7792B"/>
    <w:rsid w:val="00F80DEF"/>
    <w:rsid w:val="00F821B0"/>
    <w:rsid w:val="00F83AB8"/>
    <w:rsid w:val="00F83F5F"/>
    <w:rsid w:val="00F846BA"/>
    <w:rsid w:val="00F85435"/>
    <w:rsid w:val="00F856D4"/>
    <w:rsid w:val="00F860AE"/>
    <w:rsid w:val="00F8647C"/>
    <w:rsid w:val="00F8673F"/>
    <w:rsid w:val="00F87D02"/>
    <w:rsid w:val="00F90492"/>
    <w:rsid w:val="00F91ADF"/>
    <w:rsid w:val="00F92AB1"/>
    <w:rsid w:val="00F93D19"/>
    <w:rsid w:val="00F9487C"/>
    <w:rsid w:val="00F954AF"/>
    <w:rsid w:val="00F960AA"/>
    <w:rsid w:val="00F9613C"/>
    <w:rsid w:val="00F97F4B"/>
    <w:rsid w:val="00F97FC7"/>
    <w:rsid w:val="00FA0965"/>
    <w:rsid w:val="00FA0BC4"/>
    <w:rsid w:val="00FA27F3"/>
    <w:rsid w:val="00FA4402"/>
    <w:rsid w:val="00FA48A0"/>
    <w:rsid w:val="00FA4B99"/>
    <w:rsid w:val="00FA5600"/>
    <w:rsid w:val="00FA59CB"/>
    <w:rsid w:val="00FA7201"/>
    <w:rsid w:val="00FA7668"/>
    <w:rsid w:val="00FA7CA8"/>
    <w:rsid w:val="00FB1845"/>
    <w:rsid w:val="00FB3331"/>
    <w:rsid w:val="00FB3DFF"/>
    <w:rsid w:val="00FB3FF8"/>
    <w:rsid w:val="00FB5839"/>
    <w:rsid w:val="00FB6061"/>
    <w:rsid w:val="00FB6F5D"/>
    <w:rsid w:val="00FB705E"/>
    <w:rsid w:val="00FB73E7"/>
    <w:rsid w:val="00FB7D57"/>
    <w:rsid w:val="00FC125E"/>
    <w:rsid w:val="00FC15B3"/>
    <w:rsid w:val="00FC1937"/>
    <w:rsid w:val="00FC2A5D"/>
    <w:rsid w:val="00FC3B0B"/>
    <w:rsid w:val="00FC3B0D"/>
    <w:rsid w:val="00FC4CA2"/>
    <w:rsid w:val="00FC55D8"/>
    <w:rsid w:val="00FC56D1"/>
    <w:rsid w:val="00FC71CE"/>
    <w:rsid w:val="00FC721F"/>
    <w:rsid w:val="00FC7748"/>
    <w:rsid w:val="00FC7758"/>
    <w:rsid w:val="00FD212F"/>
    <w:rsid w:val="00FD26FA"/>
    <w:rsid w:val="00FD2B8B"/>
    <w:rsid w:val="00FD3A0E"/>
    <w:rsid w:val="00FD426E"/>
    <w:rsid w:val="00FD480D"/>
    <w:rsid w:val="00FD5236"/>
    <w:rsid w:val="00FD53B0"/>
    <w:rsid w:val="00FD656E"/>
    <w:rsid w:val="00FD6B83"/>
    <w:rsid w:val="00FD6E94"/>
    <w:rsid w:val="00FD703A"/>
    <w:rsid w:val="00FD7190"/>
    <w:rsid w:val="00FD7A0A"/>
    <w:rsid w:val="00FE127E"/>
    <w:rsid w:val="00FE16EF"/>
    <w:rsid w:val="00FE1B87"/>
    <w:rsid w:val="00FE1ED6"/>
    <w:rsid w:val="00FE210A"/>
    <w:rsid w:val="00FE23DE"/>
    <w:rsid w:val="00FE3DD4"/>
    <w:rsid w:val="00FE3E39"/>
    <w:rsid w:val="00FE6D5A"/>
    <w:rsid w:val="00FE7884"/>
    <w:rsid w:val="00FF1683"/>
    <w:rsid w:val="00FF23EF"/>
    <w:rsid w:val="00FF28DF"/>
    <w:rsid w:val="00FF3313"/>
    <w:rsid w:val="00FF5090"/>
    <w:rsid w:val="00FF7C18"/>
    <w:rsid w:val="032CB12C"/>
    <w:rsid w:val="051B35E5"/>
    <w:rsid w:val="07455BE8"/>
    <w:rsid w:val="07B98259"/>
    <w:rsid w:val="09AAEA65"/>
    <w:rsid w:val="0DC67708"/>
    <w:rsid w:val="10B76090"/>
    <w:rsid w:val="1183C206"/>
    <w:rsid w:val="12EB2CE1"/>
    <w:rsid w:val="13F4EF3A"/>
    <w:rsid w:val="13FD8641"/>
    <w:rsid w:val="17783685"/>
    <w:rsid w:val="1AB7AD33"/>
    <w:rsid w:val="1C270A9C"/>
    <w:rsid w:val="1E0FBF16"/>
    <w:rsid w:val="1EF37527"/>
    <w:rsid w:val="269CAEB6"/>
    <w:rsid w:val="2ADE0366"/>
    <w:rsid w:val="2F0CDBB0"/>
    <w:rsid w:val="33B633B0"/>
    <w:rsid w:val="363522AA"/>
    <w:rsid w:val="381E5D12"/>
    <w:rsid w:val="3A530A2E"/>
    <w:rsid w:val="3B7936DF"/>
    <w:rsid w:val="3CDBA5DD"/>
    <w:rsid w:val="4755D3E4"/>
    <w:rsid w:val="492C8564"/>
    <w:rsid w:val="4EC0F7B7"/>
    <w:rsid w:val="4FCBE9CE"/>
    <w:rsid w:val="51240A5C"/>
    <w:rsid w:val="55388B68"/>
    <w:rsid w:val="5A222F90"/>
    <w:rsid w:val="62AFA36C"/>
    <w:rsid w:val="68AA31FB"/>
    <w:rsid w:val="6AA578B3"/>
    <w:rsid w:val="6C5A84C9"/>
    <w:rsid w:val="6D19AD54"/>
    <w:rsid w:val="6D207FF1"/>
    <w:rsid w:val="6DC2CC3F"/>
    <w:rsid w:val="746660F7"/>
    <w:rsid w:val="761DF3EA"/>
    <w:rsid w:val="7B56A6B4"/>
    <w:rsid w:val="7EF6BC1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1ADF"/>
  <w15:chartTrackingRefBased/>
  <w15:docId w15:val="{519ADC47-A9F5-4067-9ED3-DF6BDB96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791"/>
    <w:pPr>
      <w:spacing w:line="276" w:lineRule="auto"/>
    </w:pPr>
    <w:rPr>
      <w:rFonts w:ascii="Basic Sans Light" w:hAnsi="Basic Sans Light"/>
      <w:sz w:val="24"/>
    </w:rPr>
  </w:style>
  <w:style w:type="paragraph" w:styleId="Heading1">
    <w:name w:val="heading 1"/>
    <w:basedOn w:val="Normal"/>
    <w:next w:val="Normal"/>
    <w:link w:val="Heading1Char"/>
    <w:uiPriority w:val="9"/>
    <w:qFormat/>
    <w:rsid w:val="00FC7748"/>
    <w:pPr>
      <w:keepNext/>
      <w:keepLines/>
      <w:spacing w:before="240" w:after="0"/>
      <w:outlineLvl w:val="0"/>
    </w:pPr>
    <w:rPr>
      <w:rFonts w:ascii="Basic Sans" w:eastAsiaTheme="majorEastAsia" w:hAnsi="Basic Sans" w:cstheme="majorBidi"/>
      <w:color w:val="005E85"/>
      <w:sz w:val="40"/>
      <w:szCs w:val="32"/>
    </w:rPr>
  </w:style>
  <w:style w:type="paragraph" w:styleId="Heading2">
    <w:name w:val="heading 2"/>
    <w:basedOn w:val="Normal"/>
    <w:next w:val="Normal"/>
    <w:link w:val="Heading2Char"/>
    <w:uiPriority w:val="9"/>
    <w:unhideWhenUsed/>
    <w:qFormat/>
    <w:rsid w:val="00022B3E"/>
    <w:pPr>
      <w:keepNext/>
      <w:keepLines/>
      <w:spacing w:before="240" w:after="0"/>
      <w:outlineLvl w:val="1"/>
    </w:pPr>
    <w:rPr>
      <w:rFonts w:ascii="Basic Sans" w:eastAsiaTheme="majorEastAsia" w:hAnsi="Basic Sans" w:cstheme="majorBidi"/>
      <w:color w:val="005E85"/>
      <w:sz w:val="32"/>
      <w:szCs w:val="26"/>
    </w:rPr>
  </w:style>
  <w:style w:type="paragraph" w:styleId="Heading3">
    <w:name w:val="heading 3"/>
    <w:basedOn w:val="Normal"/>
    <w:next w:val="Normal"/>
    <w:link w:val="Heading3Char"/>
    <w:uiPriority w:val="9"/>
    <w:unhideWhenUsed/>
    <w:qFormat/>
    <w:rsid w:val="00A94B6A"/>
    <w:pPr>
      <w:keepNext/>
      <w:keepLines/>
      <w:spacing w:before="40" w:after="0"/>
      <w:outlineLvl w:val="2"/>
    </w:pPr>
    <w:rPr>
      <w:rFonts w:ascii="Basic Sans" w:eastAsiaTheme="majorEastAsia" w:hAnsi="Basic Sans" w:cstheme="majorBidi"/>
      <w:color w:val="005E85"/>
      <w:sz w:val="28"/>
      <w:szCs w:val="24"/>
    </w:rPr>
  </w:style>
  <w:style w:type="paragraph" w:styleId="Heading4">
    <w:name w:val="heading 4"/>
    <w:basedOn w:val="Normal"/>
    <w:next w:val="Normal"/>
    <w:link w:val="Heading4Char"/>
    <w:uiPriority w:val="9"/>
    <w:unhideWhenUsed/>
    <w:qFormat/>
    <w:rsid w:val="000373E3"/>
    <w:pPr>
      <w:keepNext/>
      <w:keepLines/>
      <w:spacing w:before="40" w:after="0"/>
      <w:outlineLvl w:val="3"/>
    </w:pPr>
    <w:rPr>
      <w:rFonts w:ascii="Basic Sans" w:eastAsiaTheme="majorEastAsia" w:hAnsi="Basic Sans" w:cstheme="majorBidi"/>
      <w:iCs/>
      <w:color w:val="005E85"/>
    </w:rPr>
  </w:style>
  <w:style w:type="paragraph" w:styleId="Heading5">
    <w:name w:val="heading 5"/>
    <w:basedOn w:val="Normal"/>
    <w:next w:val="Normal"/>
    <w:link w:val="Heading5Char"/>
    <w:uiPriority w:val="9"/>
    <w:unhideWhenUsed/>
    <w:qFormat/>
    <w:rsid w:val="00831571"/>
    <w:pPr>
      <w:keepNext/>
      <w:keepLines/>
      <w:spacing w:before="40" w:after="0"/>
      <w:outlineLvl w:val="4"/>
    </w:pPr>
    <w:rPr>
      <w:rFonts w:asciiTheme="majorHAnsi" w:eastAsiaTheme="majorEastAsia" w:hAnsiTheme="majorHAnsi" w:cstheme="majorBidi"/>
      <w:color w:val="F5714A" w:themeColor="accent1" w:themeShade="BF"/>
    </w:rPr>
  </w:style>
  <w:style w:type="paragraph" w:styleId="Heading6">
    <w:name w:val="heading 6"/>
    <w:basedOn w:val="Normal"/>
    <w:next w:val="Normal"/>
    <w:link w:val="Heading6Char"/>
    <w:uiPriority w:val="9"/>
    <w:unhideWhenUsed/>
    <w:qFormat/>
    <w:rsid w:val="006A6E2F"/>
    <w:pPr>
      <w:keepNext/>
      <w:keepLines/>
      <w:spacing w:before="40" w:after="0"/>
      <w:outlineLvl w:val="5"/>
    </w:pPr>
    <w:rPr>
      <w:rFonts w:asciiTheme="majorHAnsi" w:eastAsiaTheme="majorEastAsia" w:hAnsiTheme="majorHAnsi" w:cstheme="majorBidi"/>
      <w:color w:val="CA360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748"/>
    <w:rPr>
      <w:rFonts w:ascii="Basic Sans" w:eastAsiaTheme="majorEastAsia" w:hAnsi="Basic Sans" w:cstheme="majorBidi"/>
      <w:color w:val="005E85"/>
      <w:sz w:val="40"/>
      <w:szCs w:val="32"/>
    </w:rPr>
  </w:style>
  <w:style w:type="character" w:customStyle="1" w:styleId="Heading2Char">
    <w:name w:val="Heading 2 Char"/>
    <w:basedOn w:val="DefaultParagraphFont"/>
    <w:link w:val="Heading2"/>
    <w:uiPriority w:val="9"/>
    <w:rsid w:val="00022B3E"/>
    <w:rPr>
      <w:rFonts w:ascii="Basic Sans" w:eastAsiaTheme="majorEastAsia" w:hAnsi="Basic Sans" w:cstheme="majorBidi"/>
      <w:color w:val="005E85"/>
      <w:sz w:val="32"/>
      <w:szCs w:val="26"/>
    </w:rPr>
  </w:style>
  <w:style w:type="character" w:customStyle="1" w:styleId="Heading3Char">
    <w:name w:val="Heading 3 Char"/>
    <w:basedOn w:val="DefaultParagraphFont"/>
    <w:link w:val="Heading3"/>
    <w:uiPriority w:val="9"/>
    <w:rsid w:val="00A94B6A"/>
    <w:rPr>
      <w:rFonts w:ascii="Basic Sans" w:eastAsiaTheme="majorEastAsia" w:hAnsi="Basic Sans" w:cstheme="majorBidi"/>
      <w:color w:val="005E85"/>
      <w:sz w:val="28"/>
      <w:szCs w:val="24"/>
    </w:rPr>
  </w:style>
  <w:style w:type="character" w:customStyle="1" w:styleId="Heading4Char">
    <w:name w:val="Heading 4 Char"/>
    <w:basedOn w:val="DefaultParagraphFont"/>
    <w:link w:val="Heading4"/>
    <w:uiPriority w:val="9"/>
    <w:rsid w:val="000373E3"/>
    <w:rPr>
      <w:rFonts w:ascii="Basic Sans" w:eastAsiaTheme="majorEastAsia" w:hAnsi="Basic Sans" w:cstheme="majorBidi"/>
      <w:iCs/>
      <w:color w:val="005E85"/>
      <w:sz w:val="24"/>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ED03B5"/>
    <w:pPr>
      <w:numPr>
        <w:numId w:val="1"/>
      </w:numPr>
      <w:tabs>
        <w:tab w:val="left" w:pos="357"/>
      </w:tabs>
      <w:contextualSpacing/>
    </w:p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qFormat/>
    <w:rsid w:val="00346CEC"/>
    <w:rPr>
      <w:rFonts w:ascii="Basic Sans Light" w:hAnsi="Basic Sans Light"/>
      <w:sz w:val="24"/>
    </w:rPr>
  </w:style>
  <w:style w:type="character" w:styleId="FootnoteReference">
    <w:name w:val="footnote reference"/>
    <w:basedOn w:val="DefaultParagraphFont"/>
    <w:uiPriority w:val="99"/>
    <w:unhideWhenUsed/>
    <w:rsid w:val="00D7611D"/>
    <w:rPr>
      <w:vertAlign w:val="superscript"/>
    </w:rPr>
  </w:style>
  <w:style w:type="paragraph" w:styleId="FootnoteText">
    <w:name w:val="footnote text"/>
    <w:aliases w:val="Footnote - MOH"/>
    <w:basedOn w:val="Normal"/>
    <w:link w:val="FootnoteTextChar"/>
    <w:uiPriority w:val="99"/>
    <w:unhideWhenUsed/>
    <w:qFormat/>
    <w:rsid w:val="00D7611D"/>
    <w:pPr>
      <w:spacing w:after="0" w:line="240" w:lineRule="auto"/>
    </w:pPr>
    <w:rPr>
      <w:rFonts w:ascii="Arial" w:hAnsi="Arial"/>
      <w:sz w:val="20"/>
      <w:szCs w:val="20"/>
      <w:lang w:val="en-US"/>
    </w:rPr>
  </w:style>
  <w:style w:type="character" w:customStyle="1" w:styleId="FootnoteTextChar">
    <w:name w:val="Footnote Text Char"/>
    <w:aliases w:val="Footnote - MOH Char"/>
    <w:basedOn w:val="DefaultParagraphFont"/>
    <w:link w:val="FootnoteText"/>
    <w:uiPriority w:val="99"/>
    <w:rsid w:val="00D7611D"/>
    <w:rPr>
      <w:rFonts w:ascii="Arial" w:hAnsi="Arial"/>
      <w:sz w:val="20"/>
      <w:szCs w:val="20"/>
      <w:lang w:val="en-US"/>
    </w:rPr>
  </w:style>
  <w:style w:type="character" w:styleId="Hyperlink">
    <w:name w:val="Hyperlink"/>
    <w:basedOn w:val="DefaultParagraphFont"/>
    <w:uiPriority w:val="99"/>
    <w:unhideWhenUsed/>
    <w:rsid w:val="001A53F9"/>
    <w:rPr>
      <w:color w:val="0563C1" w:themeColor="hyperlink"/>
      <w:u w:val="single"/>
    </w:rPr>
  </w:style>
  <w:style w:type="paragraph" w:styleId="Caption">
    <w:name w:val="caption"/>
    <w:basedOn w:val="Normal"/>
    <w:next w:val="Normal"/>
    <w:uiPriority w:val="35"/>
    <w:unhideWhenUsed/>
    <w:qFormat/>
    <w:rsid w:val="00B27C83"/>
    <w:pPr>
      <w:keepNext/>
      <w:spacing w:after="200" w:line="240" w:lineRule="auto"/>
    </w:pPr>
    <w:rPr>
      <w:i/>
      <w:iCs/>
      <w:color w:val="B34954" w:themeColor="text2"/>
      <w:szCs w:val="18"/>
    </w:rPr>
  </w:style>
  <w:style w:type="paragraph" w:styleId="Header">
    <w:name w:val="header"/>
    <w:basedOn w:val="Normal"/>
    <w:link w:val="HeaderChar"/>
    <w:uiPriority w:val="99"/>
    <w:unhideWhenUsed/>
    <w:rsid w:val="00323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D37"/>
    <w:rPr>
      <w:rFonts w:ascii="Basic Sans Light" w:hAnsi="Basic Sans Light"/>
      <w:sz w:val="24"/>
    </w:rPr>
  </w:style>
  <w:style w:type="paragraph" w:styleId="Footer">
    <w:name w:val="footer"/>
    <w:basedOn w:val="Normal"/>
    <w:link w:val="FooterChar"/>
    <w:uiPriority w:val="99"/>
    <w:unhideWhenUsed/>
    <w:rsid w:val="00323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D37"/>
    <w:rPr>
      <w:rFonts w:ascii="Basic Sans Light" w:hAnsi="Basic Sans Light"/>
      <w:sz w:val="24"/>
    </w:rPr>
  </w:style>
  <w:style w:type="table" w:styleId="TableGridLight">
    <w:name w:val="Grid Table Light"/>
    <w:basedOn w:val="TableNormal"/>
    <w:uiPriority w:val="40"/>
    <w:rsid w:val="004100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D600C6"/>
  </w:style>
  <w:style w:type="character" w:styleId="CommentReference">
    <w:name w:val="annotation reference"/>
    <w:basedOn w:val="DefaultParagraphFont"/>
    <w:uiPriority w:val="99"/>
    <w:unhideWhenUsed/>
    <w:rsid w:val="00872280"/>
    <w:rPr>
      <w:sz w:val="16"/>
      <w:szCs w:val="16"/>
    </w:rPr>
  </w:style>
  <w:style w:type="paragraph" w:styleId="CommentText">
    <w:name w:val="annotation text"/>
    <w:basedOn w:val="Normal"/>
    <w:link w:val="CommentTextChar"/>
    <w:uiPriority w:val="99"/>
    <w:unhideWhenUsed/>
    <w:rsid w:val="00872280"/>
    <w:pPr>
      <w:spacing w:line="240" w:lineRule="auto"/>
    </w:pPr>
    <w:rPr>
      <w:sz w:val="20"/>
      <w:szCs w:val="20"/>
    </w:rPr>
  </w:style>
  <w:style w:type="character" w:customStyle="1" w:styleId="CommentTextChar">
    <w:name w:val="Comment Text Char"/>
    <w:basedOn w:val="DefaultParagraphFont"/>
    <w:link w:val="CommentText"/>
    <w:uiPriority w:val="99"/>
    <w:rsid w:val="00872280"/>
    <w:rPr>
      <w:rFonts w:ascii="Basic Sans Light" w:hAnsi="Basic Sans Light"/>
      <w:sz w:val="20"/>
      <w:szCs w:val="20"/>
    </w:rPr>
  </w:style>
  <w:style w:type="paragraph" w:styleId="CommentSubject">
    <w:name w:val="annotation subject"/>
    <w:basedOn w:val="CommentText"/>
    <w:next w:val="CommentText"/>
    <w:link w:val="CommentSubjectChar"/>
    <w:uiPriority w:val="99"/>
    <w:semiHidden/>
    <w:unhideWhenUsed/>
    <w:rsid w:val="00872280"/>
    <w:rPr>
      <w:b/>
      <w:bCs/>
    </w:rPr>
  </w:style>
  <w:style w:type="character" w:customStyle="1" w:styleId="CommentSubjectChar">
    <w:name w:val="Comment Subject Char"/>
    <w:basedOn w:val="CommentTextChar"/>
    <w:link w:val="CommentSubject"/>
    <w:uiPriority w:val="99"/>
    <w:semiHidden/>
    <w:rsid w:val="00872280"/>
    <w:rPr>
      <w:rFonts w:ascii="Basic Sans Light" w:hAnsi="Basic Sans Light"/>
      <w:b/>
      <w:bCs/>
      <w:sz w:val="20"/>
      <w:szCs w:val="20"/>
    </w:rPr>
  </w:style>
  <w:style w:type="paragraph" w:customStyle="1" w:styleId="Numberedparagraphs">
    <w:name w:val="Numbered paragraphs"/>
    <w:basedOn w:val="ListParagraph"/>
    <w:link w:val="NumberedparagraphsChar"/>
    <w:qFormat/>
    <w:rsid w:val="0022229F"/>
    <w:pPr>
      <w:numPr>
        <w:numId w:val="0"/>
      </w:numPr>
      <w:tabs>
        <w:tab w:val="clear" w:pos="357"/>
      </w:tabs>
      <w:ind w:left="360" w:hanging="360"/>
      <w:contextualSpacing w:val="0"/>
    </w:pPr>
    <w:rPr>
      <w:rFonts w:ascii="Arial" w:hAnsi="Arial"/>
    </w:rPr>
  </w:style>
  <w:style w:type="character" w:customStyle="1" w:styleId="NumberedparagraphsChar">
    <w:name w:val="Numbered paragraphs Char"/>
    <w:basedOn w:val="DefaultParagraphFont"/>
    <w:link w:val="Numberedparagraphs"/>
    <w:rsid w:val="0022229F"/>
    <w:rPr>
      <w:rFonts w:ascii="Arial" w:hAnsi="Arial"/>
      <w:sz w:val="24"/>
    </w:rPr>
  </w:style>
  <w:style w:type="paragraph" w:customStyle="1" w:styleId="Heading30">
    <w:name w:val="Heading 3."/>
    <w:basedOn w:val="Heading2"/>
    <w:link w:val="Heading3Char0"/>
    <w:rsid w:val="00A30A67"/>
    <w:pPr>
      <w:spacing w:before="0" w:after="160"/>
    </w:pPr>
    <w:rPr>
      <w:rFonts w:ascii="Arial" w:hAnsi="Arial"/>
      <w:b/>
      <w:bCs/>
      <w:color w:val="961E82"/>
      <w:szCs w:val="28"/>
    </w:rPr>
  </w:style>
  <w:style w:type="character" w:customStyle="1" w:styleId="Heading3Char0">
    <w:name w:val="Heading 3. Char"/>
    <w:basedOn w:val="DefaultParagraphFont"/>
    <w:link w:val="Heading30"/>
    <w:rsid w:val="00A30A67"/>
    <w:rPr>
      <w:rFonts w:ascii="Arial" w:eastAsiaTheme="majorEastAsia" w:hAnsi="Arial" w:cstheme="majorBidi"/>
      <w:b/>
      <w:bCs/>
      <w:color w:val="961E82"/>
      <w:sz w:val="32"/>
      <w:szCs w:val="28"/>
    </w:rPr>
  </w:style>
  <w:style w:type="table" w:styleId="TableGrid">
    <w:name w:val="Table Grid"/>
    <w:basedOn w:val="TableNormal"/>
    <w:uiPriority w:val="39"/>
    <w:rsid w:val="009B050A"/>
    <w:pPr>
      <w:spacing w:before="60" w:after="60" w:line="276" w:lineRule="auto"/>
      <w:ind w:left="57" w:right="57"/>
    </w:pPr>
    <w:rPr>
      <w:rFonts w:ascii="Arial" w:hAnsi="Arial"/>
      <w:sz w:val="24"/>
      <w:szCs w:val="24"/>
      <w:lang w:val="en-US" w:bidi="th-TH"/>
    </w:rPr>
    <w:tblPr>
      <w:tblBorders>
        <w:top w:val="single" w:sz="2" w:space="0" w:color="auto"/>
        <w:bottom w:val="single" w:sz="2" w:space="0" w:color="auto"/>
        <w:insideH w:val="single" w:sz="2" w:space="0" w:color="auto"/>
        <w:insideV w:val="single" w:sz="2" w:space="0" w:color="auto"/>
      </w:tblBorders>
    </w:tblPr>
    <w:tcPr>
      <w:vAlign w:val="center"/>
    </w:tcPr>
  </w:style>
  <w:style w:type="paragraph" w:customStyle="1" w:styleId="TableText">
    <w:name w:val="TableText"/>
    <w:basedOn w:val="Normal"/>
    <w:rsid w:val="009B050A"/>
    <w:pPr>
      <w:spacing w:before="120" w:after="120" w:line="240" w:lineRule="auto"/>
    </w:pPr>
    <w:rPr>
      <w:rFonts w:ascii="Arial" w:eastAsia="Times New Roman" w:hAnsi="Arial" w:cs="Times"/>
      <w:szCs w:val="24"/>
      <w:lang w:eastAsia="en-GB"/>
    </w:rPr>
  </w:style>
  <w:style w:type="character" w:styleId="UnresolvedMention">
    <w:name w:val="Unresolved Mention"/>
    <w:basedOn w:val="DefaultParagraphFont"/>
    <w:uiPriority w:val="99"/>
    <w:unhideWhenUsed/>
    <w:rsid w:val="00F26D88"/>
    <w:rPr>
      <w:color w:val="605E5C"/>
      <w:shd w:val="clear" w:color="auto" w:fill="E1DFDD"/>
    </w:rPr>
  </w:style>
  <w:style w:type="character" w:styleId="FollowedHyperlink">
    <w:name w:val="FollowedHyperlink"/>
    <w:basedOn w:val="DefaultParagraphFont"/>
    <w:uiPriority w:val="99"/>
    <w:semiHidden/>
    <w:unhideWhenUsed/>
    <w:rsid w:val="006857C8"/>
    <w:rPr>
      <w:color w:val="0563C1" w:themeColor="followedHyperlink"/>
      <w:u w:val="single"/>
    </w:rPr>
  </w:style>
  <w:style w:type="character" w:customStyle="1" w:styleId="Heading5Char">
    <w:name w:val="Heading 5 Char"/>
    <w:basedOn w:val="DefaultParagraphFont"/>
    <w:link w:val="Heading5"/>
    <w:uiPriority w:val="9"/>
    <w:rsid w:val="00831571"/>
    <w:rPr>
      <w:rFonts w:asciiTheme="majorHAnsi" w:eastAsiaTheme="majorEastAsia" w:hAnsiTheme="majorHAnsi" w:cstheme="majorBidi"/>
      <w:color w:val="F5714A" w:themeColor="accent1" w:themeShade="BF"/>
      <w:sz w:val="24"/>
    </w:rPr>
  </w:style>
  <w:style w:type="paragraph" w:customStyle="1" w:styleId="msonormal0">
    <w:name w:val="msonormal"/>
    <w:basedOn w:val="Normal"/>
    <w:rsid w:val="0042741D"/>
    <w:pPr>
      <w:spacing w:before="100" w:beforeAutospacing="1" w:after="100" w:afterAutospacing="1" w:line="240" w:lineRule="auto"/>
    </w:pPr>
    <w:rPr>
      <w:rFonts w:ascii="Times New Roman" w:eastAsia="Times New Roman" w:hAnsi="Times New Roman" w:cs="Times New Roman"/>
      <w:szCs w:val="24"/>
      <w:lang w:eastAsia="en-NZ"/>
    </w:rPr>
  </w:style>
  <w:style w:type="paragraph" w:customStyle="1" w:styleId="xl63">
    <w:name w:val="xl63"/>
    <w:basedOn w:val="Normal"/>
    <w:rsid w:val="0042741D"/>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Heading6Char">
    <w:name w:val="Heading 6 Char"/>
    <w:basedOn w:val="DefaultParagraphFont"/>
    <w:link w:val="Heading6"/>
    <w:uiPriority w:val="9"/>
    <w:rsid w:val="006A6E2F"/>
    <w:rPr>
      <w:rFonts w:asciiTheme="majorHAnsi" w:eastAsiaTheme="majorEastAsia" w:hAnsiTheme="majorHAnsi" w:cstheme="majorBidi"/>
      <w:color w:val="CA360A" w:themeColor="accent1" w:themeShade="7F"/>
      <w:sz w:val="24"/>
    </w:rPr>
  </w:style>
  <w:style w:type="table" w:styleId="PlainTable1">
    <w:name w:val="Plain Table 1"/>
    <w:basedOn w:val="TableNormal"/>
    <w:uiPriority w:val="41"/>
    <w:rsid w:val="008347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F63D64"/>
    <w:rPr>
      <w:color w:val="2B579A"/>
      <w:shd w:val="clear" w:color="auto" w:fill="E1DFDD"/>
    </w:rPr>
  </w:style>
  <w:style w:type="character" w:customStyle="1" w:styleId="intro">
    <w:name w:val="intro"/>
    <w:basedOn w:val="DefaultParagraphFont"/>
    <w:rsid w:val="00862221"/>
  </w:style>
  <w:style w:type="paragraph" w:styleId="NoSpacing">
    <w:name w:val="No Spacing"/>
    <w:uiPriority w:val="1"/>
    <w:qFormat/>
    <w:rsid w:val="00862221"/>
    <w:pPr>
      <w:spacing w:after="0" w:line="240" w:lineRule="auto"/>
    </w:pPr>
    <w:rPr>
      <w:rFonts w:ascii="Basic Sans Light" w:hAnsi="Basic Sans Light"/>
      <w:sz w:val="24"/>
    </w:rPr>
  </w:style>
  <w:style w:type="character" w:customStyle="1" w:styleId="TablebulletsChar">
    <w:name w:val="Table bullets Char"/>
    <w:basedOn w:val="DefaultParagraphFont"/>
    <w:link w:val="Tablebullets"/>
    <w:locked/>
    <w:rsid w:val="000F17C6"/>
    <w:rPr>
      <w:sz w:val="20"/>
      <w:szCs w:val="20"/>
    </w:rPr>
  </w:style>
  <w:style w:type="paragraph" w:customStyle="1" w:styleId="Tablebullets">
    <w:name w:val="Table bullets"/>
    <w:basedOn w:val="ListParagraph"/>
    <w:link w:val="TablebulletsChar"/>
    <w:qFormat/>
    <w:rsid w:val="000F17C6"/>
    <w:pPr>
      <w:numPr>
        <w:numId w:val="13"/>
      </w:numPr>
      <w:tabs>
        <w:tab w:val="clear" w:pos="357"/>
      </w:tabs>
      <w:spacing w:before="60" w:after="60" w:line="240" w:lineRule="auto"/>
      <w:contextualSpacing w:val="0"/>
    </w:pPr>
    <w:rPr>
      <w:rFonts w:asciiTheme="minorHAnsi" w:hAnsiTheme="minorHAnsi"/>
      <w:sz w:val="20"/>
      <w:szCs w:val="20"/>
    </w:rPr>
  </w:style>
  <w:style w:type="paragraph" w:styleId="TOCHeading">
    <w:name w:val="TOC Heading"/>
    <w:basedOn w:val="Heading1"/>
    <w:next w:val="Normal"/>
    <w:uiPriority w:val="39"/>
    <w:unhideWhenUsed/>
    <w:qFormat/>
    <w:rsid w:val="00D326E9"/>
    <w:pPr>
      <w:spacing w:line="259" w:lineRule="auto"/>
      <w:outlineLvl w:val="9"/>
    </w:pPr>
    <w:rPr>
      <w:rFonts w:asciiTheme="majorHAnsi" w:hAnsiTheme="majorHAnsi"/>
      <w:color w:val="F5714A" w:themeColor="accent1" w:themeShade="BF"/>
      <w:sz w:val="32"/>
      <w:lang w:val="en-US"/>
    </w:rPr>
  </w:style>
  <w:style w:type="paragraph" w:styleId="TOC1">
    <w:name w:val="toc 1"/>
    <w:basedOn w:val="Normal"/>
    <w:next w:val="Normal"/>
    <w:autoRedefine/>
    <w:uiPriority w:val="39"/>
    <w:unhideWhenUsed/>
    <w:rsid w:val="00D326E9"/>
    <w:pPr>
      <w:spacing w:after="100"/>
    </w:pPr>
  </w:style>
  <w:style w:type="paragraph" w:styleId="TOC2">
    <w:name w:val="toc 2"/>
    <w:basedOn w:val="Normal"/>
    <w:next w:val="Normal"/>
    <w:autoRedefine/>
    <w:uiPriority w:val="39"/>
    <w:unhideWhenUsed/>
    <w:rsid w:val="00D326E9"/>
    <w:pPr>
      <w:spacing w:after="100"/>
      <w:ind w:left="240"/>
    </w:pPr>
  </w:style>
  <w:style w:type="paragraph" w:styleId="TOC3">
    <w:name w:val="toc 3"/>
    <w:basedOn w:val="Normal"/>
    <w:next w:val="Normal"/>
    <w:autoRedefine/>
    <w:uiPriority w:val="39"/>
    <w:unhideWhenUsed/>
    <w:rsid w:val="00D326E9"/>
    <w:pPr>
      <w:spacing w:after="100"/>
      <w:ind w:left="480"/>
    </w:pPr>
  </w:style>
  <w:style w:type="paragraph" w:customStyle="1" w:styleId="Bullet1">
    <w:name w:val="Bullet 1"/>
    <w:basedOn w:val="BodyText"/>
    <w:uiPriority w:val="12"/>
    <w:qFormat/>
    <w:rsid w:val="00676899"/>
    <w:pPr>
      <w:numPr>
        <w:numId w:val="20"/>
      </w:numPr>
      <w:spacing w:line="240" w:lineRule="atLeast"/>
    </w:pPr>
    <w:rPr>
      <w:rFonts w:ascii="Arial" w:hAnsi="Arial"/>
      <w:sz w:val="22"/>
    </w:rPr>
  </w:style>
  <w:style w:type="paragraph" w:customStyle="1" w:styleId="Bullet2">
    <w:name w:val="Bullet 2"/>
    <w:basedOn w:val="BodyText"/>
    <w:uiPriority w:val="13"/>
    <w:qFormat/>
    <w:rsid w:val="00676899"/>
    <w:pPr>
      <w:numPr>
        <w:ilvl w:val="1"/>
        <w:numId w:val="20"/>
      </w:numPr>
      <w:tabs>
        <w:tab w:val="clear" w:pos="1134"/>
      </w:tabs>
      <w:spacing w:line="240" w:lineRule="atLeast"/>
    </w:pPr>
    <w:rPr>
      <w:rFonts w:ascii="Arial" w:hAnsi="Arial"/>
      <w:sz w:val="22"/>
    </w:rPr>
  </w:style>
  <w:style w:type="numbering" w:customStyle="1" w:styleId="BulletList">
    <w:name w:val="BulletList"/>
    <w:basedOn w:val="NoList"/>
    <w:uiPriority w:val="99"/>
    <w:rsid w:val="00E777BC"/>
    <w:pPr>
      <w:numPr>
        <w:numId w:val="20"/>
      </w:numPr>
    </w:pPr>
  </w:style>
  <w:style w:type="paragraph" w:customStyle="1" w:styleId="ABC">
    <w:name w:val="A B C"/>
    <w:basedOn w:val="BodyText"/>
    <w:uiPriority w:val="15"/>
    <w:qFormat/>
    <w:rsid w:val="00676899"/>
    <w:pPr>
      <w:numPr>
        <w:numId w:val="19"/>
      </w:numPr>
      <w:tabs>
        <w:tab w:val="num" w:pos="720"/>
      </w:tabs>
      <w:spacing w:line="240" w:lineRule="atLeast"/>
    </w:pPr>
    <w:rPr>
      <w:rFonts w:ascii="Arial" w:hAnsi="Arial"/>
      <w:sz w:val="22"/>
    </w:rPr>
  </w:style>
  <w:style w:type="numbering" w:customStyle="1" w:styleId="AlphaList">
    <w:name w:val="AlphaList"/>
    <w:basedOn w:val="NoList"/>
    <w:uiPriority w:val="99"/>
    <w:rsid w:val="00E777BC"/>
    <w:pPr>
      <w:numPr>
        <w:numId w:val="19"/>
      </w:numPr>
    </w:pPr>
  </w:style>
  <w:style w:type="paragraph" w:customStyle="1" w:styleId="iiiiii">
    <w:name w:val="i  ii  iii"/>
    <w:basedOn w:val="BodyText"/>
    <w:uiPriority w:val="16"/>
    <w:qFormat/>
    <w:rsid w:val="00676899"/>
    <w:pPr>
      <w:numPr>
        <w:ilvl w:val="1"/>
        <w:numId w:val="19"/>
      </w:numPr>
      <w:tabs>
        <w:tab w:val="num" w:pos="1440"/>
      </w:tabs>
      <w:spacing w:line="240" w:lineRule="atLeast"/>
    </w:pPr>
    <w:rPr>
      <w:rFonts w:ascii="Arial" w:hAnsi="Arial"/>
      <w:sz w:val="22"/>
    </w:rPr>
  </w:style>
  <w:style w:type="paragraph" w:styleId="BodyText">
    <w:name w:val="Body Text"/>
    <w:basedOn w:val="Normal"/>
    <w:link w:val="BodyTextChar"/>
    <w:uiPriority w:val="99"/>
    <w:semiHidden/>
    <w:unhideWhenUsed/>
    <w:rsid w:val="00E777BC"/>
    <w:pPr>
      <w:spacing w:after="120"/>
    </w:pPr>
  </w:style>
  <w:style w:type="character" w:customStyle="1" w:styleId="BodyTextChar">
    <w:name w:val="Body Text Char"/>
    <w:basedOn w:val="DefaultParagraphFont"/>
    <w:link w:val="BodyText"/>
    <w:uiPriority w:val="99"/>
    <w:semiHidden/>
    <w:rsid w:val="00E777BC"/>
    <w:rPr>
      <w:rFonts w:ascii="Basic Sans Light" w:hAnsi="Basic Sans Light"/>
      <w:sz w:val="24"/>
    </w:rPr>
  </w:style>
  <w:style w:type="paragraph" w:styleId="Revision">
    <w:name w:val="Revision"/>
    <w:hidden/>
    <w:uiPriority w:val="99"/>
    <w:semiHidden/>
    <w:rsid w:val="005A3D97"/>
    <w:pPr>
      <w:spacing w:after="0" w:line="240" w:lineRule="auto"/>
    </w:pPr>
    <w:rPr>
      <w:rFonts w:ascii="Basic Sans Light" w:hAnsi="Basic Sans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875">
      <w:bodyDiv w:val="1"/>
      <w:marLeft w:val="0"/>
      <w:marRight w:val="0"/>
      <w:marTop w:val="0"/>
      <w:marBottom w:val="0"/>
      <w:divBdr>
        <w:top w:val="none" w:sz="0" w:space="0" w:color="auto"/>
        <w:left w:val="none" w:sz="0" w:space="0" w:color="auto"/>
        <w:bottom w:val="none" w:sz="0" w:space="0" w:color="auto"/>
        <w:right w:val="none" w:sz="0" w:space="0" w:color="auto"/>
      </w:divBdr>
    </w:div>
    <w:div w:id="120271488">
      <w:bodyDiv w:val="1"/>
      <w:marLeft w:val="0"/>
      <w:marRight w:val="0"/>
      <w:marTop w:val="0"/>
      <w:marBottom w:val="0"/>
      <w:divBdr>
        <w:top w:val="none" w:sz="0" w:space="0" w:color="auto"/>
        <w:left w:val="none" w:sz="0" w:space="0" w:color="auto"/>
        <w:bottom w:val="none" w:sz="0" w:space="0" w:color="auto"/>
        <w:right w:val="none" w:sz="0" w:space="0" w:color="auto"/>
      </w:divBdr>
    </w:div>
    <w:div w:id="121047615">
      <w:bodyDiv w:val="1"/>
      <w:marLeft w:val="0"/>
      <w:marRight w:val="0"/>
      <w:marTop w:val="0"/>
      <w:marBottom w:val="0"/>
      <w:divBdr>
        <w:top w:val="none" w:sz="0" w:space="0" w:color="auto"/>
        <w:left w:val="none" w:sz="0" w:space="0" w:color="auto"/>
        <w:bottom w:val="none" w:sz="0" w:space="0" w:color="auto"/>
        <w:right w:val="none" w:sz="0" w:space="0" w:color="auto"/>
      </w:divBdr>
    </w:div>
    <w:div w:id="188564368">
      <w:bodyDiv w:val="1"/>
      <w:marLeft w:val="0"/>
      <w:marRight w:val="0"/>
      <w:marTop w:val="0"/>
      <w:marBottom w:val="0"/>
      <w:divBdr>
        <w:top w:val="none" w:sz="0" w:space="0" w:color="auto"/>
        <w:left w:val="none" w:sz="0" w:space="0" w:color="auto"/>
        <w:bottom w:val="none" w:sz="0" w:space="0" w:color="auto"/>
        <w:right w:val="none" w:sz="0" w:space="0" w:color="auto"/>
      </w:divBdr>
    </w:div>
    <w:div w:id="245849460">
      <w:bodyDiv w:val="1"/>
      <w:marLeft w:val="0"/>
      <w:marRight w:val="0"/>
      <w:marTop w:val="0"/>
      <w:marBottom w:val="0"/>
      <w:divBdr>
        <w:top w:val="none" w:sz="0" w:space="0" w:color="auto"/>
        <w:left w:val="none" w:sz="0" w:space="0" w:color="auto"/>
        <w:bottom w:val="none" w:sz="0" w:space="0" w:color="auto"/>
        <w:right w:val="none" w:sz="0" w:space="0" w:color="auto"/>
      </w:divBdr>
    </w:div>
    <w:div w:id="460539033">
      <w:bodyDiv w:val="1"/>
      <w:marLeft w:val="0"/>
      <w:marRight w:val="0"/>
      <w:marTop w:val="0"/>
      <w:marBottom w:val="0"/>
      <w:divBdr>
        <w:top w:val="none" w:sz="0" w:space="0" w:color="auto"/>
        <w:left w:val="none" w:sz="0" w:space="0" w:color="auto"/>
        <w:bottom w:val="none" w:sz="0" w:space="0" w:color="auto"/>
        <w:right w:val="none" w:sz="0" w:space="0" w:color="auto"/>
      </w:divBdr>
    </w:div>
    <w:div w:id="488255588">
      <w:bodyDiv w:val="1"/>
      <w:marLeft w:val="0"/>
      <w:marRight w:val="0"/>
      <w:marTop w:val="0"/>
      <w:marBottom w:val="0"/>
      <w:divBdr>
        <w:top w:val="none" w:sz="0" w:space="0" w:color="auto"/>
        <w:left w:val="none" w:sz="0" w:space="0" w:color="auto"/>
        <w:bottom w:val="none" w:sz="0" w:space="0" w:color="auto"/>
        <w:right w:val="none" w:sz="0" w:space="0" w:color="auto"/>
      </w:divBdr>
    </w:div>
    <w:div w:id="638655592">
      <w:bodyDiv w:val="1"/>
      <w:marLeft w:val="0"/>
      <w:marRight w:val="0"/>
      <w:marTop w:val="0"/>
      <w:marBottom w:val="0"/>
      <w:divBdr>
        <w:top w:val="none" w:sz="0" w:space="0" w:color="auto"/>
        <w:left w:val="none" w:sz="0" w:space="0" w:color="auto"/>
        <w:bottom w:val="none" w:sz="0" w:space="0" w:color="auto"/>
        <w:right w:val="none" w:sz="0" w:space="0" w:color="auto"/>
      </w:divBdr>
    </w:div>
    <w:div w:id="656424483">
      <w:bodyDiv w:val="1"/>
      <w:marLeft w:val="0"/>
      <w:marRight w:val="0"/>
      <w:marTop w:val="0"/>
      <w:marBottom w:val="0"/>
      <w:divBdr>
        <w:top w:val="none" w:sz="0" w:space="0" w:color="auto"/>
        <w:left w:val="none" w:sz="0" w:space="0" w:color="auto"/>
        <w:bottom w:val="none" w:sz="0" w:space="0" w:color="auto"/>
        <w:right w:val="none" w:sz="0" w:space="0" w:color="auto"/>
      </w:divBdr>
      <w:divsChild>
        <w:div w:id="698119087">
          <w:marLeft w:val="0"/>
          <w:marRight w:val="0"/>
          <w:marTop w:val="0"/>
          <w:marBottom w:val="0"/>
          <w:divBdr>
            <w:top w:val="none" w:sz="0" w:space="0" w:color="auto"/>
            <w:left w:val="none" w:sz="0" w:space="0" w:color="auto"/>
            <w:bottom w:val="none" w:sz="0" w:space="0" w:color="auto"/>
            <w:right w:val="none" w:sz="0" w:space="0" w:color="auto"/>
          </w:divBdr>
        </w:div>
        <w:div w:id="1536885047">
          <w:marLeft w:val="0"/>
          <w:marRight w:val="0"/>
          <w:marTop w:val="0"/>
          <w:marBottom w:val="0"/>
          <w:divBdr>
            <w:top w:val="none" w:sz="0" w:space="0" w:color="auto"/>
            <w:left w:val="none" w:sz="0" w:space="0" w:color="auto"/>
            <w:bottom w:val="none" w:sz="0" w:space="0" w:color="auto"/>
            <w:right w:val="none" w:sz="0" w:space="0" w:color="auto"/>
          </w:divBdr>
        </w:div>
      </w:divsChild>
    </w:div>
    <w:div w:id="770012333">
      <w:bodyDiv w:val="1"/>
      <w:marLeft w:val="0"/>
      <w:marRight w:val="0"/>
      <w:marTop w:val="0"/>
      <w:marBottom w:val="0"/>
      <w:divBdr>
        <w:top w:val="none" w:sz="0" w:space="0" w:color="auto"/>
        <w:left w:val="none" w:sz="0" w:space="0" w:color="auto"/>
        <w:bottom w:val="none" w:sz="0" w:space="0" w:color="auto"/>
        <w:right w:val="none" w:sz="0" w:space="0" w:color="auto"/>
      </w:divBdr>
      <w:divsChild>
        <w:div w:id="575673156">
          <w:marLeft w:val="0"/>
          <w:marRight w:val="0"/>
          <w:marTop w:val="0"/>
          <w:marBottom w:val="0"/>
          <w:divBdr>
            <w:top w:val="none" w:sz="0" w:space="0" w:color="auto"/>
            <w:left w:val="none" w:sz="0" w:space="0" w:color="auto"/>
            <w:bottom w:val="none" w:sz="0" w:space="0" w:color="auto"/>
            <w:right w:val="none" w:sz="0" w:space="0" w:color="auto"/>
          </w:divBdr>
        </w:div>
        <w:div w:id="824511416">
          <w:marLeft w:val="0"/>
          <w:marRight w:val="0"/>
          <w:marTop w:val="0"/>
          <w:marBottom w:val="0"/>
          <w:divBdr>
            <w:top w:val="none" w:sz="0" w:space="0" w:color="auto"/>
            <w:left w:val="none" w:sz="0" w:space="0" w:color="auto"/>
            <w:bottom w:val="none" w:sz="0" w:space="0" w:color="auto"/>
            <w:right w:val="none" w:sz="0" w:space="0" w:color="auto"/>
          </w:divBdr>
        </w:div>
        <w:div w:id="919102860">
          <w:marLeft w:val="0"/>
          <w:marRight w:val="0"/>
          <w:marTop w:val="0"/>
          <w:marBottom w:val="0"/>
          <w:divBdr>
            <w:top w:val="none" w:sz="0" w:space="0" w:color="auto"/>
            <w:left w:val="none" w:sz="0" w:space="0" w:color="auto"/>
            <w:bottom w:val="none" w:sz="0" w:space="0" w:color="auto"/>
            <w:right w:val="none" w:sz="0" w:space="0" w:color="auto"/>
          </w:divBdr>
          <w:divsChild>
            <w:div w:id="417479525">
              <w:marLeft w:val="0"/>
              <w:marRight w:val="0"/>
              <w:marTop w:val="0"/>
              <w:marBottom w:val="0"/>
              <w:divBdr>
                <w:top w:val="none" w:sz="0" w:space="0" w:color="auto"/>
                <w:left w:val="none" w:sz="0" w:space="0" w:color="auto"/>
                <w:bottom w:val="none" w:sz="0" w:space="0" w:color="auto"/>
                <w:right w:val="none" w:sz="0" w:space="0" w:color="auto"/>
              </w:divBdr>
            </w:div>
          </w:divsChild>
        </w:div>
        <w:div w:id="1753238200">
          <w:marLeft w:val="0"/>
          <w:marRight w:val="0"/>
          <w:marTop w:val="0"/>
          <w:marBottom w:val="0"/>
          <w:divBdr>
            <w:top w:val="none" w:sz="0" w:space="0" w:color="auto"/>
            <w:left w:val="none" w:sz="0" w:space="0" w:color="auto"/>
            <w:bottom w:val="none" w:sz="0" w:space="0" w:color="auto"/>
            <w:right w:val="none" w:sz="0" w:space="0" w:color="auto"/>
          </w:divBdr>
          <w:divsChild>
            <w:div w:id="19267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4427">
      <w:bodyDiv w:val="1"/>
      <w:marLeft w:val="0"/>
      <w:marRight w:val="0"/>
      <w:marTop w:val="0"/>
      <w:marBottom w:val="0"/>
      <w:divBdr>
        <w:top w:val="none" w:sz="0" w:space="0" w:color="auto"/>
        <w:left w:val="none" w:sz="0" w:space="0" w:color="auto"/>
        <w:bottom w:val="none" w:sz="0" w:space="0" w:color="auto"/>
        <w:right w:val="none" w:sz="0" w:space="0" w:color="auto"/>
      </w:divBdr>
    </w:div>
    <w:div w:id="1153180065">
      <w:bodyDiv w:val="1"/>
      <w:marLeft w:val="0"/>
      <w:marRight w:val="0"/>
      <w:marTop w:val="0"/>
      <w:marBottom w:val="0"/>
      <w:divBdr>
        <w:top w:val="none" w:sz="0" w:space="0" w:color="auto"/>
        <w:left w:val="none" w:sz="0" w:space="0" w:color="auto"/>
        <w:bottom w:val="none" w:sz="0" w:space="0" w:color="auto"/>
        <w:right w:val="none" w:sz="0" w:space="0" w:color="auto"/>
      </w:divBdr>
    </w:div>
    <w:div w:id="1160926082">
      <w:bodyDiv w:val="1"/>
      <w:marLeft w:val="0"/>
      <w:marRight w:val="0"/>
      <w:marTop w:val="0"/>
      <w:marBottom w:val="0"/>
      <w:divBdr>
        <w:top w:val="none" w:sz="0" w:space="0" w:color="auto"/>
        <w:left w:val="none" w:sz="0" w:space="0" w:color="auto"/>
        <w:bottom w:val="none" w:sz="0" w:space="0" w:color="auto"/>
        <w:right w:val="none" w:sz="0" w:space="0" w:color="auto"/>
      </w:divBdr>
    </w:div>
    <w:div w:id="1189102509">
      <w:bodyDiv w:val="1"/>
      <w:marLeft w:val="0"/>
      <w:marRight w:val="0"/>
      <w:marTop w:val="0"/>
      <w:marBottom w:val="0"/>
      <w:divBdr>
        <w:top w:val="none" w:sz="0" w:space="0" w:color="auto"/>
        <w:left w:val="none" w:sz="0" w:space="0" w:color="auto"/>
        <w:bottom w:val="none" w:sz="0" w:space="0" w:color="auto"/>
        <w:right w:val="none" w:sz="0" w:space="0" w:color="auto"/>
      </w:divBdr>
    </w:div>
    <w:div w:id="1200162834">
      <w:bodyDiv w:val="1"/>
      <w:marLeft w:val="0"/>
      <w:marRight w:val="0"/>
      <w:marTop w:val="0"/>
      <w:marBottom w:val="0"/>
      <w:divBdr>
        <w:top w:val="none" w:sz="0" w:space="0" w:color="auto"/>
        <w:left w:val="none" w:sz="0" w:space="0" w:color="auto"/>
        <w:bottom w:val="none" w:sz="0" w:space="0" w:color="auto"/>
        <w:right w:val="none" w:sz="0" w:space="0" w:color="auto"/>
      </w:divBdr>
      <w:divsChild>
        <w:div w:id="156962393">
          <w:marLeft w:val="1080"/>
          <w:marRight w:val="0"/>
          <w:marTop w:val="100"/>
          <w:marBottom w:val="160"/>
          <w:divBdr>
            <w:top w:val="none" w:sz="0" w:space="0" w:color="auto"/>
            <w:left w:val="none" w:sz="0" w:space="0" w:color="auto"/>
            <w:bottom w:val="none" w:sz="0" w:space="0" w:color="auto"/>
            <w:right w:val="none" w:sz="0" w:space="0" w:color="auto"/>
          </w:divBdr>
        </w:div>
        <w:div w:id="880676176">
          <w:marLeft w:val="1080"/>
          <w:marRight w:val="0"/>
          <w:marTop w:val="100"/>
          <w:marBottom w:val="160"/>
          <w:divBdr>
            <w:top w:val="none" w:sz="0" w:space="0" w:color="auto"/>
            <w:left w:val="none" w:sz="0" w:space="0" w:color="auto"/>
            <w:bottom w:val="none" w:sz="0" w:space="0" w:color="auto"/>
            <w:right w:val="none" w:sz="0" w:space="0" w:color="auto"/>
          </w:divBdr>
        </w:div>
        <w:div w:id="1434666386">
          <w:marLeft w:val="360"/>
          <w:marRight w:val="0"/>
          <w:marTop w:val="200"/>
          <w:marBottom w:val="160"/>
          <w:divBdr>
            <w:top w:val="none" w:sz="0" w:space="0" w:color="auto"/>
            <w:left w:val="none" w:sz="0" w:space="0" w:color="auto"/>
            <w:bottom w:val="none" w:sz="0" w:space="0" w:color="auto"/>
            <w:right w:val="none" w:sz="0" w:space="0" w:color="auto"/>
          </w:divBdr>
        </w:div>
        <w:div w:id="1844708765">
          <w:marLeft w:val="1080"/>
          <w:marRight w:val="0"/>
          <w:marTop w:val="100"/>
          <w:marBottom w:val="160"/>
          <w:divBdr>
            <w:top w:val="none" w:sz="0" w:space="0" w:color="auto"/>
            <w:left w:val="none" w:sz="0" w:space="0" w:color="auto"/>
            <w:bottom w:val="none" w:sz="0" w:space="0" w:color="auto"/>
            <w:right w:val="none" w:sz="0" w:space="0" w:color="auto"/>
          </w:divBdr>
        </w:div>
        <w:div w:id="1874147397">
          <w:marLeft w:val="1080"/>
          <w:marRight w:val="0"/>
          <w:marTop w:val="100"/>
          <w:marBottom w:val="160"/>
          <w:divBdr>
            <w:top w:val="none" w:sz="0" w:space="0" w:color="auto"/>
            <w:left w:val="none" w:sz="0" w:space="0" w:color="auto"/>
            <w:bottom w:val="none" w:sz="0" w:space="0" w:color="auto"/>
            <w:right w:val="none" w:sz="0" w:space="0" w:color="auto"/>
          </w:divBdr>
        </w:div>
        <w:div w:id="1907956268">
          <w:marLeft w:val="360"/>
          <w:marRight w:val="0"/>
          <w:marTop w:val="200"/>
          <w:marBottom w:val="160"/>
          <w:divBdr>
            <w:top w:val="none" w:sz="0" w:space="0" w:color="auto"/>
            <w:left w:val="none" w:sz="0" w:space="0" w:color="auto"/>
            <w:bottom w:val="none" w:sz="0" w:space="0" w:color="auto"/>
            <w:right w:val="none" w:sz="0" w:space="0" w:color="auto"/>
          </w:divBdr>
        </w:div>
      </w:divsChild>
    </w:div>
    <w:div w:id="1227300172">
      <w:bodyDiv w:val="1"/>
      <w:marLeft w:val="0"/>
      <w:marRight w:val="0"/>
      <w:marTop w:val="0"/>
      <w:marBottom w:val="0"/>
      <w:divBdr>
        <w:top w:val="none" w:sz="0" w:space="0" w:color="auto"/>
        <w:left w:val="none" w:sz="0" w:space="0" w:color="auto"/>
        <w:bottom w:val="none" w:sz="0" w:space="0" w:color="auto"/>
        <w:right w:val="none" w:sz="0" w:space="0" w:color="auto"/>
      </w:divBdr>
      <w:divsChild>
        <w:div w:id="828906993">
          <w:marLeft w:val="0"/>
          <w:marRight w:val="0"/>
          <w:marTop w:val="0"/>
          <w:marBottom w:val="0"/>
          <w:divBdr>
            <w:top w:val="none" w:sz="0" w:space="0" w:color="auto"/>
            <w:left w:val="none" w:sz="0" w:space="0" w:color="auto"/>
            <w:bottom w:val="none" w:sz="0" w:space="0" w:color="auto"/>
            <w:right w:val="none" w:sz="0" w:space="0" w:color="auto"/>
          </w:divBdr>
        </w:div>
        <w:div w:id="1803424026">
          <w:marLeft w:val="0"/>
          <w:marRight w:val="0"/>
          <w:marTop w:val="0"/>
          <w:marBottom w:val="0"/>
          <w:divBdr>
            <w:top w:val="none" w:sz="0" w:space="0" w:color="auto"/>
            <w:left w:val="none" w:sz="0" w:space="0" w:color="auto"/>
            <w:bottom w:val="none" w:sz="0" w:space="0" w:color="auto"/>
            <w:right w:val="none" w:sz="0" w:space="0" w:color="auto"/>
          </w:divBdr>
        </w:div>
      </w:divsChild>
    </w:div>
    <w:div w:id="1251886422">
      <w:bodyDiv w:val="1"/>
      <w:marLeft w:val="0"/>
      <w:marRight w:val="0"/>
      <w:marTop w:val="0"/>
      <w:marBottom w:val="0"/>
      <w:divBdr>
        <w:top w:val="none" w:sz="0" w:space="0" w:color="auto"/>
        <w:left w:val="none" w:sz="0" w:space="0" w:color="auto"/>
        <w:bottom w:val="none" w:sz="0" w:space="0" w:color="auto"/>
        <w:right w:val="none" w:sz="0" w:space="0" w:color="auto"/>
      </w:divBdr>
    </w:div>
    <w:div w:id="1330062088">
      <w:bodyDiv w:val="1"/>
      <w:marLeft w:val="0"/>
      <w:marRight w:val="0"/>
      <w:marTop w:val="0"/>
      <w:marBottom w:val="0"/>
      <w:divBdr>
        <w:top w:val="none" w:sz="0" w:space="0" w:color="auto"/>
        <w:left w:val="none" w:sz="0" w:space="0" w:color="auto"/>
        <w:bottom w:val="none" w:sz="0" w:space="0" w:color="auto"/>
        <w:right w:val="none" w:sz="0" w:space="0" w:color="auto"/>
      </w:divBdr>
      <w:divsChild>
        <w:div w:id="662778209">
          <w:marLeft w:val="0"/>
          <w:marRight w:val="0"/>
          <w:marTop w:val="0"/>
          <w:marBottom w:val="0"/>
          <w:divBdr>
            <w:top w:val="none" w:sz="0" w:space="0" w:color="auto"/>
            <w:left w:val="none" w:sz="0" w:space="0" w:color="auto"/>
            <w:bottom w:val="none" w:sz="0" w:space="0" w:color="auto"/>
            <w:right w:val="none" w:sz="0" w:space="0" w:color="auto"/>
          </w:divBdr>
        </w:div>
        <w:div w:id="748431178">
          <w:marLeft w:val="0"/>
          <w:marRight w:val="0"/>
          <w:marTop w:val="0"/>
          <w:marBottom w:val="0"/>
          <w:divBdr>
            <w:top w:val="none" w:sz="0" w:space="0" w:color="auto"/>
            <w:left w:val="none" w:sz="0" w:space="0" w:color="auto"/>
            <w:bottom w:val="none" w:sz="0" w:space="0" w:color="auto"/>
            <w:right w:val="none" w:sz="0" w:space="0" w:color="auto"/>
          </w:divBdr>
        </w:div>
      </w:divsChild>
    </w:div>
    <w:div w:id="1387994438">
      <w:bodyDiv w:val="1"/>
      <w:marLeft w:val="0"/>
      <w:marRight w:val="0"/>
      <w:marTop w:val="0"/>
      <w:marBottom w:val="0"/>
      <w:divBdr>
        <w:top w:val="none" w:sz="0" w:space="0" w:color="auto"/>
        <w:left w:val="none" w:sz="0" w:space="0" w:color="auto"/>
        <w:bottom w:val="none" w:sz="0" w:space="0" w:color="auto"/>
        <w:right w:val="none" w:sz="0" w:space="0" w:color="auto"/>
      </w:divBdr>
      <w:divsChild>
        <w:div w:id="264534087">
          <w:marLeft w:val="0"/>
          <w:marRight w:val="0"/>
          <w:marTop w:val="0"/>
          <w:marBottom w:val="0"/>
          <w:divBdr>
            <w:top w:val="none" w:sz="0" w:space="0" w:color="auto"/>
            <w:left w:val="none" w:sz="0" w:space="0" w:color="auto"/>
            <w:bottom w:val="none" w:sz="0" w:space="0" w:color="auto"/>
            <w:right w:val="none" w:sz="0" w:space="0" w:color="auto"/>
          </w:divBdr>
          <w:divsChild>
            <w:div w:id="1725061827">
              <w:marLeft w:val="0"/>
              <w:marRight w:val="0"/>
              <w:marTop w:val="0"/>
              <w:marBottom w:val="0"/>
              <w:divBdr>
                <w:top w:val="none" w:sz="0" w:space="0" w:color="auto"/>
                <w:left w:val="none" w:sz="0" w:space="0" w:color="auto"/>
                <w:bottom w:val="none" w:sz="0" w:space="0" w:color="auto"/>
                <w:right w:val="none" w:sz="0" w:space="0" w:color="auto"/>
              </w:divBdr>
            </w:div>
          </w:divsChild>
        </w:div>
        <w:div w:id="383407142">
          <w:marLeft w:val="0"/>
          <w:marRight w:val="0"/>
          <w:marTop w:val="0"/>
          <w:marBottom w:val="0"/>
          <w:divBdr>
            <w:top w:val="none" w:sz="0" w:space="0" w:color="auto"/>
            <w:left w:val="none" w:sz="0" w:space="0" w:color="auto"/>
            <w:bottom w:val="none" w:sz="0" w:space="0" w:color="auto"/>
            <w:right w:val="none" w:sz="0" w:space="0" w:color="auto"/>
          </w:divBdr>
        </w:div>
        <w:div w:id="781415395">
          <w:marLeft w:val="0"/>
          <w:marRight w:val="0"/>
          <w:marTop w:val="0"/>
          <w:marBottom w:val="0"/>
          <w:divBdr>
            <w:top w:val="none" w:sz="0" w:space="0" w:color="auto"/>
            <w:left w:val="none" w:sz="0" w:space="0" w:color="auto"/>
            <w:bottom w:val="none" w:sz="0" w:space="0" w:color="auto"/>
            <w:right w:val="none" w:sz="0" w:space="0" w:color="auto"/>
          </w:divBdr>
          <w:divsChild>
            <w:div w:id="1352950055">
              <w:marLeft w:val="0"/>
              <w:marRight w:val="0"/>
              <w:marTop w:val="0"/>
              <w:marBottom w:val="0"/>
              <w:divBdr>
                <w:top w:val="none" w:sz="0" w:space="0" w:color="auto"/>
                <w:left w:val="none" w:sz="0" w:space="0" w:color="auto"/>
                <w:bottom w:val="none" w:sz="0" w:space="0" w:color="auto"/>
                <w:right w:val="none" w:sz="0" w:space="0" w:color="auto"/>
              </w:divBdr>
            </w:div>
          </w:divsChild>
        </w:div>
        <w:div w:id="1076518054">
          <w:marLeft w:val="0"/>
          <w:marRight w:val="0"/>
          <w:marTop w:val="0"/>
          <w:marBottom w:val="0"/>
          <w:divBdr>
            <w:top w:val="none" w:sz="0" w:space="0" w:color="auto"/>
            <w:left w:val="none" w:sz="0" w:space="0" w:color="auto"/>
            <w:bottom w:val="none" w:sz="0" w:space="0" w:color="auto"/>
            <w:right w:val="none" w:sz="0" w:space="0" w:color="auto"/>
          </w:divBdr>
          <w:divsChild>
            <w:div w:id="1680232338">
              <w:marLeft w:val="0"/>
              <w:marRight w:val="0"/>
              <w:marTop w:val="0"/>
              <w:marBottom w:val="0"/>
              <w:divBdr>
                <w:top w:val="none" w:sz="0" w:space="0" w:color="auto"/>
                <w:left w:val="none" w:sz="0" w:space="0" w:color="auto"/>
                <w:bottom w:val="none" w:sz="0" w:space="0" w:color="auto"/>
                <w:right w:val="none" w:sz="0" w:space="0" w:color="auto"/>
              </w:divBdr>
            </w:div>
          </w:divsChild>
        </w:div>
        <w:div w:id="1308168492">
          <w:marLeft w:val="0"/>
          <w:marRight w:val="0"/>
          <w:marTop w:val="0"/>
          <w:marBottom w:val="0"/>
          <w:divBdr>
            <w:top w:val="none" w:sz="0" w:space="0" w:color="auto"/>
            <w:left w:val="none" w:sz="0" w:space="0" w:color="auto"/>
            <w:bottom w:val="none" w:sz="0" w:space="0" w:color="auto"/>
            <w:right w:val="none" w:sz="0" w:space="0" w:color="auto"/>
          </w:divBdr>
          <w:divsChild>
            <w:div w:id="1891769928">
              <w:marLeft w:val="0"/>
              <w:marRight w:val="0"/>
              <w:marTop w:val="0"/>
              <w:marBottom w:val="0"/>
              <w:divBdr>
                <w:top w:val="none" w:sz="0" w:space="0" w:color="auto"/>
                <w:left w:val="none" w:sz="0" w:space="0" w:color="auto"/>
                <w:bottom w:val="none" w:sz="0" w:space="0" w:color="auto"/>
                <w:right w:val="none" w:sz="0" w:space="0" w:color="auto"/>
              </w:divBdr>
            </w:div>
          </w:divsChild>
        </w:div>
        <w:div w:id="1413047674">
          <w:marLeft w:val="0"/>
          <w:marRight w:val="0"/>
          <w:marTop w:val="0"/>
          <w:marBottom w:val="0"/>
          <w:divBdr>
            <w:top w:val="none" w:sz="0" w:space="0" w:color="auto"/>
            <w:left w:val="none" w:sz="0" w:space="0" w:color="auto"/>
            <w:bottom w:val="none" w:sz="0" w:space="0" w:color="auto"/>
            <w:right w:val="none" w:sz="0" w:space="0" w:color="auto"/>
          </w:divBdr>
          <w:divsChild>
            <w:div w:id="20561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4134">
      <w:bodyDiv w:val="1"/>
      <w:marLeft w:val="0"/>
      <w:marRight w:val="0"/>
      <w:marTop w:val="0"/>
      <w:marBottom w:val="0"/>
      <w:divBdr>
        <w:top w:val="none" w:sz="0" w:space="0" w:color="auto"/>
        <w:left w:val="none" w:sz="0" w:space="0" w:color="auto"/>
        <w:bottom w:val="none" w:sz="0" w:space="0" w:color="auto"/>
        <w:right w:val="none" w:sz="0" w:space="0" w:color="auto"/>
      </w:divBdr>
    </w:div>
    <w:div w:id="1417096057">
      <w:bodyDiv w:val="1"/>
      <w:marLeft w:val="0"/>
      <w:marRight w:val="0"/>
      <w:marTop w:val="0"/>
      <w:marBottom w:val="0"/>
      <w:divBdr>
        <w:top w:val="none" w:sz="0" w:space="0" w:color="auto"/>
        <w:left w:val="none" w:sz="0" w:space="0" w:color="auto"/>
        <w:bottom w:val="none" w:sz="0" w:space="0" w:color="auto"/>
        <w:right w:val="none" w:sz="0" w:space="0" w:color="auto"/>
      </w:divBdr>
      <w:divsChild>
        <w:div w:id="48765692">
          <w:marLeft w:val="0"/>
          <w:marRight w:val="0"/>
          <w:marTop w:val="0"/>
          <w:marBottom w:val="0"/>
          <w:divBdr>
            <w:top w:val="none" w:sz="0" w:space="0" w:color="auto"/>
            <w:left w:val="none" w:sz="0" w:space="0" w:color="auto"/>
            <w:bottom w:val="none" w:sz="0" w:space="0" w:color="auto"/>
            <w:right w:val="none" w:sz="0" w:space="0" w:color="auto"/>
          </w:divBdr>
          <w:divsChild>
            <w:div w:id="1743210211">
              <w:marLeft w:val="0"/>
              <w:marRight w:val="0"/>
              <w:marTop w:val="0"/>
              <w:marBottom w:val="0"/>
              <w:divBdr>
                <w:top w:val="none" w:sz="0" w:space="0" w:color="auto"/>
                <w:left w:val="none" w:sz="0" w:space="0" w:color="auto"/>
                <w:bottom w:val="none" w:sz="0" w:space="0" w:color="auto"/>
                <w:right w:val="none" w:sz="0" w:space="0" w:color="auto"/>
              </w:divBdr>
            </w:div>
          </w:divsChild>
        </w:div>
        <w:div w:id="158011866">
          <w:marLeft w:val="0"/>
          <w:marRight w:val="0"/>
          <w:marTop w:val="0"/>
          <w:marBottom w:val="0"/>
          <w:divBdr>
            <w:top w:val="none" w:sz="0" w:space="0" w:color="auto"/>
            <w:left w:val="none" w:sz="0" w:space="0" w:color="auto"/>
            <w:bottom w:val="none" w:sz="0" w:space="0" w:color="auto"/>
            <w:right w:val="none" w:sz="0" w:space="0" w:color="auto"/>
          </w:divBdr>
          <w:divsChild>
            <w:div w:id="322706728">
              <w:marLeft w:val="0"/>
              <w:marRight w:val="0"/>
              <w:marTop w:val="0"/>
              <w:marBottom w:val="0"/>
              <w:divBdr>
                <w:top w:val="none" w:sz="0" w:space="0" w:color="auto"/>
                <w:left w:val="none" w:sz="0" w:space="0" w:color="auto"/>
                <w:bottom w:val="none" w:sz="0" w:space="0" w:color="auto"/>
                <w:right w:val="none" w:sz="0" w:space="0" w:color="auto"/>
              </w:divBdr>
            </w:div>
          </w:divsChild>
        </w:div>
        <w:div w:id="241572469">
          <w:marLeft w:val="0"/>
          <w:marRight w:val="0"/>
          <w:marTop w:val="0"/>
          <w:marBottom w:val="0"/>
          <w:divBdr>
            <w:top w:val="none" w:sz="0" w:space="0" w:color="auto"/>
            <w:left w:val="none" w:sz="0" w:space="0" w:color="auto"/>
            <w:bottom w:val="none" w:sz="0" w:space="0" w:color="auto"/>
            <w:right w:val="none" w:sz="0" w:space="0" w:color="auto"/>
          </w:divBdr>
          <w:divsChild>
            <w:div w:id="1641495006">
              <w:marLeft w:val="0"/>
              <w:marRight w:val="0"/>
              <w:marTop w:val="0"/>
              <w:marBottom w:val="0"/>
              <w:divBdr>
                <w:top w:val="none" w:sz="0" w:space="0" w:color="auto"/>
                <w:left w:val="none" w:sz="0" w:space="0" w:color="auto"/>
                <w:bottom w:val="none" w:sz="0" w:space="0" w:color="auto"/>
                <w:right w:val="none" w:sz="0" w:space="0" w:color="auto"/>
              </w:divBdr>
            </w:div>
          </w:divsChild>
        </w:div>
        <w:div w:id="407000326">
          <w:marLeft w:val="0"/>
          <w:marRight w:val="0"/>
          <w:marTop w:val="0"/>
          <w:marBottom w:val="0"/>
          <w:divBdr>
            <w:top w:val="none" w:sz="0" w:space="0" w:color="auto"/>
            <w:left w:val="none" w:sz="0" w:space="0" w:color="auto"/>
            <w:bottom w:val="none" w:sz="0" w:space="0" w:color="auto"/>
            <w:right w:val="none" w:sz="0" w:space="0" w:color="auto"/>
          </w:divBdr>
          <w:divsChild>
            <w:div w:id="1197429973">
              <w:marLeft w:val="0"/>
              <w:marRight w:val="0"/>
              <w:marTop w:val="0"/>
              <w:marBottom w:val="0"/>
              <w:divBdr>
                <w:top w:val="none" w:sz="0" w:space="0" w:color="auto"/>
                <w:left w:val="none" w:sz="0" w:space="0" w:color="auto"/>
                <w:bottom w:val="none" w:sz="0" w:space="0" w:color="auto"/>
                <w:right w:val="none" w:sz="0" w:space="0" w:color="auto"/>
              </w:divBdr>
            </w:div>
          </w:divsChild>
        </w:div>
        <w:div w:id="858010171">
          <w:marLeft w:val="0"/>
          <w:marRight w:val="0"/>
          <w:marTop w:val="0"/>
          <w:marBottom w:val="0"/>
          <w:divBdr>
            <w:top w:val="none" w:sz="0" w:space="0" w:color="auto"/>
            <w:left w:val="none" w:sz="0" w:space="0" w:color="auto"/>
            <w:bottom w:val="none" w:sz="0" w:space="0" w:color="auto"/>
            <w:right w:val="none" w:sz="0" w:space="0" w:color="auto"/>
          </w:divBdr>
          <w:divsChild>
            <w:div w:id="1239052117">
              <w:marLeft w:val="0"/>
              <w:marRight w:val="0"/>
              <w:marTop w:val="0"/>
              <w:marBottom w:val="0"/>
              <w:divBdr>
                <w:top w:val="none" w:sz="0" w:space="0" w:color="auto"/>
                <w:left w:val="none" w:sz="0" w:space="0" w:color="auto"/>
                <w:bottom w:val="none" w:sz="0" w:space="0" w:color="auto"/>
                <w:right w:val="none" w:sz="0" w:space="0" w:color="auto"/>
              </w:divBdr>
            </w:div>
          </w:divsChild>
        </w:div>
        <w:div w:id="1236402820">
          <w:marLeft w:val="0"/>
          <w:marRight w:val="0"/>
          <w:marTop w:val="0"/>
          <w:marBottom w:val="0"/>
          <w:divBdr>
            <w:top w:val="none" w:sz="0" w:space="0" w:color="auto"/>
            <w:left w:val="none" w:sz="0" w:space="0" w:color="auto"/>
            <w:bottom w:val="none" w:sz="0" w:space="0" w:color="auto"/>
            <w:right w:val="none" w:sz="0" w:space="0" w:color="auto"/>
          </w:divBdr>
          <w:divsChild>
            <w:div w:id="2147239245">
              <w:marLeft w:val="0"/>
              <w:marRight w:val="0"/>
              <w:marTop w:val="0"/>
              <w:marBottom w:val="0"/>
              <w:divBdr>
                <w:top w:val="none" w:sz="0" w:space="0" w:color="auto"/>
                <w:left w:val="none" w:sz="0" w:space="0" w:color="auto"/>
                <w:bottom w:val="none" w:sz="0" w:space="0" w:color="auto"/>
                <w:right w:val="none" w:sz="0" w:space="0" w:color="auto"/>
              </w:divBdr>
            </w:div>
          </w:divsChild>
        </w:div>
        <w:div w:id="1348481380">
          <w:marLeft w:val="0"/>
          <w:marRight w:val="0"/>
          <w:marTop w:val="0"/>
          <w:marBottom w:val="0"/>
          <w:divBdr>
            <w:top w:val="none" w:sz="0" w:space="0" w:color="auto"/>
            <w:left w:val="none" w:sz="0" w:space="0" w:color="auto"/>
            <w:bottom w:val="none" w:sz="0" w:space="0" w:color="auto"/>
            <w:right w:val="none" w:sz="0" w:space="0" w:color="auto"/>
          </w:divBdr>
          <w:divsChild>
            <w:div w:id="323358069">
              <w:marLeft w:val="0"/>
              <w:marRight w:val="0"/>
              <w:marTop w:val="0"/>
              <w:marBottom w:val="0"/>
              <w:divBdr>
                <w:top w:val="none" w:sz="0" w:space="0" w:color="auto"/>
                <w:left w:val="none" w:sz="0" w:space="0" w:color="auto"/>
                <w:bottom w:val="none" w:sz="0" w:space="0" w:color="auto"/>
                <w:right w:val="none" w:sz="0" w:space="0" w:color="auto"/>
              </w:divBdr>
            </w:div>
          </w:divsChild>
        </w:div>
        <w:div w:id="1429471880">
          <w:marLeft w:val="0"/>
          <w:marRight w:val="0"/>
          <w:marTop w:val="0"/>
          <w:marBottom w:val="0"/>
          <w:divBdr>
            <w:top w:val="none" w:sz="0" w:space="0" w:color="auto"/>
            <w:left w:val="none" w:sz="0" w:space="0" w:color="auto"/>
            <w:bottom w:val="none" w:sz="0" w:space="0" w:color="auto"/>
            <w:right w:val="none" w:sz="0" w:space="0" w:color="auto"/>
          </w:divBdr>
          <w:divsChild>
            <w:div w:id="1793861173">
              <w:marLeft w:val="0"/>
              <w:marRight w:val="0"/>
              <w:marTop w:val="0"/>
              <w:marBottom w:val="0"/>
              <w:divBdr>
                <w:top w:val="none" w:sz="0" w:space="0" w:color="auto"/>
                <w:left w:val="none" w:sz="0" w:space="0" w:color="auto"/>
                <w:bottom w:val="none" w:sz="0" w:space="0" w:color="auto"/>
                <w:right w:val="none" w:sz="0" w:space="0" w:color="auto"/>
              </w:divBdr>
            </w:div>
          </w:divsChild>
        </w:div>
        <w:div w:id="1516574392">
          <w:marLeft w:val="0"/>
          <w:marRight w:val="0"/>
          <w:marTop w:val="0"/>
          <w:marBottom w:val="0"/>
          <w:divBdr>
            <w:top w:val="none" w:sz="0" w:space="0" w:color="auto"/>
            <w:left w:val="none" w:sz="0" w:space="0" w:color="auto"/>
            <w:bottom w:val="none" w:sz="0" w:space="0" w:color="auto"/>
            <w:right w:val="none" w:sz="0" w:space="0" w:color="auto"/>
          </w:divBdr>
          <w:divsChild>
            <w:div w:id="2128429623">
              <w:marLeft w:val="0"/>
              <w:marRight w:val="0"/>
              <w:marTop w:val="0"/>
              <w:marBottom w:val="0"/>
              <w:divBdr>
                <w:top w:val="none" w:sz="0" w:space="0" w:color="auto"/>
                <w:left w:val="none" w:sz="0" w:space="0" w:color="auto"/>
                <w:bottom w:val="none" w:sz="0" w:space="0" w:color="auto"/>
                <w:right w:val="none" w:sz="0" w:space="0" w:color="auto"/>
              </w:divBdr>
            </w:div>
          </w:divsChild>
        </w:div>
        <w:div w:id="1911693129">
          <w:marLeft w:val="0"/>
          <w:marRight w:val="0"/>
          <w:marTop w:val="0"/>
          <w:marBottom w:val="0"/>
          <w:divBdr>
            <w:top w:val="none" w:sz="0" w:space="0" w:color="auto"/>
            <w:left w:val="none" w:sz="0" w:space="0" w:color="auto"/>
            <w:bottom w:val="none" w:sz="0" w:space="0" w:color="auto"/>
            <w:right w:val="none" w:sz="0" w:space="0" w:color="auto"/>
          </w:divBdr>
          <w:divsChild>
            <w:div w:id="1411267094">
              <w:marLeft w:val="0"/>
              <w:marRight w:val="0"/>
              <w:marTop w:val="0"/>
              <w:marBottom w:val="0"/>
              <w:divBdr>
                <w:top w:val="none" w:sz="0" w:space="0" w:color="auto"/>
                <w:left w:val="none" w:sz="0" w:space="0" w:color="auto"/>
                <w:bottom w:val="none" w:sz="0" w:space="0" w:color="auto"/>
                <w:right w:val="none" w:sz="0" w:space="0" w:color="auto"/>
              </w:divBdr>
            </w:div>
          </w:divsChild>
        </w:div>
        <w:div w:id="1939486178">
          <w:marLeft w:val="0"/>
          <w:marRight w:val="0"/>
          <w:marTop w:val="0"/>
          <w:marBottom w:val="0"/>
          <w:divBdr>
            <w:top w:val="none" w:sz="0" w:space="0" w:color="auto"/>
            <w:left w:val="none" w:sz="0" w:space="0" w:color="auto"/>
            <w:bottom w:val="none" w:sz="0" w:space="0" w:color="auto"/>
            <w:right w:val="none" w:sz="0" w:space="0" w:color="auto"/>
          </w:divBdr>
          <w:divsChild>
            <w:div w:id="216280707">
              <w:marLeft w:val="0"/>
              <w:marRight w:val="0"/>
              <w:marTop w:val="0"/>
              <w:marBottom w:val="0"/>
              <w:divBdr>
                <w:top w:val="none" w:sz="0" w:space="0" w:color="auto"/>
                <w:left w:val="none" w:sz="0" w:space="0" w:color="auto"/>
                <w:bottom w:val="none" w:sz="0" w:space="0" w:color="auto"/>
                <w:right w:val="none" w:sz="0" w:space="0" w:color="auto"/>
              </w:divBdr>
            </w:div>
          </w:divsChild>
        </w:div>
        <w:div w:id="2002731329">
          <w:marLeft w:val="0"/>
          <w:marRight w:val="0"/>
          <w:marTop w:val="0"/>
          <w:marBottom w:val="0"/>
          <w:divBdr>
            <w:top w:val="none" w:sz="0" w:space="0" w:color="auto"/>
            <w:left w:val="none" w:sz="0" w:space="0" w:color="auto"/>
            <w:bottom w:val="none" w:sz="0" w:space="0" w:color="auto"/>
            <w:right w:val="none" w:sz="0" w:space="0" w:color="auto"/>
          </w:divBdr>
        </w:div>
      </w:divsChild>
    </w:div>
    <w:div w:id="1470709964">
      <w:bodyDiv w:val="1"/>
      <w:marLeft w:val="0"/>
      <w:marRight w:val="0"/>
      <w:marTop w:val="0"/>
      <w:marBottom w:val="0"/>
      <w:divBdr>
        <w:top w:val="none" w:sz="0" w:space="0" w:color="auto"/>
        <w:left w:val="none" w:sz="0" w:space="0" w:color="auto"/>
        <w:bottom w:val="none" w:sz="0" w:space="0" w:color="auto"/>
        <w:right w:val="none" w:sz="0" w:space="0" w:color="auto"/>
      </w:divBdr>
    </w:div>
    <w:div w:id="1482497969">
      <w:bodyDiv w:val="1"/>
      <w:marLeft w:val="0"/>
      <w:marRight w:val="0"/>
      <w:marTop w:val="0"/>
      <w:marBottom w:val="0"/>
      <w:divBdr>
        <w:top w:val="none" w:sz="0" w:space="0" w:color="auto"/>
        <w:left w:val="none" w:sz="0" w:space="0" w:color="auto"/>
        <w:bottom w:val="none" w:sz="0" w:space="0" w:color="auto"/>
        <w:right w:val="none" w:sz="0" w:space="0" w:color="auto"/>
      </w:divBdr>
    </w:div>
    <w:div w:id="1567377932">
      <w:bodyDiv w:val="1"/>
      <w:marLeft w:val="0"/>
      <w:marRight w:val="0"/>
      <w:marTop w:val="0"/>
      <w:marBottom w:val="0"/>
      <w:divBdr>
        <w:top w:val="none" w:sz="0" w:space="0" w:color="auto"/>
        <w:left w:val="none" w:sz="0" w:space="0" w:color="auto"/>
        <w:bottom w:val="none" w:sz="0" w:space="0" w:color="auto"/>
        <w:right w:val="none" w:sz="0" w:space="0" w:color="auto"/>
      </w:divBdr>
    </w:div>
    <w:div w:id="1777557783">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0"/>
          <w:marRight w:val="0"/>
          <w:marTop w:val="0"/>
          <w:marBottom w:val="0"/>
          <w:divBdr>
            <w:top w:val="none" w:sz="0" w:space="0" w:color="auto"/>
            <w:left w:val="none" w:sz="0" w:space="0" w:color="auto"/>
            <w:bottom w:val="none" w:sz="0" w:space="0" w:color="auto"/>
            <w:right w:val="none" w:sz="0" w:space="0" w:color="auto"/>
          </w:divBdr>
        </w:div>
        <w:div w:id="680085789">
          <w:marLeft w:val="0"/>
          <w:marRight w:val="0"/>
          <w:marTop w:val="0"/>
          <w:marBottom w:val="0"/>
          <w:divBdr>
            <w:top w:val="none" w:sz="0" w:space="0" w:color="auto"/>
            <w:left w:val="none" w:sz="0" w:space="0" w:color="auto"/>
            <w:bottom w:val="none" w:sz="0" w:space="0" w:color="auto"/>
            <w:right w:val="none" w:sz="0" w:space="0" w:color="auto"/>
          </w:divBdr>
        </w:div>
        <w:div w:id="1504590843">
          <w:marLeft w:val="0"/>
          <w:marRight w:val="0"/>
          <w:marTop w:val="0"/>
          <w:marBottom w:val="0"/>
          <w:divBdr>
            <w:top w:val="none" w:sz="0" w:space="0" w:color="auto"/>
            <w:left w:val="none" w:sz="0" w:space="0" w:color="auto"/>
            <w:bottom w:val="none" w:sz="0" w:space="0" w:color="auto"/>
            <w:right w:val="none" w:sz="0" w:space="0" w:color="auto"/>
          </w:divBdr>
        </w:div>
        <w:div w:id="1917398913">
          <w:marLeft w:val="0"/>
          <w:marRight w:val="0"/>
          <w:marTop w:val="0"/>
          <w:marBottom w:val="0"/>
          <w:divBdr>
            <w:top w:val="none" w:sz="0" w:space="0" w:color="auto"/>
            <w:left w:val="none" w:sz="0" w:space="0" w:color="auto"/>
            <w:bottom w:val="none" w:sz="0" w:space="0" w:color="auto"/>
            <w:right w:val="none" w:sz="0" w:space="0" w:color="auto"/>
          </w:divBdr>
        </w:div>
      </w:divsChild>
    </w:div>
    <w:div w:id="1952855606">
      <w:bodyDiv w:val="1"/>
      <w:marLeft w:val="0"/>
      <w:marRight w:val="0"/>
      <w:marTop w:val="0"/>
      <w:marBottom w:val="0"/>
      <w:divBdr>
        <w:top w:val="none" w:sz="0" w:space="0" w:color="auto"/>
        <w:left w:val="none" w:sz="0" w:space="0" w:color="auto"/>
        <w:bottom w:val="none" w:sz="0" w:space="0" w:color="auto"/>
        <w:right w:val="none" w:sz="0" w:space="0" w:color="auto"/>
      </w:divBdr>
      <w:divsChild>
        <w:div w:id="313946910">
          <w:marLeft w:val="1080"/>
          <w:marRight w:val="0"/>
          <w:marTop w:val="100"/>
          <w:marBottom w:val="0"/>
          <w:divBdr>
            <w:top w:val="none" w:sz="0" w:space="0" w:color="auto"/>
            <w:left w:val="none" w:sz="0" w:space="0" w:color="auto"/>
            <w:bottom w:val="none" w:sz="0" w:space="0" w:color="auto"/>
            <w:right w:val="none" w:sz="0" w:space="0" w:color="auto"/>
          </w:divBdr>
        </w:div>
        <w:div w:id="872766739">
          <w:marLeft w:val="1080"/>
          <w:marRight w:val="0"/>
          <w:marTop w:val="100"/>
          <w:marBottom w:val="0"/>
          <w:divBdr>
            <w:top w:val="none" w:sz="0" w:space="0" w:color="auto"/>
            <w:left w:val="none" w:sz="0" w:space="0" w:color="auto"/>
            <w:bottom w:val="none" w:sz="0" w:space="0" w:color="auto"/>
            <w:right w:val="none" w:sz="0" w:space="0" w:color="auto"/>
          </w:divBdr>
        </w:div>
        <w:div w:id="1006639622">
          <w:marLeft w:val="1080"/>
          <w:marRight w:val="0"/>
          <w:marTop w:val="100"/>
          <w:marBottom w:val="0"/>
          <w:divBdr>
            <w:top w:val="none" w:sz="0" w:space="0" w:color="auto"/>
            <w:left w:val="none" w:sz="0" w:space="0" w:color="auto"/>
            <w:bottom w:val="none" w:sz="0" w:space="0" w:color="auto"/>
            <w:right w:val="none" w:sz="0" w:space="0" w:color="auto"/>
          </w:divBdr>
        </w:div>
        <w:div w:id="1103456085">
          <w:marLeft w:val="1080"/>
          <w:marRight w:val="0"/>
          <w:marTop w:val="100"/>
          <w:marBottom w:val="0"/>
          <w:divBdr>
            <w:top w:val="none" w:sz="0" w:space="0" w:color="auto"/>
            <w:left w:val="none" w:sz="0" w:space="0" w:color="auto"/>
            <w:bottom w:val="none" w:sz="0" w:space="0" w:color="auto"/>
            <w:right w:val="none" w:sz="0" w:space="0" w:color="auto"/>
          </w:divBdr>
        </w:div>
        <w:div w:id="1559778690">
          <w:marLeft w:val="1080"/>
          <w:marRight w:val="0"/>
          <w:marTop w:val="100"/>
          <w:marBottom w:val="0"/>
          <w:divBdr>
            <w:top w:val="none" w:sz="0" w:space="0" w:color="auto"/>
            <w:left w:val="none" w:sz="0" w:space="0" w:color="auto"/>
            <w:bottom w:val="none" w:sz="0" w:space="0" w:color="auto"/>
            <w:right w:val="none" w:sz="0" w:space="0" w:color="auto"/>
          </w:divBdr>
        </w:div>
        <w:div w:id="1571966903">
          <w:marLeft w:val="360"/>
          <w:marRight w:val="0"/>
          <w:marTop w:val="200"/>
          <w:marBottom w:val="0"/>
          <w:divBdr>
            <w:top w:val="none" w:sz="0" w:space="0" w:color="auto"/>
            <w:left w:val="none" w:sz="0" w:space="0" w:color="auto"/>
            <w:bottom w:val="none" w:sz="0" w:space="0" w:color="auto"/>
            <w:right w:val="none" w:sz="0" w:space="0" w:color="auto"/>
          </w:divBdr>
        </w:div>
        <w:div w:id="1857572780">
          <w:marLeft w:val="1080"/>
          <w:marRight w:val="0"/>
          <w:marTop w:val="100"/>
          <w:marBottom w:val="0"/>
          <w:divBdr>
            <w:top w:val="none" w:sz="0" w:space="0" w:color="auto"/>
            <w:left w:val="none" w:sz="0" w:space="0" w:color="auto"/>
            <w:bottom w:val="none" w:sz="0" w:space="0" w:color="auto"/>
            <w:right w:val="none" w:sz="0" w:space="0" w:color="auto"/>
          </w:divBdr>
        </w:div>
        <w:div w:id="2080518546">
          <w:marLeft w:val="360"/>
          <w:marRight w:val="0"/>
          <w:marTop w:val="200"/>
          <w:marBottom w:val="0"/>
          <w:divBdr>
            <w:top w:val="none" w:sz="0" w:space="0" w:color="auto"/>
            <w:left w:val="none" w:sz="0" w:space="0" w:color="auto"/>
            <w:bottom w:val="none" w:sz="0" w:space="0" w:color="auto"/>
            <w:right w:val="none" w:sz="0" w:space="0" w:color="auto"/>
          </w:divBdr>
        </w:div>
      </w:divsChild>
    </w:div>
    <w:div w:id="1976989125">
      <w:bodyDiv w:val="1"/>
      <w:marLeft w:val="0"/>
      <w:marRight w:val="0"/>
      <w:marTop w:val="0"/>
      <w:marBottom w:val="0"/>
      <w:divBdr>
        <w:top w:val="none" w:sz="0" w:space="0" w:color="auto"/>
        <w:left w:val="none" w:sz="0" w:space="0" w:color="auto"/>
        <w:bottom w:val="none" w:sz="0" w:space="0" w:color="auto"/>
        <w:right w:val="none" w:sz="0" w:space="0" w:color="auto"/>
      </w:divBdr>
    </w:div>
    <w:div w:id="2028872663">
      <w:bodyDiv w:val="1"/>
      <w:marLeft w:val="0"/>
      <w:marRight w:val="0"/>
      <w:marTop w:val="0"/>
      <w:marBottom w:val="0"/>
      <w:divBdr>
        <w:top w:val="none" w:sz="0" w:space="0" w:color="auto"/>
        <w:left w:val="none" w:sz="0" w:space="0" w:color="auto"/>
        <w:bottom w:val="none" w:sz="0" w:space="0" w:color="auto"/>
        <w:right w:val="none" w:sz="0" w:space="0" w:color="auto"/>
      </w:divBdr>
    </w:div>
    <w:div w:id="2074115487">
      <w:bodyDiv w:val="1"/>
      <w:marLeft w:val="0"/>
      <w:marRight w:val="0"/>
      <w:marTop w:val="0"/>
      <w:marBottom w:val="0"/>
      <w:divBdr>
        <w:top w:val="none" w:sz="0" w:space="0" w:color="auto"/>
        <w:left w:val="none" w:sz="0" w:space="0" w:color="auto"/>
        <w:bottom w:val="none" w:sz="0" w:space="0" w:color="auto"/>
        <w:right w:val="none" w:sz="0" w:space="0" w:color="auto"/>
      </w:divBdr>
    </w:div>
    <w:div w:id="2114546179">
      <w:bodyDiv w:val="1"/>
      <w:marLeft w:val="0"/>
      <w:marRight w:val="0"/>
      <w:marTop w:val="0"/>
      <w:marBottom w:val="0"/>
      <w:divBdr>
        <w:top w:val="none" w:sz="0" w:space="0" w:color="auto"/>
        <w:left w:val="none" w:sz="0" w:space="0" w:color="auto"/>
        <w:bottom w:val="none" w:sz="0" w:space="0" w:color="auto"/>
        <w:right w:val="none" w:sz="0" w:space="0" w:color="auto"/>
      </w:divBdr>
      <w:divsChild>
        <w:div w:id="16777284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mhwc.govt.nz/our-work/he-ara-oranga-wellbeing-outcomes-framework/" TargetMode="External"/><Relationship Id="rId26" Type="http://schemas.openxmlformats.org/officeDocument/2006/relationships/hyperlink" Target="https://www.mhwc.govt.nz/assets/He-Ara-Oranga-wellbeing-outcomes-framework/Data-phase-report/HAO-outcomes-framework-data-phase-report-February-2021-FINAL.pdf" TargetMode="External"/><Relationship Id="rId39" Type="http://schemas.openxmlformats.org/officeDocument/2006/relationships/hyperlink" Target="https://www.hrc.govt.nz/resources/research-repository/pae-ora-collaborations-action" TargetMode="External"/><Relationship Id="rId21" Type="http://schemas.openxmlformats.org/officeDocument/2006/relationships/hyperlink" Target="https://www.mhwc.govt.nz/the-initial-commission/he-ara-oranga-wellbeing-outcomes-framework/co-define-phase/" TargetMode="External"/><Relationship Id="rId34" Type="http://schemas.openxmlformats.org/officeDocument/2006/relationships/diagramColors" Target="diagrams/colors1.xml"/><Relationship Id="rId42" Type="http://schemas.openxmlformats.org/officeDocument/2006/relationships/hyperlink" Target="https://www.imsb.maori.nz/assets/sm/upload/pa/0z/vq/ww/IMSB%20Data%20Issues%202019_d.pdf?k=f44d4d3e73"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mhwc.govt.nz/our-work/assessing-and-monitoring-the-mental-health-and-addiction-system/" TargetMode="External"/><Relationship Id="rId29" Type="http://schemas.openxmlformats.org/officeDocument/2006/relationships/hyperlink" Target="https://www.mhwc.govt.nz/our-work/assessing-and-monitoring-the-mental-health-and-addiction-system/feedback/" TargetMode="External"/><Relationship Id="rId11" Type="http://schemas.openxmlformats.org/officeDocument/2006/relationships/endnotes" Target="endnotes.xml"/><Relationship Id="rId24" Type="http://schemas.openxmlformats.org/officeDocument/2006/relationships/hyperlink" Target="https://www.mhwc.govt.nz/the-initial-commission/he-ara-oranga-wellbeing-outcomes-framework/expert-advisory-group/" TargetMode="External"/><Relationship Id="rId32" Type="http://schemas.openxmlformats.org/officeDocument/2006/relationships/diagramLayout" Target="diagrams/layout1.xml"/><Relationship Id="rId37" Type="http://schemas.openxmlformats.org/officeDocument/2006/relationships/hyperlink" Target="https://www.legislation.govt.nz/act/public/2020/0032/latest/whole.html" TargetMode="External"/><Relationship Id="rId40" Type="http://schemas.openxmlformats.org/officeDocument/2006/relationships/hyperlink" Target="http://www.hpa.org.nz" TargetMode="External"/><Relationship Id="rId45" Type="http://schemas.openxmlformats.org/officeDocument/2006/relationships/hyperlink" Target="https://www.digital.govt.nz/assets/Standards-guidance/Privacy/Data-Protection-and-Use-Policy-DPUP-January-2022-Version-1.2.pdf" TargetMode="External"/><Relationship Id="rId5" Type="http://schemas.openxmlformats.org/officeDocument/2006/relationships/customXml" Target="../customXml/item5.xml"/><Relationship Id="rId15" Type="http://schemas.openxmlformats.org/officeDocument/2006/relationships/hyperlink" Target="http://www.mhwc.govt.nz" TargetMode="External"/><Relationship Id="rId23" Type="http://schemas.openxmlformats.org/officeDocument/2006/relationships/hyperlink" Target="https://www.mhwc.govt.nz/the-initial-commission/he-ara-oranga-wellbeing-outcomes-framework/data-phase/" TargetMode="External"/><Relationship Id="rId28" Type="http://schemas.openxmlformats.org/officeDocument/2006/relationships/hyperlink" Target="https://www.mhwc.govt.nz/assets/Te-Rau-Tira-Wellbeing-Outcomes-Report-2021/Te-Rau-Tira-Wellbeing-Outcomes-Report-2021-FINAL-WEB.pdf" TargetMode="External"/><Relationship Id="rId36" Type="http://schemas.openxmlformats.org/officeDocument/2006/relationships/hyperlink" Target="https://www.mhwc.govt.nz/our-work/access-and-choice-programme/" TargetMode="External"/><Relationship Id="rId49"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mentalhealth.inquiry.govt.nz/inquiry-report/he-ara-oranga/" TargetMode="External"/><Relationship Id="rId31" Type="http://schemas.openxmlformats.org/officeDocument/2006/relationships/diagramData" Target="diagrams/data1.xml"/><Relationship Id="rId44" Type="http://schemas.openxmlformats.org/officeDocument/2006/relationships/hyperlink" Target="https://thehub.swa.govt.nz/assets/Uploads/Whanau-rangatiratanga-frameworks-summary.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hyperlink" Target="https://www.mhwc.govt.nz/the-initial-commission/he-ara-oranga-wellbeing-outcomes-framework/conceptual-framework/" TargetMode="External"/><Relationship Id="rId27" Type="http://schemas.openxmlformats.org/officeDocument/2006/relationships/hyperlink" Target="https://www.mhwc.govt.nz/assets/He-Ara-Oranga-wellbeing-outcomes-framework/30-June-2022/HAO-population-indicators-FINAL.pdf" TargetMode="External"/><Relationship Id="rId30" Type="http://schemas.openxmlformats.org/officeDocument/2006/relationships/hyperlink" Target="https://www.mhwc.govt.nz/assets/Te-Huringa/Finals-1-April-2022/MHWC-Te-Huringa-Service-Monitoring-Report.pdf" TargetMode="External"/><Relationship Id="rId35" Type="http://schemas.microsoft.com/office/2007/relationships/diagramDrawing" Target="diagrams/drawing1.xml"/><Relationship Id="rId43" Type="http://schemas.openxmlformats.org/officeDocument/2006/relationships/hyperlink" Target="https://www.health.govt.nz/publication/whakamaua-maori-health-action-plan-2020-2025"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mhwc.govt.nz/our-work/assessing-and-monitoring-the-mental-health-and-addiction-system/technical-advisory-network/" TargetMode="External"/><Relationship Id="rId25" Type="http://schemas.openxmlformats.org/officeDocument/2006/relationships/hyperlink" Target="https://www.mhwc.govt.nz/the-initial-commission/he-ara-oranga-wellbeing-outcomes-framework/data-phase/technical-advisory-groups/" TargetMode="External"/><Relationship Id="rId33" Type="http://schemas.openxmlformats.org/officeDocument/2006/relationships/diagramQuickStyle" Target="diagrams/quickStyle1.xml"/><Relationship Id="rId38" Type="http://schemas.openxmlformats.org/officeDocument/2006/relationships/hyperlink" Target="https://www.health.govt.nz/publication/te-rau-hinengaro-new-zealand-mental-health-survey" TargetMode="External"/><Relationship Id="rId46" Type="http://schemas.openxmlformats.org/officeDocument/2006/relationships/hyperlink" Target="https://www.temanararaunga.maori.nz/" TargetMode="External"/><Relationship Id="rId20" Type="http://schemas.openxmlformats.org/officeDocument/2006/relationships/hyperlink" Target="https://www.mhwc.govt.nz/the-initial-commission/he-ara-awhina-service-level-monitoring-framework/" TargetMode="External"/><Relationship Id="rId41" Type="http://schemas.openxmlformats.org/officeDocument/2006/relationships/hyperlink" Target="http://oicollective.co.nz/mahi/"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www.procurement.govt.nz/procurement/specialised-procurement/social-services-procurement/developing-a-social-services-procurement-plan/how-to-measure-outcomes-and-outputs/" TargetMode="External"/><Relationship Id="rId1" Type="http://schemas.openxmlformats.org/officeDocument/2006/relationships/hyperlink" Target="https://www.digital.govt.nz/assets/Standards-guidance/Privacy/Data-Protection-and-Use-Policy-DPUP-January-2022-Version-1.2.pdf"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B44256-3310-4B80-9C43-7221DF243CC2}" type="doc">
      <dgm:prSet loTypeId="urn:microsoft.com/office/officeart/2005/8/layout/bProcess4" loCatId="process" qsTypeId="urn:microsoft.com/office/officeart/2005/8/quickstyle/simple1" qsCatId="simple" csTypeId="urn:microsoft.com/office/officeart/2005/8/colors/accent1_1" csCatId="accent1" phldr="1"/>
      <dgm:spPr/>
      <dgm:t>
        <a:bodyPr/>
        <a:lstStyle/>
        <a:p>
          <a:endParaRPr lang="en-NZ"/>
        </a:p>
      </dgm:t>
    </dgm:pt>
    <dgm:pt modelId="{7C10E013-C6F3-4B07-8C03-28ED526F5682}">
      <dgm:prSet phldrT="[Text]" custT="1"/>
      <dgm:spPr>
        <a:solidFill>
          <a:schemeClr val="bg1">
            <a:lumMod val="85000"/>
          </a:schemeClr>
        </a:solidFill>
        <a:ln>
          <a:noFill/>
        </a:ln>
      </dgm:spPr>
      <dgm:t>
        <a:bodyPr/>
        <a:lstStyle/>
        <a:p>
          <a:r>
            <a:rPr lang="en-NZ" sz="1100" b="1" i="1">
              <a:latin typeface="Basic Sans" panose="00000500000000000000" pitchFamily="50" charset="0"/>
              <a:cs typeface="Arial" panose="020B0604020202020204" pitchFamily="34" charset="0"/>
            </a:rPr>
            <a:t>Step 1: </a:t>
          </a:r>
          <a:r>
            <a:rPr lang="en-NZ" sz="1100" b="0" i="1">
              <a:latin typeface="Basic Sans" panose="00000500000000000000" pitchFamily="50" charset="0"/>
              <a:cs typeface="Arial" panose="020B0604020202020204" pitchFamily="34" charset="0"/>
            </a:rPr>
            <a:t>Values and </a:t>
          </a:r>
          <a:r>
            <a:rPr lang="en-NZ" sz="1100" i="1">
              <a:latin typeface="Basic Sans" panose="00000500000000000000" pitchFamily="50" charset="0"/>
              <a:cs typeface="Arial" panose="020B0604020202020204" pitchFamily="34" charset="0"/>
            </a:rPr>
            <a:t>principles to guide our work</a:t>
          </a:r>
        </a:p>
      </dgm:t>
    </dgm:pt>
    <dgm:pt modelId="{A1B0A927-54D7-47E5-9D0B-64991BD357A7}" type="parTrans" cxnId="{752E7F04-48E3-4DEF-ABAA-ACEC3B1F842E}">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B2305A86-069E-4333-8AE9-B4D5C8F632D7}" type="sibTrans" cxnId="{752E7F04-48E3-4DEF-ABAA-ACEC3B1F842E}">
      <dgm:prSet custT="1"/>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45EE7ADC-C974-426D-AA53-DA07254AA253}">
      <dgm:prSet phldrT="[Text]" custT="1"/>
      <dgm:spPr>
        <a:solidFill>
          <a:schemeClr val="bg1">
            <a:lumMod val="85000"/>
          </a:schemeClr>
        </a:solidFill>
        <a:ln>
          <a:noFill/>
        </a:ln>
      </dgm:spPr>
      <dgm:t>
        <a:bodyPr/>
        <a:lstStyle/>
        <a:p>
          <a:r>
            <a:rPr lang="en-NZ" sz="1100" b="1" i="1">
              <a:latin typeface="Basic Sans" panose="00000500000000000000" pitchFamily="50" charset="0"/>
              <a:cs typeface="Arial" panose="020B0604020202020204" pitchFamily="34" charset="0"/>
            </a:rPr>
            <a:t>Step 2: </a:t>
          </a:r>
          <a:r>
            <a:rPr lang="en-NZ" sz="1100" b="0" i="1">
              <a:latin typeface="Basic Sans" panose="00000500000000000000" pitchFamily="50" charset="0"/>
              <a:cs typeface="Arial" panose="020B0604020202020204" pitchFamily="34" charset="0"/>
            </a:rPr>
            <a:t>Confirm</a:t>
          </a:r>
          <a:r>
            <a:rPr lang="en-NZ" sz="1100" i="1">
              <a:latin typeface="Basic Sans" panose="00000500000000000000" pitchFamily="50" charset="0"/>
              <a:cs typeface="Arial" panose="020B0604020202020204" pitchFamily="34" charset="0"/>
            </a:rPr>
            <a:t> data principles</a:t>
          </a:r>
        </a:p>
      </dgm:t>
    </dgm:pt>
    <dgm:pt modelId="{4135D353-F457-466C-98CB-E70683EC2ACA}" type="parTrans" cxnId="{259A0EC1-33F4-4A19-9C6E-91ED96933347}">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5D476E64-50FB-49F0-AA6F-CDFF340C47F4}" type="sibTrans" cxnId="{259A0EC1-33F4-4A19-9C6E-91ED96933347}">
      <dgm:prSet custT="1"/>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E29496F6-3CF7-481B-A7B6-0F3B54BD8354}">
      <dgm:prSet phldrT="[Text]" custT="1"/>
      <dgm:spPr>
        <a:solidFill>
          <a:schemeClr val="bg1">
            <a:lumMod val="85000"/>
          </a:schemeClr>
        </a:solidFill>
        <a:ln w="12700" cap="flat" cmpd="sng" algn="ctr">
          <a:noFill/>
          <a:prstDash val="solid"/>
          <a:miter lim="800000"/>
        </a:ln>
        <a:effectLst/>
      </dgm:spPr>
      <dgm:t>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en-NZ" sz="1100" b="1"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Step 3: </a:t>
          </a:r>
          <a:r>
            <a:rPr lang="en-NZ" sz="1100" b="0"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Confirm our common language (data terminology)</a:t>
          </a:r>
        </a:p>
      </dgm:t>
    </dgm:pt>
    <dgm:pt modelId="{19E03B65-8A29-4649-A127-3E602BB3D484}" type="parTrans" cxnId="{1DF1E9F6-F9DC-4E0C-BDC9-9A5B9DF098A7}">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7EBB45A7-4A0A-44E9-A0E9-6AA7589EA6CF}" type="sibTrans" cxnId="{1DF1E9F6-F9DC-4E0C-BDC9-9A5B9DF098A7}">
      <dgm:prSet custT="1"/>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9484F97F-2429-49AE-8AA2-F0A0ADA16255}">
      <dgm:prSet phldrT="[Text]" custT="1"/>
      <dgm:spPr>
        <a:solidFill>
          <a:schemeClr val="bg1">
            <a:lumMod val="85000"/>
          </a:schemeClr>
        </a:solidFill>
        <a:ln w="12700" cap="flat" cmpd="sng" algn="ctr">
          <a:noFill/>
          <a:prstDash val="solid"/>
          <a:miter lim="800000"/>
        </a:ln>
        <a:effectLst/>
      </dgm:spPr>
      <dgm:t>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en-NZ" sz="1100" b="1"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Step 4: </a:t>
          </a:r>
          <a:r>
            <a:rPr lang="en-NZ" sz="1100" b="0"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Data selection criteria based on our prioritisation framework, but tailored</a:t>
          </a:r>
        </a:p>
      </dgm:t>
    </dgm:pt>
    <dgm:pt modelId="{54523C7E-F29B-46AC-8C96-44F2DDDFE5DD}" type="parTrans" cxnId="{14464F37-BAA9-43DF-B712-DFD5BAFE912B}">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13F2D739-51F6-4946-89C1-350C9A6486AA}" type="sibTrans" cxnId="{14464F37-BAA9-43DF-B712-DFD5BAFE912B}">
      <dgm:prSet custT="1"/>
      <dgm:spPr/>
      <dgm:t>
        <a:bodyPr/>
        <a:lstStyle/>
        <a:p>
          <a:endParaRPr lang="en-NZ" sz="1200">
            <a:solidFill>
              <a:sysClr val="windowText" lastClr="000000"/>
            </a:solidFill>
            <a:latin typeface="Basic Sans" panose="00000500000000000000" pitchFamily="50" charset="0"/>
            <a:cs typeface="Arial" panose="020B0604020202020204" pitchFamily="34" charset="0"/>
          </a:endParaRPr>
        </a:p>
      </dgm:t>
    </dgm:pt>
    <dgm:pt modelId="{B0DE2521-8371-4D37-92C2-36264620E6EB}">
      <dgm:prSet phldrT="[Text]" custT="1"/>
      <dgm:spPr>
        <a:solidFill>
          <a:schemeClr val="bg1">
            <a:lumMod val="85000"/>
          </a:schemeClr>
        </a:solidFill>
        <a:ln>
          <a:noFill/>
        </a:ln>
      </dgm:spPr>
      <dgm:t>
        <a:bodyPr/>
        <a:lstStyle/>
        <a:p>
          <a:r>
            <a:rPr lang="en-NZ" sz="1100" b="1">
              <a:latin typeface="Basic Sans" panose="00000500000000000000" pitchFamily="50" charset="0"/>
              <a:cs typeface="Arial" panose="020B0604020202020204" pitchFamily="34" charset="0"/>
            </a:rPr>
            <a:t>Step 8: </a:t>
          </a:r>
          <a:r>
            <a:rPr lang="en-NZ" sz="1100">
              <a:latin typeface="Basic Sans" panose="00000500000000000000" pitchFamily="50" charset="0"/>
              <a:cs typeface="Arial" panose="020B0604020202020204" pitchFamily="34" charset="0"/>
            </a:rPr>
            <a:t>Understand the data gaps, timing, and quality issues</a:t>
          </a:r>
        </a:p>
      </dgm:t>
    </dgm:pt>
    <dgm:pt modelId="{CEA429B7-A9C7-4AF2-81B8-0F35BF52D6E7}" type="parTrans" cxnId="{6B3D6C75-9E0E-42C0-9FAE-8A215E7FCE59}">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A5F44BCD-89AD-42D5-8643-25F0BC43C8FB}" type="sibTrans" cxnId="{6B3D6C75-9E0E-42C0-9FAE-8A215E7FCE59}">
      <dgm:prSet custT="1"/>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A64E1ED9-536B-48EA-9F99-92748F3B26B1}">
      <dgm:prSet phldrT="[Text]" custT="1"/>
      <dgm:spPr>
        <a:solidFill>
          <a:srgbClr val="FFFFFF">
            <a:lumMod val="85000"/>
          </a:srgbClr>
        </a:solidFill>
        <a:ln w="12700" cap="flat" cmpd="sng" algn="ctr">
          <a:noFill/>
          <a:prstDash val="solid"/>
          <a:miter lim="800000"/>
        </a:ln>
        <a:effectLst/>
      </dgm:spPr>
      <dgm:t>
        <a:bodyPr spcFirstLastPara="0" vert="horz" wrap="square" lIns="53340" tIns="53340" rIns="53340" bIns="53340" numCol="1" spcCol="1270" anchor="ctr" anchorCtr="0"/>
        <a:lstStyle/>
        <a:p>
          <a:r>
            <a:rPr lang="en-NZ" sz="1100" b="1" dirty="0">
              <a:latin typeface="Basic Sans" panose="00000500000000000000" pitchFamily="50" charset="0"/>
              <a:cs typeface="Arial" panose="020B0604020202020204" pitchFamily="34" charset="0"/>
            </a:rPr>
            <a:t>Step 11: </a:t>
          </a:r>
          <a:r>
            <a:rPr lang="en-NZ" sz="1100" b="0" dirty="0">
              <a:latin typeface="Basic Sans" panose="00000500000000000000" pitchFamily="50" charset="0"/>
              <a:cs typeface="Arial" panose="020B0604020202020204" pitchFamily="34" charset="0"/>
            </a:rPr>
            <a:t>Discuss </a:t>
          </a:r>
          <a:r>
            <a:rPr lang="en-NZ" sz="1100" dirty="0">
              <a:latin typeface="Basic Sans" panose="00000500000000000000" pitchFamily="50" charset="0"/>
              <a:cs typeface="Arial" panose="020B0604020202020204" pitchFamily="34" charset="0"/>
            </a:rPr>
            <a:t>pathway forward for next phase of methods and measures (revisit Step 8)</a:t>
          </a:r>
        </a:p>
      </dgm:t>
    </dgm:pt>
    <dgm:pt modelId="{904AE4CF-EEFA-4B48-B727-66E5E72A4887}" type="parTrans" cxnId="{222870BC-5482-4730-AAC1-3AEBEF56897A}">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09D9F987-492E-410F-B3C6-A7B1A23BA656}" type="sibTrans" cxnId="{222870BC-5482-4730-AAC1-3AEBEF56897A}">
      <dgm:prSet custT="1"/>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5AD9144D-D3FD-4D13-BEE3-831D35316E44}">
      <dgm:prSet phldrT="[Text]" custT="1"/>
      <dgm:spPr>
        <a:solidFill>
          <a:schemeClr val="bg1">
            <a:lumMod val="85000"/>
          </a:schemeClr>
        </a:solidFill>
        <a:ln w="12700">
          <a:noFill/>
        </a:ln>
      </dgm:spPr>
      <dgm:t>
        <a:bodyPr/>
        <a:lstStyle/>
        <a:p>
          <a:r>
            <a:rPr lang="en-NZ" sz="1100" b="1" dirty="0">
              <a:latin typeface="Basic Sans" panose="00000500000000000000" pitchFamily="50" charset="0"/>
              <a:cs typeface="Arial" panose="020B0604020202020204" pitchFamily="34" charset="0"/>
            </a:rPr>
            <a:t>Step 9: </a:t>
          </a:r>
          <a:r>
            <a:rPr lang="en-NZ" sz="1100" dirty="0">
              <a:latin typeface="Basic Sans" panose="00000500000000000000" pitchFamily="50" charset="0"/>
              <a:cs typeface="Arial" panose="020B0604020202020204" pitchFamily="34" charset="0"/>
            </a:rPr>
            <a:t>Prioritise methods/measures and explain why (short list)</a:t>
          </a:r>
        </a:p>
      </dgm:t>
    </dgm:pt>
    <dgm:pt modelId="{DBED26DF-83AB-4233-AE0F-DFD55CB2796C}" type="parTrans" cxnId="{D85D14E8-3917-4FFF-885F-EDCA38269119}">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E04E2B5A-9D9E-4FF5-85DC-9BB5136F772D}" type="sibTrans" cxnId="{D85D14E8-3917-4FFF-885F-EDCA38269119}">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6FBB8EEB-5633-45B6-8DDB-16F6E018E6B9}">
      <dgm:prSet phldrT="[Text]" custT="1"/>
      <dgm:spPr>
        <a:solidFill>
          <a:srgbClr val="FFFFFF">
            <a:lumMod val="85000"/>
          </a:srgbClr>
        </a:solidFill>
        <a:ln w="12700" cap="flat" cmpd="sng" algn="ctr">
          <a:noFill/>
          <a:prstDash val="solid"/>
          <a:miter lim="800000"/>
        </a:ln>
        <a:effectLst/>
      </dgm:spPr>
      <dgm:t>
        <a:bodyPr spcFirstLastPara="0" vert="horz" wrap="square" lIns="53340" tIns="53340" rIns="53340" bIns="53340" numCol="1" spcCol="1270" anchor="ctr" anchorCtr="0"/>
        <a:lstStyle/>
        <a:p>
          <a:r>
            <a:rPr lang="en-NZ" sz="1100" b="1" dirty="0">
              <a:latin typeface="Basic Sans" panose="00000500000000000000" pitchFamily="50" charset="0"/>
              <a:cs typeface="Arial" panose="020B0604020202020204" pitchFamily="34" charset="0"/>
            </a:rPr>
            <a:t>Step 6: </a:t>
          </a:r>
          <a:r>
            <a:rPr lang="en-NZ" sz="1100" dirty="0">
              <a:latin typeface="Basic Sans" panose="00000500000000000000" pitchFamily="50" charset="0"/>
              <a:cs typeface="Arial" panose="020B0604020202020204" pitchFamily="34" charset="0"/>
            </a:rPr>
            <a:t>Map available data to the framework, creating a longlist of measures</a:t>
          </a:r>
        </a:p>
      </dgm:t>
    </dgm:pt>
    <dgm:pt modelId="{4208DD04-9278-428D-847B-97B1A79DD348}" type="parTrans" cxnId="{EE6B719B-53FF-47AE-ACFA-7ACCD84B4C62}">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8DBB8DFB-20D9-4C4A-8581-BEF2BE117B7F}" type="sibTrans" cxnId="{EE6B719B-53FF-47AE-ACFA-7ACCD84B4C62}">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F7722736-589D-498F-9793-919188F3BB9C}">
      <dgm:prSet phldrT="[Text]" custT="1"/>
      <dgm:spPr>
        <a:solidFill>
          <a:schemeClr val="bg1">
            <a:lumMod val="85000"/>
          </a:schemeClr>
        </a:solidFill>
        <a:ln w="12700">
          <a:noFill/>
        </a:ln>
      </dgm:spPr>
      <dgm:t>
        <a:bodyPr/>
        <a:lstStyle/>
        <a:p>
          <a:r>
            <a:rPr lang="en-NZ" sz="1100" b="1" dirty="0">
              <a:latin typeface="Basic Sans" panose="00000500000000000000" pitchFamily="50" charset="0"/>
              <a:cs typeface="Arial" panose="020B0604020202020204" pitchFamily="34" charset="0"/>
            </a:rPr>
            <a:t>Step 7: </a:t>
          </a:r>
          <a:r>
            <a:rPr lang="en-NZ" sz="1100" dirty="0">
              <a:latin typeface="Basic Sans" panose="00000500000000000000" pitchFamily="50" charset="0"/>
              <a:cs typeface="Arial" panose="020B0604020202020204" pitchFamily="34" charset="0"/>
            </a:rPr>
            <a:t>Refine longlist against criteria. TAN to advise and review.</a:t>
          </a:r>
        </a:p>
      </dgm:t>
    </dgm:pt>
    <dgm:pt modelId="{70D57C3F-6257-4175-8A7E-5199C6E22DF3}" type="parTrans" cxnId="{B0EDDC74-48F8-4574-8560-9863AB475928}">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D9F4E9E2-8B7A-4CAD-B3CA-0AD6E6F1406A}" type="sibTrans" cxnId="{B0EDDC74-48F8-4574-8560-9863AB475928}">
      <dgm:prSet/>
      <dgm:spPr/>
      <dgm:t>
        <a:bodyPr/>
        <a:lstStyle/>
        <a:p>
          <a:endParaRPr lang="en-NZ" sz="1400">
            <a:solidFill>
              <a:sysClr val="windowText" lastClr="000000"/>
            </a:solidFill>
            <a:latin typeface="Arial" panose="020B0604020202020204" pitchFamily="34" charset="0"/>
            <a:cs typeface="Arial" panose="020B0604020202020204" pitchFamily="34" charset="0"/>
          </a:endParaRPr>
        </a:p>
      </dgm:t>
    </dgm:pt>
    <dgm:pt modelId="{3105233C-4823-4B22-90D1-B54759510A28}">
      <dgm:prSet phldrT="[Text]" custT="1"/>
      <dgm:spPr>
        <a:solidFill>
          <a:srgbClr val="FFFFFF">
            <a:lumMod val="85000"/>
          </a:srgbClr>
        </a:solidFill>
        <a:ln w="12700" cap="flat" cmpd="sng" algn="ctr">
          <a:noFill/>
          <a:prstDash val="solid"/>
          <a:miter lim="800000"/>
        </a:ln>
        <a:effectLst/>
      </dgm:spPr>
      <dgm:t>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en-NZ" sz="1100" b="1"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Step 5: </a:t>
          </a:r>
          <a:r>
            <a:rPr lang="en-NZ" sz="1100" b="0"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Update data stocktake</a:t>
          </a:r>
        </a:p>
      </dgm:t>
    </dgm:pt>
    <dgm:pt modelId="{A77FD0EC-8D91-48FC-9228-4B467C360530}" type="parTrans" cxnId="{7A51BF32-72F5-401F-9148-B3982277A1BE}">
      <dgm:prSet/>
      <dgm:spPr/>
      <dgm:t>
        <a:bodyPr/>
        <a:lstStyle/>
        <a:p>
          <a:endParaRPr lang="en-NZ" sz="1400">
            <a:solidFill>
              <a:sysClr val="windowText" lastClr="000000"/>
            </a:solidFill>
          </a:endParaRPr>
        </a:p>
      </dgm:t>
    </dgm:pt>
    <dgm:pt modelId="{994E08E1-39A7-4805-9553-3DDF56AC635E}" type="sibTrans" cxnId="{7A51BF32-72F5-401F-9148-B3982277A1BE}">
      <dgm:prSet/>
      <dgm:spPr/>
      <dgm:t>
        <a:bodyPr/>
        <a:lstStyle/>
        <a:p>
          <a:endParaRPr lang="en-NZ" sz="1400">
            <a:solidFill>
              <a:sysClr val="windowText" lastClr="000000"/>
            </a:solidFill>
          </a:endParaRPr>
        </a:p>
      </dgm:t>
    </dgm:pt>
    <dgm:pt modelId="{F3125630-7FD2-4724-AD9B-BC5C83CF1473}">
      <dgm:prSet custT="1"/>
      <dgm:spPr>
        <a:solidFill>
          <a:srgbClr val="FFFFFF">
            <a:lumMod val="85000"/>
          </a:srgbClr>
        </a:solidFill>
        <a:ln w="12700" cap="flat" cmpd="sng" algn="ctr">
          <a:noFill/>
          <a:prstDash val="solid"/>
          <a:miter lim="800000"/>
        </a:ln>
        <a:effectLst/>
      </dgm:spPr>
      <dgm:t>
        <a:bodyPr spcFirstLastPara="0" vert="horz" wrap="square" lIns="53340" tIns="53340" rIns="53340" bIns="53340" numCol="1" spcCol="1270" anchor="ctr" anchorCtr="0"/>
        <a:lstStyle/>
        <a:p>
          <a:r>
            <a:rPr lang="mi-NZ" sz="1100" b="1" kern="1200" dirty="0" err="1">
              <a:latin typeface="Basic Sans" panose="00000500000000000000" pitchFamily="50" charset="0"/>
              <a:cs typeface="Arial" panose="020B0604020202020204" pitchFamily="34" charset="0"/>
            </a:rPr>
            <a:t>Step</a:t>
          </a:r>
          <a:r>
            <a:rPr lang="mi-NZ" sz="1100" b="1" kern="1200" dirty="0">
              <a:latin typeface="Basic Sans" panose="00000500000000000000" pitchFamily="50" charset="0"/>
              <a:cs typeface="Arial" panose="020B0604020202020204" pitchFamily="34" charset="0"/>
            </a:rPr>
            <a:t> 10: </a:t>
          </a:r>
          <a:r>
            <a:rPr lang="mi-NZ" sz="1100" kern="1200" dirty="0">
              <a:latin typeface="Basic Sans" panose="00000500000000000000" pitchFamily="50" charset="0"/>
              <a:cs typeface="Arial" panose="020B0604020202020204" pitchFamily="34" charset="0"/>
            </a:rPr>
            <a:t>R</a:t>
          </a:r>
          <a:r>
            <a:rPr lang="en-NZ" sz="1100" kern="1200" dirty="0" err="1">
              <a:latin typeface="Basic Sans" panose="00000500000000000000" pitchFamily="50" charset="0"/>
              <a:cs typeface="Arial" panose="020B0604020202020204" pitchFamily="34" charset="0"/>
            </a:rPr>
            <a:t>eport</a:t>
          </a:r>
          <a:r>
            <a:rPr lang="en-NZ" sz="1100" kern="1200" dirty="0">
              <a:latin typeface="Basic Sans" panose="00000500000000000000" pitchFamily="50" charset="0"/>
              <a:cs typeface="Arial" panose="020B0604020202020204" pitchFamily="34" charset="0"/>
            </a:rPr>
            <a:t> summarising phase 1 of the development, methods and </a:t>
          </a:r>
          <a:r>
            <a:rPr lang="en-NZ" sz="1100" b="0"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measures</a:t>
          </a:r>
          <a:r>
            <a:rPr lang="en-NZ" sz="1100" kern="1200" dirty="0">
              <a:latin typeface="Basic Sans" panose="00000500000000000000" pitchFamily="50" charset="0"/>
              <a:cs typeface="Arial" panose="020B0604020202020204" pitchFamily="34" charset="0"/>
            </a:rPr>
            <a:t>, data gaps</a:t>
          </a:r>
        </a:p>
      </dgm:t>
    </dgm:pt>
    <dgm:pt modelId="{F3CE2972-E11D-4468-B1CA-7045AD3DB95D}" type="parTrans" cxnId="{F73BE4C3-886A-4DFF-BDDC-B19CAB9D64EC}">
      <dgm:prSet/>
      <dgm:spPr/>
      <dgm:t>
        <a:bodyPr/>
        <a:lstStyle/>
        <a:p>
          <a:endParaRPr lang="en-NZ"/>
        </a:p>
      </dgm:t>
    </dgm:pt>
    <dgm:pt modelId="{B9576C3B-4660-4564-9E53-4EB8B44C03EF}" type="sibTrans" cxnId="{F73BE4C3-886A-4DFF-BDDC-B19CAB9D64EC}">
      <dgm:prSet/>
      <dgm:spPr/>
      <dgm:t>
        <a:bodyPr/>
        <a:lstStyle/>
        <a:p>
          <a:endParaRPr lang="en-NZ"/>
        </a:p>
      </dgm:t>
    </dgm:pt>
    <dgm:pt modelId="{EF5550BC-E342-4EC0-8C4E-878FB893D3DA}" type="pres">
      <dgm:prSet presAssocID="{B5B44256-3310-4B80-9C43-7221DF243CC2}" presName="Name0" presStyleCnt="0">
        <dgm:presLayoutVars>
          <dgm:dir/>
          <dgm:resizeHandles/>
        </dgm:presLayoutVars>
      </dgm:prSet>
      <dgm:spPr/>
    </dgm:pt>
    <dgm:pt modelId="{F7EE559F-9466-42E1-B123-BBA291274137}" type="pres">
      <dgm:prSet presAssocID="{7C10E013-C6F3-4B07-8C03-28ED526F5682}" presName="compNode" presStyleCnt="0"/>
      <dgm:spPr/>
    </dgm:pt>
    <dgm:pt modelId="{0F58F1F1-54EA-42BC-B445-354BBDDA3F24}" type="pres">
      <dgm:prSet presAssocID="{7C10E013-C6F3-4B07-8C03-28ED526F5682}" presName="dummyConnPt" presStyleCnt="0"/>
      <dgm:spPr/>
    </dgm:pt>
    <dgm:pt modelId="{437D65A0-DA5C-4584-B52D-C3AAAF008083}" type="pres">
      <dgm:prSet presAssocID="{7C10E013-C6F3-4B07-8C03-28ED526F5682}" presName="node" presStyleLbl="node1" presStyleIdx="0" presStyleCnt="11" custScaleX="118914">
        <dgm:presLayoutVars>
          <dgm:bulletEnabled val="1"/>
        </dgm:presLayoutVars>
      </dgm:prSet>
      <dgm:spPr/>
    </dgm:pt>
    <dgm:pt modelId="{AD8AFF4F-A382-46BE-833E-D8C65E8CDB9A}" type="pres">
      <dgm:prSet presAssocID="{B2305A86-069E-4333-8AE9-B4D5C8F632D7}" presName="sibTrans" presStyleLbl="bgSibTrans2D1" presStyleIdx="0" presStyleCnt="10"/>
      <dgm:spPr/>
    </dgm:pt>
    <dgm:pt modelId="{A61CE208-455E-480A-BD58-8A7DB7114228}" type="pres">
      <dgm:prSet presAssocID="{45EE7ADC-C974-426D-AA53-DA07254AA253}" presName="compNode" presStyleCnt="0"/>
      <dgm:spPr/>
    </dgm:pt>
    <dgm:pt modelId="{6AF952D1-F97F-4FBD-B249-3E8861C2DC9A}" type="pres">
      <dgm:prSet presAssocID="{45EE7ADC-C974-426D-AA53-DA07254AA253}" presName="dummyConnPt" presStyleCnt="0"/>
      <dgm:spPr/>
    </dgm:pt>
    <dgm:pt modelId="{BEDD09E8-5F62-42FA-8107-FA8CCD5B4870}" type="pres">
      <dgm:prSet presAssocID="{45EE7ADC-C974-426D-AA53-DA07254AA253}" presName="node" presStyleLbl="node1" presStyleIdx="1" presStyleCnt="11" custScaleX="118914">
        <dgm:presLayoutVars>
          <dgm:bulletEnabled val="1"/>
        </dgm:presLayoutVars>
      </dgm:prSet>
      <dgm:spPr/>
    </dgm:pt>
    <dgm:pt modelId="{A62CC30A-FAF0-47DF-BAB5-820E3AD97245}" type="pres">
      <dgm:prSet presAssocID="{5D476E64-50FB-49F0-AA6F-CDFF340C47F4}" presName="sibTrans" presStyleLbl="bgSibTrans2D1" presStyleIdx="1" presStyleCnt="10"/>
      <dgm:spPr/>
    </dgm:pt>
    <dgm:pt modelId="{03609DE9-9654-407A-9F88-F241D8348D23}" type="pres">
      <dgm:prSet presAssocID="{E29496F6-3CF7-481B-A7B6-0F3B54BD8354}" presName="compNode" presStyleCnt="0"/>
      <dgm:spPr/>
    </dgm:pt>
    <dgm:pt modelId="{87FE6070-5DC9-4A1E-A823-39DEC16A4B29}" type="pres">
      <dgm:prSet presAssocID="{E29496F6-3CF7-481B-A7B6-0F3B54BD8354}" presName="dummyConnPt" presStyleCnt="0"/>
      <dgm:spPr/>
    </dgm:pt>
    <dgm:pt modelId="{5143405C-87EA-4F95-B73D-3D933F67E6CF}" type="pres">
      <dgm:prSet presAssocID="{E29496F6-3CF7-481B-A7B6-0F3B54BD8354}" presName="node" presStyleLbl="node1" presStyleIdx="2" presStyleCnt="11" custScaleX="118914">
        <dgm:presLayoutVars>
          <dgm:bulletEnabled val="1"/>
        </dgm:presLayoutVars>
      </dgm:prSet>
      <dgm:spPr>
        <a:xfrm>
          <a:off x="1177702" y="3065416"/>
          <a:ext cx="2042563" cy="1225537"/>
        </a:xfrm>
        <a:prstGeom prst="roundRect">
          <a:avLst>
            <a:gd name="adj" fmla="val 10000"/>
          </a:avLst>
        </a:prstGeom>
      </dgm:spPr>
    </dgm:pt>
    <dgm:pt modelId="{50F28565-0933-4C25-BDA8-4492B5212630}" type="pres">
      <dgm:prSet presAssocID="{7EBB45A7-4A0A-44E9-A0E9-6AA7589EA6CF}" presName="sibTrans" presStyleLbl="bgSibTrans2D1" presStyleIdx="2" presStyleCnt="10"/>
      <dgm:spPr/>
    </dgm:pt>
    <dgm:pt modelId="{12E3CE0B-9AE1-4D7A-AD05-16DE0A87CDE4}" type="pres">
      <dgm:prSet presAssocID="{9484F97F-2429-49AE-8AA2-F0A0ADA16255}" presName="compNode" presStyleCnt="0"/>
      <dgm:spPr/>
    </dgm:pt>
    <dgm:pt modelId="{70C8C5D6-4E4B-4E44-B4BA-1F5944AC7CB3}" type="pres">
      <dgm:prSet presAssocID="{9484F97F-2429-49AE-8AA2-F0A0ADA16255}" presName="dummyConnPt" presStyleCnt="0"/>
      <dgm:spPr/>
    </dgm:pt>
    <dgm:pt modelId="{15276369-51AE-4590-B1CA-2A512B53144B}" type="pres">
      <dgm:prSet presAssocID="{9484F97F-2429-49AE-8AA2-F0A0ADA16255}" presName="node" presStyleLbl="node1" presStyleIdx="3" presStyleCnt="11" custScaleX="118914">
        <dgm:presLayoutVars>
          <dgm:bulletEnabled val="1"/>
        </dgm:presLayoutVars>
      </dgm:prSet>
      <dgm:spPr>
        <a:xfrm>
          <a:off x="1177702" y="4597339"/>
          <a:ext cx="2042563" cy="1225537"/>
        </a:xfrm>
        <a:prstGeom prst="roundRect">
          <a:avLst>
            <a:gd name="adj" fmla="val 10000"/>
          </a:avLst>
        </a:prstGeom>
      </dgm:spPr>
    </dgm:pt>
    <dgm:pt modelId="{C3D08F8D-069F-4BB2-92C7-7FAAD9223B4A}" type="pres">
      <dgm:prSet presAssocID="{13F2D739-51F6-4946-89C1-350C9A6486AA}" presName="sibTrans" presStyleLbl="bgSibTrans2D1" presStyleIdx="3" presStyleCnt="10"/>
      <dgm:spPr/>
    </dgm:pt>
    <dgm:pt modelId="{D3C58A8D-22B0-44B5-A533-64794AB53A04}" type="pres">
      <dgm:prSet presAssocID="{3105233C-4823-4B22-90D1-B54759510A28}" presName="compNode" presStyleCnt="0"/>
      <dgm:spPr/>
    </dgm:pt>
    <dgm:pt modelId="{F0BF3340-101C-4CC6-A1FD-C255ADDDAB7C}" type="pres">
      <dgm:prSet presAssocID="{3105233C-4823-4B22-90D1-B54759510A28}" presName="dummyConnPt" presStyleCnt="0"/>
      <dgm:spPr/>
    </dgm:pt>
    <dgm:pt modelId="{FE0EF30E-5DED-48F6-9ECF-1C9F95C09623}" type="pres">
      <dgm:prSet presAssocID="{3105233C-4823-4B22-90D1-B54759510A28}" presName="node" presStyleLbl="node1" presStyleIdx="4" presStyleCnt="11" custScaleX="118914">
        <dgm:presLayoutVars>
          <dgm:bulletEnabled val="1"/>
        </dgm:presLayoutVars>
      </dgm:prSet>
      <dgm:spPr>
        <a:xfrm>
          <a:off x="3894310" y="4597339"/>
          <a:ext cx="2042563" cy="1225537"/>
        </a:xfrm>
        <a:prstGeom prst="roundRect">
          <a:avLst>
            <a:gd name="adj" fmla="val 10000"/>
          </a:avLst>
        </a:prstGeom>
      </dgm:spPr>
    </dgm:pt>
    <dgm:pt modelId="{FCE7731E-558F-4A10-810C-7BB5C8388001}" type="pres">
      <dgm:prSet presAssocID="{994E08E1-39A7-4805-9553-3DDF56AC635E}" presName="sibTrans" presStyleLbl="bgSibTrans2D1" presStyleIdx="4" presStyleCnt="10"/>
      <dgm:spPr/>
    </dgm:pt>
    <dgm:pt modelId="{8E6F4272-28D1-4995-B0EA-55DB288C0A7D}" type="pres">
      <dgm:prSet presAssocID="{6FBB8EEB-5633-45B6-8DDB-16F6E018E6B9}" presName="compNode" presStyleCnt="0"/>
      <dgm:spPr/>
    </dgm:pt>
    <dgm:pt modelId="{CD6B76DF-7A70-4F12-AF20-28137216E522}" type="pres">
      <dgm:prSet presAssocID="{6FBB8EEB-5633-45B6-8DDB-16F6E018E6B9}" presName="dummyConnPt" presStyleCnt="0"/>
      <dgm:spPr/>
    </dgm:pt>
    <dgm:pt modelId="{4B323339-6A90-4E9E-AF43-84261D204AB2}" type="pres">
      <dgm:prSet presAssocID="{6FBB8EEB-5633-45B6-8DDB-16F6E018E6B9}" presName="node" presStyleLbl="node1" presStyleIdx="5" presStyleCnt="11" custScaleX="118914">
        <dgm:presLayoutVars>
          <dgm:bulletEnabled val="1"/>
        </dgm:presLayoutVars>
      </dgm:prSet>
      <dgm:spPr>
        <a:xfrm>
          <a:off x="3894310" y="3065416"/>
          <a:ext cx="2042563" cy="1225537"/>
        </a:xfrm>
        <a:prstGeom prst="roundRect">
          <a:avLst>
            <a:gd name="adj" fmla="val 10000"/>
          </a:avLst>
        </a:prstGeom>
      </dgm:spPr>
    </dgm:pt>
    <dgm:pt modelId="{09E7BDE1-E7B6-435E-87EF-512F62DFE651}" type="pres">
      <dgm:prSet presAssocID="{8DBB8DFB-20D9-4C4A-8581-BEF2BE117B7F}" presName="sibTrans" presStyleLbl="bgSibTrans2D1" presStyleIdx="5" presStyleCnt="10"/>
      <dgm:spPr/>
    </dgm:pt>
    <dgm:pt modelId="{B64B2D64-83DB-46C1-91B0-E3878C8F76B9}" type="pres">
      <dgm:prSet presAssocID="{F7722736-589D-498F-9793-919188F3BB9C}" presName="compNode" presStyleCnt="0"/>
      <dgm:spPr/>
    </dgm:pt>
    <dgm:pt modelId="{AF3B79E8-FDB6-4D49-9E1D-327973452745}" type="pres">
      <dgm:prSet presAssocID="{F7722736-589D-498F-9793-919188F3BB9C}" presName="dummyConnPt" presStyleCnt="0"/>
      <dgm:spPr/>
    </dgm:pt>
    <dgm:pt modelId="{31F064EC-7326-450B-982F-2A1F4011CC80}" type="pres">
      <dgm:prSet presAssocID="{F7722736-589D-498F-9793-919188F3BB9C}" presName="node" presStyleLbl="node1" presStyleIdx="6" presStyleCnt="11" custScaleX="118914">
        <dgm:presLayoutVars>
          <dgm:bulletEnabled val="1"/>
        </dgm:presLayoutVars>
      </dgm:prSet>
      <dgm:spPr/>
    </dgm:pt>
    <dgm:pt modelId="{BC81CD91-7C44-4D45-BF90-EE31C234B15C}" type="pres">
      <dgm:prSet presAssocID="{D9F4E9E2-8B7A-4CAD-B3CA-0AD6E6F1406A}" presName="sibTrans" presStyleLbl="bgSibTrans2D1" presStyleIdx="6" presStyleCnt="10"/>
      <dgm:spPr/>
    </dgm:pt>
    <dgm:pt modelId="{D0D62B46-DA48-4B07-B5DC-0C53C5A63BCB}" type="pres">
      <dgm:prSet presAssocID="{B0DE2521-8371-4D37-92C2-36264620E6EB}" presName="compNode" presStyleCnt="0"/>
      <dgm:spPr/>
    </dgm:pt>
    <dgm:pt modelId="{7376DA3E-339D-4A43-80E7-5C780279F468}" type="pres">
      <dgm:prSet presAssocID="{B0DE2521-8371-4D37-92C2-36264620E6EB}" presName="dummyConnPt" presStyleCnt="0"/>
      <dgm:spPr/>
    </dgm:pt>
    <dgm:pt modelId="{CF527123-B4D6-4288-A85B-576D7213D76C}" type="pres">
      <dgm:prSet presAssocID="{B0DE2521-8371-4D37-92C2-36264620E6EB}" presName="node" presStyleLbl="node1" presStyleIdx="7" presStyleCnt="11" custScaleX="118914">
        <dgm:presLayoutVars>
          <dgm:bulletEnabled val="1"/>
        </dgm:presLayoutVars>
      </dgm:prSet>
      <dgm:spPr/>
    </dgm:pt>
    <dgm:pt modelId="{1C155F3A-F882-4A2E-B2C1-240FBA4E705A}" type="pres">
      <dgm:prSet presAssocID="{A5F44BCD-89AD-42D5-8643-25F0BC43C8FB}" presName="sibTrans" presStyleLbl="bgSibTrans2D1" presStyleIdx="7" presStyleCnt="10"/>
      <dgm:spPr/>
    </dgm:pt>
    <dgm:pt modelId="{FF1579A6-D67E-41AC-8052-AE8B62C8B1D0}" type="pres">
      <dgm:prSet presAssocID="{5AD9144D-D3FD-4D13-BEE3-831D35316E44}" presName="compNode" presStyleCnt="0"/>
      <dgm:spPr/>
    </dgm:pt>
    <dgm:pt modelId="{FEDD3F87-38C7-4D3D-A268-23D6FFD84E6C}" type="pres">
      <dgm:prSet presAssocID="{5AD9144D-D3FD-4D13-BEE3-831D35316E44}" presName="dummyConnPt" presStyleCnt="0"/>
      <dgm:spPr/>
    </dgm:pt>
    <dgm:pt modelId="{57BD7C9F-8CF3-45E0-8E3A-23EF999E9195}" type="pres">
      <dgm:prSet presAssocID="{5AD9144D-D3FD-4D13-BEE3-831D35316E44}" presName="node" presStyleLbl="node1" presStyleIdx="8" presStyleCnt="11" custScaleX="118914">
        <dgm:presLayoutVars>
          <dgm:bulletEnabled val="1"/>
        </dgm:presLayoutVars>
      </dgm:prSet>
      <dgm:spPr/>
    </dgm:pt>
    <dgm:pt modelId="{58115110-8CEA-4E2E-97CB-BF8853E1108E}" type="pres">
      <dgm:prSet presAssocID="{E04E2B5A-9D9E-4FF5-85DC-9BB5136F772D}" presName="sibTrans" presStyleLbl="bgSibTrans2D1" presStyleIdx="8" presStyleCnt="10"/>
      <dgm:spPr/>
    </dgm:pt>
    <dgm:pt modelId="{D8A73C65-B13A-43CD-B416-65C9A441ACEA}" type="pres">
      <dgm:prSet presAssocID="{F3125630-7FD2-4724-AD9B-BC5C83CF1473}" presName="compNode" presStyleCnt="0"/>
      <dgm:spPr/>
    </dgm:pt>
    <dgm:pt modelId="{9D33E1B7-2397-442D-90A5-6AE965ACD498}" type="pres">
      <dgm:prSet presAssocID="{F3125630-7FD2-4724-AD9B-BC5C83CF1473}" presName="dummyConnPt" presStyleCnt="0"/>
      <dgm:spPr/>
    </dgm:pt>
    <dgm:pt modelId="{9E9950AF-FA72-4173-9C98-ADA8BC966B5F}" type="pres">
      <dgm:prSet presAssocID="{F3125630-7FD2-4724-AD9B-BC5C83CF1473}" presName="node" presStyleLbl="node1" presStyleIdx="9" presStyleCnt="11" custScaleX="118914">
        <dgm:presLayoutVars>
          <dgm:bulletEnabled val="1"/>
        </dgm:presLayoutVars>
      </dgm:prSet>
      <dgm:spPr>
        <a:xfrm>
          <a:off x="6610919" y="1533494"/>
          <a:ext cx="2042563" cy="1225537"/>
        </a:xfrm>
        <a:prstGeom prst="roundRect">
          <a:avLst>
            <a:gd name="adj" fmla="val 10000"/>
          </a:avLst>
        </a:prstGeom>
      </dgm:spPr>
    </dgm:pt>
    <dgm:pt modelId="{374251A4-805E-407E-A666-84EE1FB0CE0C}" type="pres">
      <dgm:prSet presAssocID="{B9576C3B-4660-4564-9E53-4EB8B44C03EF}" presName="sibTrans" presStyleLbl="bgSibTrans2D1" presStyleIdx="9" presStyleCnt="10"/>
      <dgm:spPr/>
    </dgm:pt>
    <dgm:pt modelId="{8C9F6825-C522-4BD1-BD1A-AF9D90DC7B0F}" type="pres">
      <dgm:prSet presAssocID="{A64E1ED9-536B-48EA-9F99-92748F3B26B1}" presName="compNode" presStyleCnt="0"/>
      <dgm:spPr/>
    </dgm:pt>
    <dgm:pt modelId="{E349C698-B106-4601-9ED2-4756D1D8906A}" type="pres">
      <dgm:prSet presAssocID="{A64E1ED9-536B-48EA-9F99-92748F3B26B1}" presName="dummyConnPt" presStyleCnt="0"/>
      <dgm:spPr/>
    </dgm:pt>
    <dgm:pt modelId="{05722C43-8420-40F7-8798-D1B107129E8D}" type="pres">
      <dgm:prSet presAssocID="{A64E1ED9-536B-48EA-9F99-92748F3B26B1}" presName="node" presStyleLbl="node1" presStyleIdx="10" presStyleCnt="11" custScaleX="118914">
        <dgm:presLayoutVars>
          <dgm:bulletEnabled val="1"/>
        </dgm:presLayoutVars>
      </dgm:prSet>
      <dgm:spPr>
        <a:xfrm>
          <a:off x="6610919" y="3065416"/>
          <a:ext cx="2042563" cy="1225537"/>
        </a:xfrm>
        <a:prstGeom prst="roundRect">
          <a:avLst>
            <a:gd name="adj" fmla="val 10000"/>
          </a:avLst>
        </a:prstGeom>
      </dgm:spPr>
    </dgm:pt>
  </dgm:ptLst>
  <dgm:cxnLst>
    <dgm:cxn modelId="{752E7F04-48E3-4DEF-ABAA-ACEC3B1F842E}" srcId="{B5B44256-3310-4B80-9C43-7221DF243CC2}" destId="{7C10E013-C6F3-4B07-8C03-28ED526F5682}" srcOrd="0" destOrd="0" parTransId="{A1B0A927-54D7-47E5-9D0B-64991BD357A7}" sibTransId="{B2305A86-069E-4333-8AE9-B4D5C8F632D7}"/>
    <dgm:cxn modelId="{213E1E14-1320-46A0-9FD7-500E5E5AD6BB}" type="presOf" srcId="{45EE7ADC-C974-426D-AA53-DA07254AA253}" destId="{BEDD09E8-5F62-42FA-8107-FA8CCD5B4870}" srcOrd="0" destOrd="0" presId="urn:microsoft.com/office/officeart/2005/8/layout/bProcess4"/>
    <dgm:cxn modelId="{9974EA1A-4FB0-4F43-8B9B-86756C30CF56}" type="presOf" srcId="{994E08E1-39A7-4805-9553-3DDF56AC635E}" destId="{FCE7731E-558F-4A10-810C-7BB5C8388001}" srcOrd="0" destOrd="0" presId="urn:microsoft.com/office/officeart/2005/8/layout/bProcess4"/>
    <dgm:cxn modelId="{0440511D-D8E4-4580-AC8A-8D423A718A27}" type="presOf" srcId="{F3125630-7FD2-4724-AD9B-BC5C83CF1473}" destId="{9E9950AF-FA72-4173-9C98-ADA8BC966B5F}" srcOrd="0" destOrd="0" presId="urn:microsoft.com/office/officeart/2005/8/layout/bProcess4"/>
    <dgm:cxn modelId="{98E42A2D-C48B-4E17-ACDD-444ED5AC44E4}" type="presOf" srcId="{5AD9144D-D3FD-4D13-BEE3-831D35316E44}" destId="{57BD7C9F-8CF3-45E0-8E3A-23EF999E9195}" srcOrd="0" destOrd="0" presId="urn:microsoft.com/office/officeart/2005/8/layout/bProcess4"/>
    <dgm:cxn modelId="{7A51BF32-72F5-401F-9148-B3982277A1BE}" srcId="{B5B44256-3310-4B80-9C43-7221DF243CC2}" destId="{3105233C-4823-4B22-90D1-B54759510A28}" srcOrd="4" destOrd="0" parTransId="{A77FD0EC-8D91-48FC-9228-4B467C360530}" sibTransId="{994E08E1-39A7-4805-9553-3DDF56AC635E}"/>
    <dgm:cxn modelId="{14464F37-BAA9-43DF-B712-DFD5BAFE912B}" srcId="{B5B44256-3310-4B80-9C43-7221DF243CC2}" destId="{9484F97F-2429-49AE-8AA2-F0A0ADA16255}" srcOrd="3" destOrd="0" parTransId="{54523C7E-F29B-46AC-8C96-44F2DDDFE5DD}" sibTransId="{13F2D739-51F6-4946-89C1-350C9A6486AA}"/>
    <dgm:cxn modelId="{C3E28B3D-6652-409E-985A-DBFAA6A24404}" type="presOf" srcId="{8DBB8DFB-20D9-4C4A-8581-BEF2BE117B7F}" destId="{09E7BDE1-E7B6-435E-87EF-512F62DFE651}" srcOrd="0" destOrd="0" presId="urn:microsoft.com/office/officeart/2005/8/layout/bProcess4"/>
    <dgm:cxn modelId="{D934973E-A67D-4F15-B9EE-1F0D506A70A6}" type="presOf" srcId="{D9F4E9E2-8B7A-4CAD-B3CA-0AD6E6F1406A}" destId="{BC81CD91-7C44-4D45-BF90-EE31C234B15C}" srcOrd="0" destOrd="0" presId="urn:microsoft.com/office/officeart/2005/8/layout/bProcess4"/>
    <dgm:cxn modelId="{EEFD1560-E024-4090-B9B3-2A3B21B9B4F2}" type="presOf" srcId="{F7722736-589D-498F-9793-919188F3BB9C}" destId="{31F064EC-7326-450B-982F-2A1F4011CC80}" srcOrd="0" destOrd="0" presId="urn:microsoft.com/office/officeart/2005/8/layout/bProcess4"/>
    <dgm:cxn modelId="{9C92EF68-9ACF-4B08-8E72-DB9D501B3CBB}" type="presOf" srcId="{7EBB45A7-4A0A-44E9-A0E9-6AA7589EA6CF}" destId="{50F28565-0933-4C25-BDA8-4492B5212630}" srcOrd="0" destOrd="0" presId="urn:microsoft.com/office/officeart/2005/8/layout/bProcess4"/>
    <dgm:cxn modelId="{54A13E4D-C88B-4824-A2D4-4DA7D3695E94}" type="presOf" srcId="{6FBB8EEB-5633-45B6-8DDB-16F6E018E6B9}" destId="{4B323339-6A90-4E9E-AF43-84261D204AB2}" srcOrd="0" destOrd="0" presId="urn:microsoft.com/office/officeart/2005/8/layout/bProcess4"/>
    <dgm:cxn modelId="{D679A973-FF4D-4C07-B23A-9661C5050C93}" type="presOf" srcId="{E29496F6-3CF7-481B-A7B6-0F3B54BD8354}" destId="{5143405C-87EA-4F95-B73D-3D933F67E6CF}" srcOrd="0" destOrd="0" presId="urn:microsoft.com/office/officeart/2005/8/layout/bProcess4"/>
    <dgm:cxn modelId="{B0EDDC74-48F8-4574-8560-9863AB475928}" srcId="{B5B44256-3310-4B80-9C43-7221DF243CC2}" destId="{F7722736-589D-498F-9793-919188F3BB9C}" srcOrd="6" destOrd="0" parTransId="{70D57C3F-6257-4175-8A7E-5199C6E22DF3}" sibTransId="{D9F4E9E2-8B7A-4CAD-B3CA-0AD6E6F1406A}"/>
    <dgm:cxn modelId="{6B3D6C75-9E0E-42C0-9FAE-8A215E7FCE59}" srcId="{B5B44256-3310-4B80-9C43-7221DF243CC2}" destId="{B0DE2521-8371-4D37-92C2-36264620E6EB}" srcOrd="7" destOrd="0" parTransId="{CEA429B7-A9C7-4AF2-81B8-0F35BF52D6E7}" sibTransId="{A5F44BCD-89AD-42D5-8643-25F0BC43C8FB}"/>
    <dgm:cxn modelId="{EFA0F579-D1E0-461E-97FC-5BF7F1184E65}" type="presOf" srcId="{7C10E013-C6F3-4B07-8C03-28ED526F5682}" destId="{437D65A0-DA5C-4584-B52D-C3AAAF008083}" srcOrd="0" destOrd="0" presId="urn:microsoft.com/office/officeart/2005/8/layout/bProcess4"/>
    <dgm:cxn modelId="{5D009F7B-AD27-45F2-AD00-B969173441EA}" type="presOf" srcId="{A64E1ED9-536B-48EA-9F99-92748F3B26B1}" destId="{05722C43-8420-40F7-8798-D1B107129E8D}" srcOrd="0" destOrd="0" presId="urn:microsoft.com/office/officeart/2005/8/layout/bProcess4"/>
    <dgm:cxn modelId="{F2637788-32DF-4DC4-BA96-D712B456BC88}" type="presOf" srcId="{B2305A86-069E-4333-8AE9-B4D5C8F632D7}" destId="{AD8AFF4F-A382-46BE-833E-D8C65E8CDB9A}" srcOrd="0" destOrd="0" presId="urn:microsoft.com/office/officeart/2005/8/layout/bProcess4"/>
    <dgm:cxn modelId="{01A05A94-7CAD-4EF2-9E49-37EAB6AC6F71}" type="presOf" srcId="{5D476E64-50FB-49F0-AA6F-CDFF340C47F4}" destId="{A62CC30A-FAF0-47DF-BAB5-820E3AD97245}" srcOrd="0" destOrd="0" presId="urn:microsoft.com/office/officeart/2005/8/layout/bProcess4"/>
    <dgm:cxn modelId="{EE6B719B-53FF-47AE-ACFA-7ACCD84B4C62}" srcId="{B5B44256-3310-4B80-9C43-7221DF243CC2}" destId="{6FBB8EEB-5633-45B6-8DDB-16F6E018E6B9}" srcOrd="5" destOrd="0" parTransId="{4208DD04-9278-428D-847B-97B1A79DD348}" sibTransId="{8DBB8DFB-20D9-4C4A-8581-BEF2BE117B7F}"/>
    <dgm:cxn modelId="{EDF471A3-5AAE-4C42-8422-4AC5B90CCCEE}" type="presOf" srcId="{3105233C-4823-4B22-90D1-B54759510A28}" destId="{FE0EF30E-5DED-48F6-9ECF-1C9F95C09623}" srcOrd="0" destOrd="0" presId="urn:microsoft.com/office/officeart/2005/8/layout/bProcess4"/>
    <dgm:cxn modelId="{0A53E9B7-1889-48FC-88ED-008400B80403}" type="presOf" srcId="{A5F44BCD-89AD-42D5-8643-25F0BC43C8FB}" destId="{1C155F3A-F882-4A2E-B2C1-240FBA4E705A}" srcOrd="0" destOrd="0" presId="urn:microsoft.com/office/officeart/2005/8/layout/bProcess4"/>
    <dgm:cxn modelId="{222870BC-5482-4730-AAC1-3AEBEF56897A}" srcId="{B5B44256-3310-4B80-9C43-7221DF243CC2}" destId="{A64E1ED9-536B-48EA-9F99-92748F3B26B1}" srcOrd="10" destOrd="0" parTransId="{904AE4CF-EEFA-4B48-B727-66E5E72A4887}" sibTransId="{09D9F987-492E-410F-B3C6-A7B1A23BA656}"/>
    <dgm:cxn modelId="{259A0EC1-33F4-4A19-9C6E-91ED96933347}" srcId="{B5B44256-3310-4B80-9C43-7221DF243CC2}" destId="{45EE7ADC-C974-426D-AA53-DA07254AA253}" srcOrd="1" destOrd="0" parTransId="{4135D353-F457-466C-98CB-E70683EC2ACA}" sibTransId="{5D476E64-50FB-49F0-AA6F-CDFF340C47F4}"/>
    <dgm:cxn modelId="{F73BE4C3-886A-4DFF-BDDC-B19CAB9D64EC}" srcId="{B5B44256-3310-4B80-9C43-7221DF243CC2}" destId="{F3125630-7FD2-4724-AD9B-BC5C83CF1473}" srcOrd="9" destOrd="0" parTransId="{F3CE2972-E11D-4468-B1CA-7045AD3DB95D}" sibTransId="{B9576C3B-4660-4564-9E53-4EB8B44C03EF}"/>
    <dgm:cxn modelId="{7DE248CC-5F05-461C-858E-FE66EA142343}" type="presOf" srcId="{B0DE2521-8371-4D37-92C2-36264620E6EB}" destId="{CF527123-B4D6-4288-A85B-576D7213D76C}" srcOrd="0" destOrd="0" presId="urn:microsoft.com/office/officeart/2005/8/layout/bProcess4"/>
    <dgm:cxn modelId="{A864F3E6-2907-4C8B-9A1E-739898E8A39A}" type="presOf" srcId="{B5B44256-3310-4B80-9C43-7221DF243CC2}" destId="{EF5550BC-E342-4EC0-8C4E-878FB893D3DA}" srcOrd="0" destOrd="0" presId="urn:microsoft.com/office/officeart/2005/8/layout/bProcess4"/>
    <dgm:cxn modelId="{D85D14E8-3917-4FFF-885F-EDCA38269119}" srcId="{B5B44256-3310-4B80-9C43-7221DF243CC2}" destId="{5AD9144D-D3FD-4D13-BEE3-831D35316E44}" srcOrd="8" destOrd="0" parTransId="{DBED26DF-83AB-4233-AE0F-DFD55CB2796C}" sibTransId="{E04E2B5A-9D9E-4FF5-85DC-9BB5136F772D}"/>
    <dgm:cxn modelId="{C39072EB-BEFE-42C4-B0DE-F8F4D6513B3F}" type="presOf" srcId="{E04E2B5A-9D9E-4FF5-85DC-9BB5136F772D}" destId="{58115110-8CEA-4E2E-97CB-BF8853E1108E}" srcOrd="0" destOrd="0" presId="urn:microsoft.com/office/officeart/2005/8/layout/bProcess4"/>
    <dgm:cxn modelId="{BD59F4ED-BD85-4392-A8A5-E25186ECF666}" type="presOf" srcId="{13F2D739-51F6-4946-89C1-350C9A6486AA}" destId="{C3D08F8D-069F-4BB2-92C7-7FAAD9223B4A}" srcOrd="0" destOrd="0" presId="urn:microsoft.com/office/officeart/2005/8/layout/bProcess4"/>
    <dgm:cxn modelId="{B3DBE8F4-5A5F-462D-BD00-D68479A1AF0C}" type="presOf" srcId="{9484F97F-2429-49AE-8AA2-F0A0ADA16255}" destId="{15276369-51AE-4590-B1CA-2A512B53144B}" srcOrd="0" destOrd="0" presId="urn:microsoft.com/office/officeart/2005/8/layout/bProcess4"/>
    <dgm:cxn modelId="{F60A6AF5-5BC3-4517-92E8-F1EA68EEB096}" type="presOf" srcId="{B9576C3B-4660-4564-9E53-4EB8B44C03EF}" destId="{374251A4-805E-407E-A666-84EE1FB0CE0C}" srcOrd="0" destOrd="0" presId="urn:microsoft.com/office/officeart/2005/8/layout/bProcess4"/>
    <dgm:cxn modelId="{1DF1E9F6-F9DC-4E0C-BDC9-9A5B9DF098A7}" srcId="{B5B44256-3310-4B80-9C43-7221DF243CC2}" destId="{E29496F6-3CF7-481B-A7B6-0F3B54BD8354}" srcOrd="2" destOrd="0" parTransId="{19E03B65-8A29-4649-A127-3E602BB3D484}" sibTransId="{7EBB45A7-4A0A-44E9-A0E9-6AA7589EA6CF}"/>
    <dgm:cxn modelId="{C87D804D-958E-4358-ADB2-C323E866B71E}" type="presParOf" srcId="{EF5550BC-E342-4EC0-8C4E-878FB893D3DA}" destId="{F7EE559F-9466-42E1-B123-BBA291274137}" srcOrd="0" destOrd="0" presId="urn:microsoft.com/office/officeart/2005/8/layout/bProcess4"/>
    <dgm:cxn modelId="{FB2EFDD5-0713-48AC-BF66-3EB82E3BC9D1}" type="presParOf" srcId="{F7EE559F-9466-42E1-B123-BBA291274137}" destId="{0F58F1F1-54EA-42BC-B445-354BBDDA3F24}" srcOrd="0" destOrd="0" presId="urn:microsoft.com/office/officeart/2005/8/layout/bProcess4"/>
    <dgm:cxn modelId="{BAFE9E42-7435-4601-B00B-FEA5B93AAC59}" type="presParOf" srcId="{F7EE559F-9466-42E1-B123-BBA291274137}" destId="{437D65A0-DA5C-4584-B52D-C3AAAF008083}" srcOrd="1" destOrd="0" presId="urn:microsoft.com/office/officeart/2005/8/layout/bProcess4"/>
    <dgm:cxn modelId="{7EC8AD11-DCE6-4DDC-8208-1614904F3367}" type="presParOf" srcId="{EF5550BC-E342-4EC0-8C4E-878FB893D3DA}" destId="{AD8AFF4F-A382-46BE-833E-D8C65E8CDB9A}" srcOrd="1" destOrd="0" presId="urn:microsoft.com/office/officeart/2005/8/layout/bProcess4"/>
    <dgm:cxn modelId="{9CFE5A1B-EAA6-4DD8-926C-D500078C6BA2}" type="presParOf" srcId="{EF5550BC-E342-4EC0-8C4E-878FB893D3DA}" destId="{A61CE208-455E-480A-BD58-8A7DB7114228}" srcOrd="2" destOrd="0" presId="urn:microsoft.com/office/officeart/2005/8/layout/bProcess4"/>
    <dgm:cxn modelId="{4DB3A0AE-C8D6-4338-A2FE-77F3892A0C20}" type="presParOf" srcId="{A61CE208-455E-480A-BD58-8A7DB7114228}" destId="{6AF952D1-F97F-4FBD-B249-3E8861C2DC9A}" srcOrd="0" destOrd="0" presId="urn:microsoft.com/office/officeart/2005/8/layout/bProcess4"/>
    <dgm:cxn modelId="{00A89E4C-3FDB-42F6-9D7B-B27916B21FC1}" type="presParOf" srcId="{A61CE208-455E-480A-BD58-8A7DB7114228}" destId="{BEDD09E8-5F62-42FA-8107-FA8CCD5B4870}" srcOrd="1" destOrd="0" presId="urn:microsoft.com/office/officeart/2005/8/layout/bProcess4"/>
    <dgm:cxn modelId="{BDFCAC3D-0A37-4BE7-A085-2F37C0963C45}" type="presParOf" srcId="{EF5550BC-E342-4EC0-8C4E-878FB893D3DA}" destId="{A62CC30A-FAF0-47DF-BAB5-820E3AD97245}" srcOrd="3" destOrd="0" presId="urn:microsoft.com/office/officeart/2005/8/layout/bProcess4"/>
    <dgm:cxn modelId="{ED4420D5-96C2-4A67-B080-3B86E67F452C}" type="presParOf" srcId="{EF5550BC-E342-4EC0-8C4E-878FB893D3DA}" destId="{03609DE9-9654-407A-9F88-F241D8348D23}" srcOrd="4" destOrd="0" presId="urn:microsoft.com/office/officeart/2005/8/layout/bProcess4"/>
    <dgm:cxn modelId="{3646B280-F97F-4D7B-A1A7-D7E058A8D8BA}" type="presParOf" srcId="{03609DE9-9654-407A-9F88-F241D8348D23}" destId="{87FE6070-5DC9-4A1E-A823-39DEC16A4B29}" srcOrd="0" destOrd="0" presId="urn:microsoft.com/office/officeart/2005/8/layout/bProcess4"/>
    <dgm:cxn modelId="{6FDEF45E-FF8C-4D95-B6CB-BC4B24B87446}" type="presParOf" srcId="{03609DE9-9654-407A-9F88-F241D8348D23}" destId="{5143405C-87EA-4F95-B73D-3D933F67E6CF}" srcOrd="1" destOrd="0" presId="urn:microsoft.com/office/officeart/2005/8/layout/bProcess4"/>
    <dgm:cxn modelId="{DF2EE5FF-5B98-4DBB-B1F0-884BD653B174}" type="presParOf" srcId="{EF5550BC-E342-4EC0-8C4E-878FB893D3DA}" destId="{50F28565-0933-4C25-BDA8-4492B5212630}" srcOrd="5" destOrd="0" presId="urn:microsoft.com/office/officeart/2005/8/layout/bProcess4"/>
    <dgm:cxn modelId="{361B672F-BF8F-457E-9D36-57814536C161}" type="presParOf" srcId="{EF5550BC-E342-4EC0-8C4E-878FB893D3DA}" destId="{12E3CE0B-9AE1-4D7A-AD05-16DE0A87CDE4}" srcOrd="6" destOrd="0" presId="urn:microsoft.com/office/officeart/2005/8/layout/bProcess4"/>
    <dgm:cxn modelId="{7BA98F66-159A-49E8-BD91-4258934F8B74}" type="presParOf" srcId="{12E3CE0B-9AE1-4D7A-AD05-16DE0A87CDE4}" destId="{70C8C5D6-4E4B-4E44-B4BA-1F5944AC7CB3}" srcOrd="0" destOrd="0" presId="urn:microsoft.com/office/officeart/2005/8/layout/bProcess4"/>
    <dgm:cxn modelId="{E4E65853-8837-4233-9DAD-7E9562EB0D60}" type="presParOf" srcId="{12E3CE0B-9AE1-4D7A-AD05-16DE0A87CDE4}" destId="{15276369-51AE-4590-B1CA-2A512B53144B}" srcOrd="1" destOrd="0" presId="urn:microsoft.com/office/officeart/2005/8/layout/bProcess4"/>
    <dgm:cxn modelId="{65483732-07BE-4E74-99FF-F878A8CDF73E}" type="presParOf" srcId="{EF5550BC-E342-4EC0-8C4E-878FB893D3DA}" destId="{C3D08F8D-069F-4BB2-92C7-7FAAD9223B4A}" srcOrd="7" destOrd="0" presId="urn:microsoft.com/office/officeart/2005/8/layout/bProcess4"/>
    <dgm:cxn modelId="{FFC4741B-F15C-4D5E-AA25-4E5897FB3759}" type="presParOf" srcId="{EF5550BC-E342-4EC0-8C4E-878FB893D3DA}" destId="{D3C58A8D-22B0-44B5-A533-64794AB53A04}" srcOrd="8" destOrd="0" presId="urn:microsoft.com/office/officeart/2005/8/layout/bProcess4"/>
    <dgm:cxn modelId="{309EDCC4-F781-43E4-8B1C-F12E4F8AC268}" type="presParOf" srcId="{D3C58A8D-22B0-44B5-A533-64794AB53A04}" destId="{F0BF3340-101C-4CC6-A1FD-C255ADDDAB7C}" srcOrd="0" destOrd="0" presId="urn:microsoft.com/office/officeart/2005/8/layout/bProcess4"/>
    <dgm:cxn modelId="{5A9DEE76-7084-439A-975C-F2B8CB294E96}" type="presParOf" srcId="{D3C58A8D-22B0-44B5-A533-64794AB53A04}" destId="{FE0EF30E-5DED-48F6-9ECF-1C9F95C09623}" srcOrd="1" destOrd="0" presId="urn:microsoft.com/office/officeart/2005/8/layout/bProcess4"/>
    <dgm:cxn modelId="{05542E3F-52B9-4F99-B8A1-41318CEC4612}" type="presParOf" srcId="{EF5550BC-E342-4EC0-8C4E-878FB893D3DA}" destId="{FCE7731E-558F-4A10-810C-7BB5C8388001}" srcOrd="9" destOrd="0" presId="urn:microsoft.com/office/officeart/2005/8/layout/bProcess4"/>
    <dgm:cxn modelId="{2C7EBEAC-AB70-42A9-B5D5-C6F597135A8E}" type="presParOf" srcId="{EF5550BC-E342-4EC0-8C4E-878FB893D3DA}" destId="{8E6F4272-28D1-4995-B0EA-55DB288C0A7D}" srcOrd="10" destOrd="0" presId="urn:microsoft.com/office/officeart/2005/8/layout/bProcess4"/>
    <dgm:cxn modelId="{30133CE4-1E64-46C1-90E3-DA533A533F78}" type="presParOf" srcId="{8E6F4272-28D1-4995-B0EA-55DB288C0A7D}" destId="{CD6B76DF-7A70-4F12-AF20-28137216E522}" srcOrd="0" destOrd="0" presId="urn:microsoft.com/office/officeart/2005/8/layout/bProcess4"/>
    <dgm:cxn modelId="{C8811459-560F-4618-B6B4-78EED43AD78D}" type="presParOf" srcId="{8E6F4272-28D1-4995-B0EA-55DB288C0A7D}" destId="{4B323339-6A90-4E9E-AF43-84261D204AB2}" srcOrd="1" destOrd="0" presId="urn:microsoft.com/office/officeart/2005/8/layout/bProcess4"/>
    <dgm:cxn modelId="{454A029A-EFF2-4842-BD02-CD371A33E980}" type="presParOf" srcId="{EF5550BC-E342-4EC0-8C4E-878FB893D3DA}" destId="{09E7BDE1-E7B6-435E-87EF-512F62DFE651}" srcOrd="11" destOrd="0" presId="urn:microsoft.com/office/officeart/2005/8/layout/bProcess4"/>
    <dgm:cxn modelId="{71A1F5E2-57C8-4B96-928A-C775A10D2A96}" type="presParOf" srcId="{EF5550BC-E342-4EC0-8C4E-878FB893D3DA}" destId="{B64B2D64-83DB-46C1-91B0-E3878C8F76B9}" srcOrd="12" destOrd="0" presId="urn:microsoft.com/office/officeart/2005/8/layout/bProcess4"/>
    <dgm:cxn modelId="{5A447BDA-F450-40B7-BF0E-22811B657B38}" type="presParOf" srcId="{B64B2D64-83DB-46C1-91B0-E3878C8F76B9}" destId="{AF3B79E8-FDB6-4D49-9E1D-327973452745}" srcOrd="0" destOrd="0" presId="urn:microsoft.com/office/officeart/2005/8/layout/bProcess4"/>
    <dgm:cxn modelId="{2A349EC8-4458-4CB2-94E4-5A824B91F838}" type="presParOf" srcId="{B64B2D64-83DB-46C1-91B0-E3878C8F76B9}" destId="{31F064EC-7326-450B-982F-2A1F4011CC80}" srcOrd="1" destOrd="0" presId="urn:microsoft.com/office/officeart/2005/8/layout/bProcess4"/>
    <dgm:cxn modelId="{075A3348-E485-4676-AC09-7C47A18DDFD1}" type="presParOf" srcId="{EF5550BC-E342-4EC0-8C4E-878FB893D3DA}" destId="{BC81CD91-7C44-4D45-BF90-EE31C234B15C}" srcOrd="13" destOrd="0" presId="urn:microsoft.com/office/officeart/2005/8/layout/bProcess4"/>
    <dgm:cxn modelId="{B07F7A3C-7601-413F-B95F-D24291DA7369}" type="presParOf" srcId="{EF5550BC-E342-4EC0-8C4E-878FB893D3DA}" destId="{D0D62B46-DA48-4B07-B5DC-0C53C5A63BCB}" srcOrd="14" destOrd="0" presId="urn:microsoft.com/office/officeart/2005/8/layout/bProcess4"/>
    <dgm:cxn modelId="{20D0B846-2DEB-46B6-8953-29D96B208201}" type="presParOf" srcId="{D0D62B46-DA48-4B07-B5DC-0C53C5A63BCB}" destId="{7376DA3E-339D-4A43-80E7-5C780279F468}" srcOrd="0" destOrd="0" presId="urn:microsoft.com/office/officeart/2005/8/layout/bProcess4"/>
    <dgm:cxn modelId="{ED250693-D4A1-4970-B301-C40A6CF41EBF}" type="presParOf" srcId="{D0D62B46-DA48-4B07-B5DC-0C53C5A63BCB}" destId="{CF527123-B4D6-4288-A85B-576D7213D76C}" srcOrd="1" destOrd="0" presId="urn:microsoft.com/office/officeart/2005/8/layout/bProcess4"/>
    <dgm:cxn modelId="{A4834859-ACCA-4F8A-BF46-6BE470E1CFBB}" type="presParOf" srcId="{EF5550BC-E342-4EC0-8C4E-878FB893D3DA}" destId="{1C155F3A-F882-4A2E-B2C1-240FBA4E705A}" srcOrd="15" destOrd="0" presId="urn:microsoft.com/office/officeart/2005/8/layout/bProcess4"/>
    <dgm:cxn modelId="{A9B588AF-002E-455E-8B30-4AD57F170461}" type="presParOf" srcId="{EF5550BC-E342-4EC0-8C4E-878FB893D3DA}" destId="{FF1579A6-D67E-41AC-8052-AE8B62C8B1D0}" srcOrd="16" destOrd="0" presId="urn:microsoft.com/office/officeart/2005/8/layout/bProcess4"/>
    <dgm:cxn modelId="{3670762A-21A9-4F0F-94A0-0DF6AC0B4D6C}" type="presParOf" srcId="{FF1579A6-D67E-41AC-8052-AE8B62C8B1D0}" destId="{FEDD3F87-38C7-4D3D-A268-23D6FFD84E6C}" srcOrd="0" destOrd="0" presId="urn:microsoft.com/office/officeart/2005/8/layout/bProcess4"/>
    <dgm:cxn modelId="{3F4EF5B1-DC6F-4D8A-A916-52ADD8F3179C}" type="presParOf" srcId="{FF1579A6-D67E-41AC-8052-AE8B62C8B1D0}" destId="{57BD7C9F-8CF3-45E0-8E3A-23EF999E9195}" srcOrd="1" destOrd="0" presId="urn:microsoft.com/office/officeart/2005/8/layout/bProcess4"/>
    <dgm:cxn modelId="{BD66B320-8F9A-4E91-B7E5-52FDE665641E}" type="presParOf" srcId="{EF5550BC-E342-4EC0-8C4E-878FB893D3DA}" destId="{58115110-8CEA-4E2E-97CB-BF8853E1108E}" srcOrd="17" destOrd="0" presId="urn:microsoft.com/office/officeart/2005/8/layout/bProcess4"/>
    <dgm:cxn modelId="{45117405-2022-4216-90FA-792820772D87}" type="presParOf" srcId="{EF5550BC-E342-4EC0-8C4E-878FB893D3DA}" destId="{D8A73C65-B13A-43CD-B416-65C9A441ACEA}" srcOrd="18" destOrd="0" presId="urn:microsoft.com/office/officeart/2005/8/layout/bProcess4"/>
    <dgm:cxn modelId="{6A796E18-84AA-4A30-AD9D-D1A8B37CEF11}" type="presParOf" srcId="{D8A73C65-B13A-43CD-B416-65C9A441ACEA}" destId="{9D33E1B7-2397-442D-90A5-6AE965ACD498}" srcOrd="0" destOrd="0" presId="urn:microsoft.com/office/officeart/2005/8/layout/bProcess4"/>
    <dgm:cxn modelId="{D689FFEA-5D94-4A6E-A821-D5261358090B}" type="presParOf" srcId="{D8A73C65-B13A-43CD-B416-65C9A441ACEA}" destId="{9E9950AF-FA72-4173-9C98-ADA8BC966B5F}" srcOrd="1" destOrd="0" presId="urn:microsoft.com/office/officeart/2005/8/layout/bProcess4"/>
    <dgm:cxn modelId="{DE43F57F-5526-4D66-8E8B-619A5E18E6D1}" type="presParOf" srcId="{EF5550BC-E342-4EC0-8C4E-878FB893D3DA}" destId="{374251A4-805E-407E-A666-84EE1FB0CE0C}" srcOrd="19" destOrd="0" presId="urn:microsoft.com/office/officeart/2005/8/layout/bProcess4"/>
    <dgm:cxn modelId="{3D513C0A-90B7-4FC0-90E9-81EB5BC11FAB}" type="presParOf" srcId="{EF5550BC-E342-4EC0-8C4E-878FB893D3DA}" destId="{8C9F6825-C522-4BD1-BD1A-AF9D90DC7B0F}" srcOrd="20" destOrd="0" presId="urn:microsoft.com/office/officeart/2005/8/layout/bProcess4"/>
    <dgm:cxn modelId="{55B5AD8F-6634-4D77-8411-FD0C3A410C2C}" type="presParOf" srcId="{8C9F6825-C522-4BD1-BD1A-AF9D90DC7B0F}" destId="{E349C698-B106-4601-9ED2-4756D1D8906A}" srcOrd="0" destOrd="0" presId="urn:microsoft.com/office/officeart/2005/8/layout/bProcess4"/>
    <dgm:cxn modelId="{2DD883E7-22CE-40C3-AEFE-E138D886A8F6}" type="presParOf" srcId="{8C9F6825-C522-4BD1-BD1A-AF9D90DC7B0F}" destId="{05722C43-8420-40F7-8798-D1B107129E8D}" srcOrd="1" destOrd="0" presId="urn:microsoft.com/office/officeart/2005/8/layout/bProcess4"/>
  </dgm:cxnLst>
  <dgm:bg/>
  <dgm:whole>
    <a:ln>
      <a:noFill/>
    </a:ln>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8AFF4F-A382-46BE-833E-D8C65E8CDB9A}">
      <dsp:nvSpPr>
        <dsp:cNvPr id="0" name=""/>
        <dsp:cNvSpPr/>
      </dsp:nvSpPr>
      <dsp:spPr>
        <a:xfrm rot="5400000">
          <a:off x="229685" y="642204"/>
          <a:ext cx="999845" cy="12089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37D65A0-DA5C-4584-B52D-C3AAAF008083}">
      <dsp:nvSpPr>
        <dsp:cNvPr id="0" name=""/>
        <dsp:cNvSpPr/>
      </dsp:nvSpPr>
      <dsp:spPr>
        <a:xfrm>
          <a:off x="330098" y="323"/>
          <a:ext cx="1597371" cy="805979"/>
        </a:xfrm>
        <a:prstGeom prst="roundRect">
          <a:avLst>
            <a:gd name="adj" fmla="val 10000"/>
          </a:avLst>
        </a:prstGeom>
        <a:solidFill>
          <a:schemeClr val="bg1">
            <a:lumMod val="8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b="1" i="1" kern="1200">
              <a:latin typeface="Basic Sans" panose="00000500000000000000" pitchFamily="50" charset="0"/>
              <a:cs typeface="Arial" panose="020B0604020202020204" pitchFamily="34" charset="0"/>
            </a:rPr>
            <a:t>Step 1: </a:t>
          </a:r>
          <a:r>
            <a:rPr lang="en-NZ" sz="1100" b="0" i="1" kern="1200">
              <a:latin typeface="Basic Sans" panose="00000500000000000000" pitchFamily="50" charset="0"/>
              <a:cs typeface="Arial" panose="020B0604020202020204" pitchFamily="34" charset="0"/>
            </a:rPr>
            <a:t>Values and </a:t>
          </a:r>
          <a:r>
            <a:rPr lang="en-NZ" sz="1100" i="1" kern="1200">
              <a:latin typeface="Basic Sans" panose="00000500000000000000" pitchFamily="50" charset="0"/>
              <a:cs typeface="Arial" panose="020B0604020202020204" pitchFamily="34" charset="0"/>
            </a:rPr>
            <a:t>principles to guide our work</a:t>
          </a:r>
        </a:p>
      </dsp:txBody>
      <dsp:txXfrm>
        <a:off x="353704" y="23929"/>
        <a:ext cx="1550159" cy="758767"/>
      </dsp:txXfrm>
    </dsp:sp>
    <dsp:sp modelId="{A62CC30A-FAF0-47DF-BAB5-820E3AD97245}">
      <dsp:nvSpPr>
        <dsp:cNvPr id="0" name=""/>
        <dsp:cNvSpPr/>
      </dsp:nvSpPr>
      <dsp:spPr>
        <a:xfrm rot="5400000">
          <a:off x="229685" y="1649679"/>
          <a:ext cx="999845" cy="12089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DD09E8-5F62-42FA-8107-FA8CCD5B4870}">
      <dsp:nvSpPr>
        <dsp:cNvPr id="0" name=""/>
        <dsp:cNvSpPr/>
      </dsp:nvSpPr>
      <dsp:spPr>
        <a:xfrm>
          <a:off x="330098" y="1007797"/>
          <a:ext cx="1597371" cy="805979"/>
        </a:xfrm>
        <a:prstGeom prst="roundRect">
          <a:avLst>
            <a:gd name="adj" fmla="val 10000"/>
          </a:avLst>
        </a:prstGeom>
        <a:solidFill>
          <a:schemeClr val="bg1">
            <a:lumMod val="8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b="1" i="1" kern="1200">
              <a:latin typeface="Basic Sans" panose="00000500000000000000" pitchFamily="50" charset="0"/>
              <a:cs typeface="Arial" panose="020B0604020202020204" pitchFamily="34" charset="0"/>
            </a:rPr>
            <a:t>Step 2: </a:t>
          </a:r>
          <a:r>
            <a:rPr lang="en-NZ" sz="1100" b="0" i="1" kern="1200">
              <a:latin typeface="Basic Sans" panose="00000500000000000000" pitchFamily="50" charset="0"/>
              <a:cs typeface="Arial" panose="020B0604020202020204" pitchFamily="34" charset="0"/>
            </a:rPr>
            <a:t>Confirm</a:t>
          </a:r>
          <a:r>
            <a:rPr lang="en-NZ" sz="1100" i="1" kern="1200">
              <a:latin typeface="Basic Sans" panose="00000500000000000000" pitchFamily="50" charset="0"/>
              <a:cs typeface="Arial" panose="020B0604020202020204" pitchFamily="34" charset="0"/>
            </a:rPr>
            <a:t> data principles</a:t>
          </a:r>
        </a:p>
      </dsp:txBody>
      <dsp:txXfrm>
        <a:off x="353704" y="1031403"/>
        <a:ext cx="1550159" cy="758767"/>
      </dsp:txXfrm>
    </dsp:sp>
    <dsp:sp modelId="{50F28565-0933-4C25-BDA8-4492B5212630}">
      <dsp:nvSpPr>
        <dsp:cNvPr id="0" name=""/>
        <dsp:cNvSpPr/>
      </dsp:nvSpPr>
      <dsp:spPr>
        <a:xfrm rot="5400000">
          <a:off x="229685" y="2657154"/>
          <a:ext cx="999845" cy="12089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143405C-87EA-4F95-B73D-3D933F67E6CF}">
      <dsp:nvSpPr>
        <dsp:cNvPr id="0" name=""/>
        <dsp:cNvSpPr/>
      </dsp:nvSpPr>
      <dsp:spPr>
        <a:xfrm>
          <a:off x="330098" y="2015272"/>
          <a:ext cx="1597371" cy="805979"/>
        </a:xfrm>
        <a:prstGeom prst="roundRect">
          <a:avLst>
            <a:gd name="adj" fmla="val 10000"/>
          </a:avLst>
        </a:prstGeom>
        <a:solidFill>
          <a:schemeClr val="bg1">
            <a:lumMod val="8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100" b="1"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Step 3: </a:t>
          </a:r>
          <a:r>
            <a:rPr lang="en-NZ" sz="1100" b="0"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Confirm our common language (data terminology)</a:t>
          </a:r>
        </a:p>
      </dsp:txBody>
      <dsp:txXfrm>
        <a:off x="353704" y="2038878"/>
        <a:ext cx="1550159" cy="758767"/>
      </dsp:txXfrm>
    </dsp:sp>
    <dsp:sp modelId="{C3D08F8D-069F-4BB2-92C7-7FAAD9223B4A}">
      <dsp:nvSpPr>
        <dsp:cNvPr id="0" name=""/>
        <dsp:cNvSpPr/>
      </dsp:nvSpPr>
      <dsp:spPr>
        <a:xfrm>
          <a:off x="734144" y="3160891"/>
          <a:ext cx="2031588" cy="12089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276369-51AE-4590-B1CA-2A512B53144B}">
      <dsp:nvSpPr>
        <dsp:cNvPr id="0" name=""/>
        <dsp:cNvSpPr/>
      </dsp:nvSpPr>
      <dsp:spPr>
        <a:xfrm>
          <a:off x="330098" y="3022747"/>
          <a:ext cx="1597371" cy="805979"/>
        </a:xfrm>
        <a:prstGeom prst="roundRect">
          <a:avLst>
            <a:gd name="adj" fmla="val 10000"/>
          </a:avLst>
        </a:prstGeom>
        <a:solidFill>
          <a:schemeClr val="bg1">
            <a:lumMod val="8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100" b="1"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Step 4: </a:t>
          </a:r>
          <a:r>
            <a:rPr lang="en-NZ" sz="1100" b="0"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Data selection criteria based on our prioritisation framework, but tailored</a:t>
          </a:r>
        </a:p>
      </dsp:txBody>
      <dsp:txXfrm>
        <a:off x="353704" y="3046353"/>
        <a:ext cx="1550159" cy="758767"/>
      </dsp:txXfrm>
    </dsp:sp>
    <dsp:sp modelId="{FCE7731E-558F-4A10-810C-7BB5C8388001}">
      <dsp:nvSpPr>
        <dsp:cNvPr id="0" name=""/>
        <dsp:cNvSpPr/>
      </dsp:nvSpPr>
      <dsp:spPr>
        <a:xfrm rot="16200000">
          <a:off x="2270345" y="2657154"/>
          <a:ext cx="999845" cy="12089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E0EF30E-5DED-48F6-9ECF-1C9F95C09623}">
      <dsp:nvSpPr>
        <dsp:cNvPr id="0" name=""/>
        <dsp:cNvSpPr/>
      </dsp:nvSpPr>
      <dsp:spPr>
        <a:xfrm>
          <a:off x="2370758" y="3022747"/>
          <a:ext cx="1597371" cy="805979"/>
        </a:xfrm>
        <a:prstGeom prst="roundRect">
          <a:avLst>
            <a:gd name="adj" fmla="val 10000"/>
          </a:avLst>
        </a:prstGeom>
        <a:solidFill>
          <a:srgbClr val="FFFFFF">
            <a:lumMod val="8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100" b="1"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Step 5: </a:t>
          </a:r>
          <a:r>
            <a:rPr lang="en-NZ" sz="1100" b="0"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Update data stocktake</a:t>
          </a:r>
        </a:p>
      </dsp:txBody>
      <dsp:txXfrm>
        <a:off x="2394364" y="3046353"/>
        <a:ext cx="1550159" cy="758767"/>
      </dsp:txXfrm>
    </dsp:sp>
    <dsp:sp modelId="{09E7BDE1-E7B6-435E-87EF-512F62DFE651}">
      <dsp:nvSpPr>
        <dsp:cNvPr id="0" name=""/>
        <dsp:cNvSpPr/>
      </dsp:nvSpPr>
      <dsp:spPr>
        <a:xfrm rot="16200000">
          <a:off x="2270345" y="1649679"/>
          <a:ext cx="999845" cy="12089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323339-6A90-4E9E-AF43-84261D204AB2}">
      <dsp:nvSpPr>
        <dsp:cNvPr id="0" name=""/>
        <dsp:cNvSpPr/>
      </dsp:nvSpPr>
      <dsp:spPr>
        <a:xfrm>
          <a:off x="2370758" y="2015272"/>
          <a:ext cx="1597371" cy="805979"/>
        </a:xfrm>
        <a:prstGeom prst="roundRect">
          <a:avLst>
            <a:gd name="adj" fmla="val 10000"/>
          </a:avLst>
        </a:prstGeom>
        <a:solidFill>
          <a:srgbClr val="FFFFFF">
            <a:lumMod val="8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488950">
            <a:lnSpc>
              <a:spcPct val="90000"/>
            </a:lnSpc>
            <a:spcBef>
              <a:spcPct val="0"/>
            </a:spcBef>
            <a:spcAft>
              <a:spcPct val="35000"/>
            </a:spcAft>
            <a:buNone/>
          </a:pPr>
          <a:r>
            <a:rPr lang="en-NZ" sz="1100" b="1" kern="1200" dirty="0">
              <a:latin typeface="Basic Sans" panose="00000500000000000000" pitchFamily="50" charset="0"/>
              <a:cs typeface="Arial" panose="020B0604020202020204" pitchFamily="34" charset="0"/>
            </a:rPr>
            <a:t>Step 6: </a:t>
          </a:r>
          <a:r>
            <a:rPr lang="en-NZ" sz="1100" kern="1200" dirty="0">
              <a:latin typeface="Basic Sans" panose="00000500000000000000" pitchFamily="50" charset="0"/>
              <a:cs typeface="Arial" panose="020B0604020202020204" pitchFamily="34" charset="0"/>
            </a:rPr>
            <a:t>Map available data to the framework, creating a longlist of measures</a:t>
          </a:r>
        </a:p>
      </dsp:txBody>
      <dsp:txXfrm>
        <a:off x="2394364" y="2038878"/>
        <a:ext cx="1550159" cy="758767"/>
      </dsp:txXfrm>
    </dsp:sp>
    <dsp:sp modelId="{BC81CD91-7C44-4D45-BF90-EE31C234B15C}">
      <dsp:nvSpPr>
        <dsp:cNvPr id="0" name=""/>
        <dsp:cNvSpPr/>
      </dsp:nvSpPr>
      <dsp:spPr>
        <a:xfrm rot="16200000">
          <a:off x="2270345" y="642204"/>
          <a:ext cx="999845" cy="12089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1F064EC-7326-450B-982F-2A1F4011CC80}">
      <dsp:nvSpPr>
        <dsp:cNvPr id="0" name=""/>
        <dsp:cNvSpPr/>
      </dsp:nvSpPr>
      <dsp:spPr>
        <a:xfrm>
          <a:off x="2370758" y="1007797"/>
          <a:ext cx="1597371" cy="805979"/>
        </a:xfrm>
        <a:prstGeom prst="roundRect">
          <a:avLst>
            <a:gd name="adj" fmla="val 10000"/>
          </a:avLst>
        </a:prstGeom>
        <a:solidFill>
          <a:schemeClr val="bg1">
            <a:lumMod val="8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b="1" kern="1200" dirty="0">
              <a:latin typeface="Basic Sans" panose="00000500000000000000" pitchFamily="50" charset="0"/>
              <a:cs typeface="Arial" panose="020B0604020202020204" pitchFamily="34" charset="0"/>
            </a:rPr>
            <a:t>Step 7: </a:t>
          </a:r>
          <a:r>
            <a:rPr lang="en-NZ" sz="1100" kern="1200" dirty="0">
              <a:latin typeface="Basic Sans" panose="00000500000000000000" pitchFamily="50" charset="0"/>
              <a:cs typeface="Arial" panose="020B0604020202020204" pitchFamily="34" charset="0"/>
            </a:rPr>
            <a:t>Refine longlist against criteria. TAN to advise and review.</a:t>
          </a:r>
        </a:p>
      </dsp:txBody>
      <dsp:txXfrm>
        <a:off x="2394364" y="1031403"/>
        <a:ext cx="1550159" cy="758767"/>
      </dsp:txXfrm>
    </dsp:sp>
    <dsp:sp modelId="{1C155F3A-F882-4A2E-B2C1-240FBA4E705A}">
      <dsp:nvSpPr>
        <dsp:cNvPr id="0" name=""/>
        <dsp:cNvSpPr/>
      </dsp:nvSpPr>
      <dsp:spPr>
        <a:xfrm>
          <a:off x="2774804" y="138467"/>
          <a:ext cx="2031588" cy="12089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527123-B4D6-4288-A85B-576D7213D76C}">
      <dsp:nvSpPr>
        <dsp:cNvPr id="0" name=""/>
        <dsp:cNvSpPr/>
      </dsp:nvSpPr>
      <dsp:spPr>
        <a:xfrm>
          <a:off x="2370758" y="323"/>
          <a:ext cx="1597371" cy="805979"/>
        </a:xfrm>
        <a:prstGeom prst="roundRect">
          <a:avLst>
            <a:gd name="adj" fmla="val 10000"/>
          </a:avLst>
        </a:prstGeom>
        <a:solidFill>
          <a:schemeClr val="bg1">
            <a:lumMod val="8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b="1" kern="1200">
              <a:latin typeface="Basic Sans" panose="00000500000000000000" pitchFamily="50" charset="0"/>
              <a:cs typeface="Arial" panose="020B0604020202020204" pitchFamily="34" charset="0"/>
            </a:rPr>
            <a:t>Step 8: </a:t>
          </a:r>
          <a:r>
            <a:rPr lang="en-NZ" sz="1100" kern="1200">
              <a:latin typeface="Basic Sans" panose="00000500000000000000" pitchFamily="50" charset="0"/>
              <a:cs typeface="Arial" panose="020B0604020202020204" pitchFamily="34" charset="0"/>
            </a:rPr>
            <a:t>Understand the data gaps, timing, and quality issues</a:t>
          </a:r>
        </a:p>
      </dsp:txBody>
      <dsp:txXfrm>
        <a:off x="2394364" y="23929"/>
        <a:ext cx="1550159" cy="758767"/>
      </dsp:txXfrm>
    </dsp:sp>
    <dsp:sp modelId="{58115110-8CEA-4E2E-97CB-BF8853E1108E}">
      <dsp:nvSpPr>
        <dsp:cNvPr id="0" name=""/>
        <dsp:cNvSpPr/>
      </dsp:nvSpPr>
      <dsp:spPr>
        <a:xfrm rot="5400000">
          <a:off x="4311005" y="642204"/>
          <a:ext cx="999845" cy="12089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7BD7C9F-8CF3-45E0-8E3A-23EF999E9195}">
      <dsp:nvSpPr>
        <dsp:cNvPr id="0" name=""/>
        <dsp:cNvSpPr/>
      </dsp:nvSpPr>
      <dsp:spPr>
        <a:xfrm>
          <a:off x="4411418" y="323"/>
          <a:ext cx="1597371" cy="805979"/>
        </a:xfrm>
        <a:prstGeom prst="roundRect">
          <a:avLst>
            <a:gd name="adj" fmla="val 10000"/>
          </a:avLst>
        </a:prstGeom>
        <a:solidFill>
          <a:schemeClr val="bg1">
            <a:lumMod val="8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b="1" kern="1200" dirty="0">
              <a:latin typeface="Basic Sans" panose="00000500000000000000" pitchFamily="50" charset="0"/>
              <a:cs typeface="Arial" panose="020B0604020202020204" pitchFamily="34" charset="0"/>
            </a:rPr>
            <a:t>Step 9: </a:t>
          </a:r>
          <a:r>
            <a:rPr lang="en-NZ" sz="1100" kern="1200" dirty="0">
              <a:latin typeface="Basic Sans" panose="00000500000000000000" pitchFamily="50" charset="0"/>
              <a:cs typeface="Arial" panose="020B0604020202020204" pitchFamily="34" charset="0"/>
            </a:rPr>
            <a:t>Prioritise methods/measures and explain why (short list)</a:t>
          </a:r>
        </a:p>
      </dsp:txBody>
      <dsp:txXfrm>
        <a:off x="4435024" y="23929"/>
        <a:ext cx="1550159" cy="758767"/>
      </dsp:txXfrm>
    </dsp:sp>
    <dsp:sp modelId="{374251A4-805E-407E-A666-84EE1FB0CE0C}">
      <dsp:nvSpPr>
        <dsp:cNvPr id="0" name=""/>
        <dsp:cNvSpPr/>
      </dsp:nvSpPr>
      <dsp:spPr>
        <a:xfrm rot="5400000">
          <a:off x="4311005" y="1649679"/>
          <a:ext cx="999845" cy="12089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9950AF-FA72-4173-9C98-ADA8BC966B5F}">
      <dsp:nvSpPr>
        <dsp:cNvPr id="0" name=""/>
        <dsp:cNvSpPr/>
      </dsp:nvSpPr>
      <dsp:spPr>
        <a:xfrm>
          <a:off x="4411418" y="1007797"/>
          <a:ext cx="1597371" cy="805979"/>
        </a:xfrm>
        <a:prstGeom prst="roundRect">
          <a:avLst>
            <a:gd name="adj" fmla="val 10000"/>
          </a:avLst>
        </a:prstGeom>
        <a:solidFill>
          <a:srgbClr val="FFFFFF">
            <a:lumMod val="8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488950">
            <a:lnSpc>
              <a:spcPct val="90000"/>
            </a:lnSpc>
            <a:spcBef>
              <a:spcPct val="0"/>
            </a:spcBef>
            <a:spcAft>
              <a:spcPct val="35000"/>
            </a:spcAft>
            <a:buNone/>
          </a:pPr>
          <a:r>
            <a:rPr lang="mi-NZ" sz="1100" b="1" kern="1200" dirty="0" err="1">
              <a:latin typeface="Basic Sans" panose="00000500000000000000" pitchFamily="50" charset="0"/>
              <a:cs typeface="Arial" panose="020B0604020202020204" pitchFamily="34" charset="0"/>
            </a:rPr>
            <a:t>Step</a:t>
          </a:r>
          <a:r>
            <a:rPr lang="mi-NZ" sz="1100" b="1" kern="1200" dirty="0">
              <a:latin typeface="Basic Sans" panose="00000500000000000000" pitchFamily="50" charset="0"/>
              <a:cs typeface="Arial" panose="020B0604020202020204" pitchFamily="34" charset="0"/>
            </a:rPr>
            <a:t> 10: </a:t>
          </a:r>
          <a:r>
            <a:rPr lang="mi-NZ" sz="1100" kern="1200" dirty="0">
              <a:latin typeface="Basic Sans" panose="00000500000000000000" pitchFamily="50" charset="0"/>
              <a:cs typeface="Arial" panose="020B0604020202020204" pitchFamily="34" charset="0"/>
            </a:rPr>
            <a:t>R</a:t>
          </a:r>
          <a:r>
            <a:rPr lang="en-NZ" sz="1100" kern="1200" dirty="0" err="1">
              <a:latin typeface="Basic Sans" panose="00000500000000000000" pitchFamily="50" charset="0"/>
              <a:cs typeface="Arial" panose="020B0604020202020204" pitchFamily="34" charset="0"/>
            </a:rPr>
            <a:t>eport</a:t>
          </a:r>
          <a:r>
            <a:rPr lang="en-NZ" sz="1100" kern="1200" dirty="0">
              <a:latin typeface="Basic Sans" panose="00000500000000000000" pitchFamily="50" charset="0"/>
              <a:cs typeface="Arial" panose="020B0604020202020204" pitchFamily="34" charset="0"/>
            </a:rPr>
            <a:t> summarising phase 1 of the development, methods and </a:t>
          </a:r>
          <a:r>
            <a:rPr lang="en-NZ" sz="1100" b="0" kern="1200" dirty="0">
              <a:solidFill>
                <a:srgbClr val="000000">
                  <a:hueOff val="0"/>
                  <a:satOff val="0"/>
                  <a:lumOff val="0"/>
                  <a:alphaOff val="0"/>
                </a:srgbClr>
              </a:solidFill>
              <a:latin typeface="Basic Sans" panose="00000500000000000000" pitchFamily="50" charset="0"/>
              <a:ea typeface="+mn-ea"/>
              <a:cs typeface="Arial" panose="020B0604020202020204" pitchFamily="34" charset="0"/>
            </a:rPr>
            <a:t>measures</a:t>
          </a:r>
          <a:r>
            <a:rPr lang="en-NZ" sz="1100" kern="1200" dirty="0">
              <a:latin typeface="Basic Sans" panose="00000500000000000000" pitchFamily="50" charset="0"/>
              <a:cs typeface="Arial" panose="020B0604020202020204" pitchFamily="34" charset="0"/>
            </a:rPr>
            <a:t>, data gaps</a:t>
          </a:r>
        </a:p>
      </dsp:txBody>
      <dsp:txXfrm>
        <a:off x="4435024" y="1031403"/>
        <a:ext cx="1550159" cy="758767"/>
      </dsp:txXfrm>
    </dsp:sp>
    <dsp:sp modelId="{05722C43-8420-40F7-8798-D1B107129E8D}">
      <dsp:nvSpPr>
        <dsp:cNvPr id="0" name=""/>
        <dsp:cNvSpPr/>
      </dsp:nvSpPr>
      <dsp:spPr>
        <a:xfrm>
          <a:off x="4411418" y="2015272"/>
          <a:ext cx="1597371" cy="805979"/>
        </a:xfrm>
        <a:prstGeom prst="roundRect">
          <a:avLst>
            <a:gd name="adj" fmla="val 10000"/>
          </a:avLst>
        </a:prstGeom>
        <a:solidFill>
          <a:srgbClr val="FFFFFF">
            <a:lumMod val="85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488950">
            <a:lnSpc>
              <a:spcPct val="90000"/>
            </a:lnSpc>
            <a:spcBef>
              <a:spcPct val="0"/>
            </a:spcBef>
            <a:spcAft>
              <a:spcPct val="35000"/>
            </a:spcAft>
            <a:buNone/>
          </a:pPr>
          <a:r>
            <a:rPr lang="en-NZ" sz="1100" b="1" kern="1200" dirty="0">
              <a:latin typeface="Basic Sans" panose="00000500000000000000" pitchFamily="50" charset="0"/>
              <a:cs typeface="Arial" panose="020B0604020202020204" pitchFamily="34" charset="0"/>
            </a:rPr>
            <a:t>Step 11: </a:t>
          </a:r>
          <a:r>
            <a:rPr lang="en-NZ" sz="1100" b="0" kern="1200" dirty="0">
              <a:latin typeface="Basic Sans" panose="00000500000000000000" pitchFamily="50" charset="0"/>
              <a:cs typeface="Arial" panose="020B0604020202020204" pitchFamily="34" charset="0"/>
            </a:rPr>
            <a:t>Discuss </a:t>
          </a:r>
          <a:r>
            <a:rPr lang="en-NZ" sz="1100" kern="1200" dirty="0">
              <a:latin typeface="Basic Sans" panose="00000500000000000000" pitchFamily="50" charset="0"/>
              <a:cs typeface="Arial" panose="020B0604020202020204" pitchFamily="34" charset="0"/>
            </a:rPr>
            <a:t>pathway forward for next phase of methods and measures (revisit Step 8)</a:t>
          </a:r>
        </a:p>
      </dsp:txBody>
      <dsp:txXfrm>
        <a:off x="4435024" y="2038878"/>
        <a:ext cx="1550159" cy="75876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6C16F0BACE42AFADAAAF95B7012166"/>
        <w:category>
          <w:name w:val="General"/>
          <w:gallery w:val="placeholder"/>
        </w:category>
        <w:types>
          <w:type w:val="bbPlcHdr"/>
        </w:types>
        <w:behaviors>
          <w:behavior w:val="content"/>
        </w:behaviors>
        <w:guid w:val="{15EC65E4-6A32-4A6F-912D-338DC7055A16}"/>
      </w:docPartPr>
      <w:docPartBody>
        <w:p w:rsidR="00C63C11" w:rsidRDefault="00991BF3" w:rsidP="00991BF3">
          <w:pPr>
            <w:pStyle w:val="266C16F0BACE42AFADAAAF95B7012166"/>
          </w:pPr>
          <w:r>
            <w:rPr>
              <w:rStyle w:val="PlaceholderText"/>
            </w:rPr>
            <w:t>Insert specific Milestones to be achieved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Sans Light">
    <w:altName w:val="Calibri"/>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ic Sans">
    <w:altName w:val="Calibri"/>
    <w:panose1 w:val="000005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FC"/>
    <w:rsid w:val="00037B16"/>
    <w:rsid w:val="00067CFC"/>
    <w:rsid w:val="00113BB8"/>
    <w:rsid w:val="00317438"/>
    <w:rsid w:val="0068715B"/>
    <w:rsid w:val="007D6C13"/>
    <w:rsid w:val="008428E6"/>
    <w:rsid w:val="00991BF3"/>
    <w:rsid w:val="009A4211"/>
    <w:rsid w:val="009C4109"/>
    <w:rsid w:val="00AB0296"/>
    <w:rsid w:val="00AB4F5E"/>
    <w:rsid w:val="00C63C11"/>
    <w:rsid w:val="00DA3421"/>
    <w:rsid w:val="00DA671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BF3"/>
    <w:rPr>
      <w:color w:val="808080"/>
    </w:rPr>
  </w:style>
  <w:style w:type="paragraph" w:customStyle="1" w:styleId="266C16F0BACE42AFADAAAF95B7012166">
    <w:name w:val="266C16F0BACE42AFADAAAF95B7012166"/>
    <w:rsid w:val="00991BF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B34954"/>
      </a:dk2>
      <a:lt2>
        <a:srgbClr val="EE9183"/>
      </a:lt2>
      <a:accent1>
        <a:srgbClr val="FBC2B1"/>
      </a:accent1>
      <a:accent2>
        <a:srgbClr val="05896A"/>
      </a:accent2>
      <a:accent3>
        <a:srgbClr val="0DB1CA"/>
      </a:accent3>
      <a:accent4>
        <a:srgbClr val="005E85"/>
      </a:accent4>
      <a:accent5>
        <a:srgbClr val="FBC2B1"/>
      </a:accent5>
      <a:accent6>
        <a:srgbClr val="F7DDBF"/>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DOCS-680008961-3391</_dlc_DocId>
    <_dlc_DocIdUrl xmlns="bd74e8db-9588-4046-9f22-b81f23249a13">
      <Url>https://mhwcnz.sharepoint.com/sites/health/_layouts/15/DocIdRedir.aspx?ID=DOCS-680008961-3391</Url>
      <Description>DOCS-680008961-3391</Description>
    </_dlc_DocIdUrl>
    <Comments xmlns="c4f8c120-9fd5-4d9a-bdd4-e2b6e9a49f9f" xsi:nil="true"/>
    <lcf76f155ced4ddcb4097134ff3c332f xmlns="c4f8c120-9fd5-4d9a-bdd4-e2b6e9a49f9f">
      <Terms xmlns="http://schemas.microsoft.com/office/infopath/2007/PartnerControls"/>
    </lcf76f155ced4ddcb4097134ff3c332f>
    <SharedWithUsers xmlns="bd74e8db-9588-4046-9f22-b81f23249a13">
      <UserInfo>
        <DisplayName>Louise Fawthorpe</DisplayName>
        <AccountId>205</AccountId>
        <AccountType/>
      </UserInfo>
      <UserInfo>
        <DisplayName>Tanya Maloney</DisplayName>
        <AccountId>21</AccountId>
        <AccountType/>
      </UserInfo>
      <UserInfo>
        <DisplayName>Hannah Paap</DisplayName>
        <AccountId>31</AccountId>
        <AccountType/>
      </UserInfo>
      <UserInfo>
        <DisplayName>Emily Nixon</DisplayName>
        <AccountId>33</AccountId>
        <AccountType/>
      </UserInfo>
      <UserInfo>
        <DisplayName>Carla Nahr</DisplayName>
        <AccountId>455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_document" ma:contentTypeID="0x010100EC715CFEA79834468078ACA06B4C38E4004EF78A82A15C8147AE70441C92B3DF4A" ma:contentTypeVersion="22" ma:contentTypeDescription="MHWC document content type" ma:contentTypeScope="" ma:versionID="76658b96258f1a11cad0820f0639ff09">
  <xsd:schema xmlns:xsd="http://www.w3.org/2001/XMLSchema" xmlns:xs="http://www.w3.org/2001/XMLSchema" xmlns:p="http://schemas.microsoft.com/office/2006/metadata/properties" xmlns:ns2="bd74e8db-9588-4046-9f22-b81f23249a13" xmlns:ns3="bb0bd7a6-c265-44d5-b39f-e5b415113992" xmlns:ns4="c4f8c120-9fd5-4d9a-bdd4-e2b6e9a49f9f" targetNamespace="http://schemas.microsoft.com/office/2006/metadata/properties" ma:root="true" ma:fieldsID="ba771276242c3db8c9ef4e71cc2230d0" ns2:_="" ns3:_="" ns4:_="">
    <xsd:import namespace="bd74e8db-9588-4046-9f22-b81f23249a13"/>
    <xsd:import namespace="bb0bd7a6-c265-44d5-b39f-e5b415113992"/>
    <xsd:import namespace="c4f8c120-9fd5-4d9a-bdd4-e2b6e9a49f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Comment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9bb54d9-f134-4739-ac41-42e1c520000f}"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9bb54d9-f134-4739-ac41-42e1c520000f}"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4f8c120-9fd5-4d9a-bdd4-e2b6e9a49f9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Comments" ma:index="30" nillable="true" ma:displayName="Comments" ma:description="Use folder in Research and Insights instead" ma:format="Dropdown" ma:internalName="Comments">
      <xsd:simpleType>
        <xsd:restriction base="dms:Note">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7AC75-647D-44F4-B665-5E4A3DDB9886}">
  <ds:schemaRefs>
    <ds:schemaRef ds:uri="http://schemas.microsoft.com/sharepoint/v3/contenttype/forms"/>
  </ds:schemaRefs>
</ds:datastoreItem>
</file>

<file path=customXml/itemProps2.xml><?xml version="1.0" encoding="utf-8"?>
<ds:datastoreItem xmlns:ds="http://schemas.openxmlformats.org/officeDocument/2006/customXml" ds:itemID="{2B489308-6E51-4D96-A980-C271F0EDAA92}">
  <ds:schemaRefs>
    <ds:schemaRef ds:uri="http://schemas.microsoft.com/sharepoint/events"/>
  </ds:schemaRefs>
</ds:datastoreItem>
</file>

<file path=customXml/itemProps3.xml><?xml version="1.0" encoding="utf-8"?>
<ds:datastoreItem xmlns:ds="http://schemas.openxmlformats.org/officeDocument/2006/customXml" ds:itemID="{69FB9F0E-F1FC-46C6-AC71-9EB646C8F3F1}">
  <ds:schemaRefs>
    <ds:schemaRef ds:uri="http://schemas.microsoft.com/office/2006/metadata/properties"/>
    <ds:schemaRef ds:uri="http://schemas.microsoft.com/office/infopath/2007/PartnerControls"/>
    <ds:schemaRef ds:uri="bb0bd7a6-c265-44d5-b39f-e5b415113992"/>
    <ds:schemaRef ds:uri="bd74e8db-9588-4046-9f22-b81f23249a13"/>
    <ds:schemaRef ds:uri="c4f8c120-9fd5-4d9a-bdd4-e2b6e9a49f9f"/>
  </ds:schemaRefs>
</ds:datastoreItem>
</file>

<file path=customXml/itemProps4.xml><?xml version="1.0" encoding="utf-8"?>
<ds:datastoreItem xmlns:ds="http://schemas.openxmlformats.org/officeDocument/2006/customXml" ds:itemID="{8D35C721-4759-4D0B-8E50-A6481D43AE95}">
  <ds:schemaRefs>
    <ds:schemaRef ds:uri="http://schemas.openxmlformats.org/officeDocument/2006/bibliography"/>
  </ds:schemaRefs>
</ds:datastoreItem>
</file>

<file path=customXml/itemProps5.xml><?xml version="1.0" encoding="utf-8"?>
<ds:datastoreItem xmlns:ds="http://schemas.openxmlformats.org/officeDocument/2006/customXml" ds:itemID="{30B3034C-5D74-4607-A531-28634CFB8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c4f8c120-9fd5-4d9a-bdd4-e2b6e9a49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17178</Words>
  <Characters>91218</Characters>
  <Application>Microsoft Office Word</Application>
  <DocSecurity>10</DocSecurity>
  <Lines>4560</Lines>
  <Paragraphs>4169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104227</CharactersWithSpaces>
  <SharedDoc>false</SharedDoc>
  <HLinks>
    <vt:vector size="276" baseType="variant">
      <vt:variant>
        <vt:i4>524364</vt:i4>
      </vt:variant>
      <vt:variant>
        <vt:i4>174</vt:i4>
      </vt:variant>
      <vt:variant>
        <vt:i4>0</vt:i4>
      </vt:variant>
      <vt:variant>
        <vt:i4>5</vt:i4>
      </vt:variant>
      <vt:variant>
        <vt:lpwstr>https://www.temanararaunga.maori.nz/</vt:lpwstr>
      </vt:variant>
      <vt:variant>
        <vt:lpwstr/>
      </vt:variant>
      <vt:variant>
        <vt:i4>6881383</vt:i4>
      </vt:variant>
      <vt:variant>
        <vt:i4>171</vt:i4>
      </vt:variant>
      <vt:variant>
        <vt:i4>0</vt:i4>
      </vt:variant>
      <vt:variant>
        <vt:i4>5</vt:i4>
      </vt:variant>
      <vt:variant>
        <vt:lpwstr>https://www.digital.govt.nz/assets/Standards-guidance/Privacy/Data-Protection-and-Use-Policy-DPUP-January-2022-Version-1.2.pdf</vt:lpwstr>
      </vt:variant>
      <vt:variant>
        <vt:lpwstr/>
      </vt:variant>
      <vt:variant>
        <vt:i4>7143469</vt:i4>
      </vt:variant>
      <vt:variant>
        <vt:i4>168</vt:i4>
      </vt:variant>
      <vt:variant>
        <vt:i4>0</vt:i4>
      </vt:variant>
      <vt:variant>
        <vt:i4>5</vt:i4>
      </vt:variant>
      <vt:variant>
        <vt:lpwstr>https://thehub.swa.govt.nz/assets/Uploads/Whanau-rangatiratanga-frameworks-summary.pdf</vt:lpwstr>
      </vt:variant>
      <vt:variant>
        <vt:lpwstr/>
      </vt:variant>
      <vt:variant>
        <vt:i4>6619174</vt:i4>
      </vt:variant>
      <vt:variant>
        <vt:i4>165</vt:i4>
      </vt:variant>
      <vt:variant>
        <vt:i4>0</vt:i4>
      </vt:variant>
      <vt:variant>
        <vt:i4>5</vt:i4>
      </vt:variant>
      <vt:variant>
        <vt:lpwstr>https://www.health.govt.nz/publication/whakamaua-maori-health-action-plan-2020-2025</vt:lpwstr>
      </vt:variant>
      <vt:variant>
        <vt:lpwstr/>
      </vt:variant>
      <vt:variant>
        <vt:i4>3342360</vt:i4>
      </vt:variant>
      <vt:variant>
        <vt:i4>162</vt:i4>
      </vt:variant>
      <vt:variant>
        <vt:i4>0</vt:i4>
      </vt:variant>
      <vt:variant>
        <vt:i4>5</vt:i4>
      </vt:variant>
      <vt:variant>
        <vt:lpwstr>https://www.imsb.maori.nz/assets/sm/upload/pa/0z/vq/ww/IMSB Data Issues 2019_d.pdf?k=f44d4d3e73</vt:lpwstr>
      </vt:variant>
      <vt:variant>
        <vt:lpwstr/>
      </vt:variant>
      <vt:variant>
        <vt:i4>2359358</vt:i4>
      </vt:variant>
      <vt:variant>
        <vt:i4>159</vt:i4>
      </vt:variant>
      <vt:variant>
        <vt:i4>0</vt:i4>
      </vt:variant>
      <vt:variant>
        <vt:i4>5</vt:i4>
      </vt:variant>
      <vt:variant>
        <vt:lpwstr>http://oicollective.co.nz/mahi/</vt:lpwstr>
      </vt:variant>
      <vt:variant>
        <vt:lpwstr/>
      </vt:variant>
      <vt:variant>
        <vt:i4>7012392</vt:i4>
      </vt:variant>
      <vt:variant>
        <vt:i4>156</vt:i4>
      </vt:variant>
      <vt:variant>
        <vt:i4>0</vt:i4>
      </vt:variant>
      <vt:variant>
        <vt:i4>5</vt:i4>
      </vt:variant>
      <vt:variant>
        <vt:lpwstr>http://www.hpa.org.nz/</vt:lpwstr>
      </vt:variant>
      <vt:variant>
        <vt:lpwstr/>
      </vt:variant>
      <vt:variant>
        <vt:i4>2883690</vt:i4>
      </vt:variant>
      <vt:variant>
        <vt:i4>153</vt:i4>
      </vt:variant>
      <vt:variant>
        <vt:i4>0</vt:i4>
      </vt:variant>
      <vt:variant>
        <vt:i4>5</vt:i4>
      </vt:variant>
      <vt:variant>
        <vt:lpwstr>https://www.hrc.govt.nz/resources/research-repository/pae-ora-collaborations-action</vt:lpwstr>
      </vt:variant>
      <vt:variant>
        <vt:lpwstr/>
      </vt:variant>
      <vt:variant>
        <vt:i4>327758</vt:i4>
      </vt:variant>
      <vt:variant>
        <vt:i4>150</vt:i4>
      </vt:variant>
      <vt:variant>
        <vt:i4>0</vt:i4>
      </vt:variant>
      <vt:variant>
        <vt:i4>5</vt:i4>
      </vt:variant>
      <vt:variant>
        <vt:lpwstr>https://www.health.govt.nz/publication/te-rau-hinengaro-new-zealand-mental-health-survey</vt:lpwstr>
      </vt:variant>
      <vt:variant>
        <vt:lpwstr/>
      </vt:variant>
      <vt:variant>
        <vt:i4>2752638</vt:i4>
      </vt:variant>
      <vt:variant>
        <vt:i4>147</vt:i4>
      </vt:variant>
      <vt:variant>
        <vt:i4>0</vt:i4>
      </vt:variant>
      <vt:variant>
        <vt:i4>5</vt:i4>
      </vt:variant>
      <vt:variant>
        <vt:lpwstr>https://www.legislation.govt.nz/act/public/2020/0032/latest/whole.html</vt:lpwstr>
      </vt:variant>
      <vt:variant>
        <vt:lpwstr/>
      </vt:variant>
      <vt:variant>
        <vt:i4>3473516</vt:i4>
      </vt:variant>
      <vt:variant>
        <vt:i4>144</vt:i4>
      </vt:variant>
      <vt:variant>
        <vt:i4>0</vt:i4>
      </vt:variant>
      <vt:variant>
        <vt:i4>5</vt:i4>
      </vt:variant>
      <vt:variant>
        <vt:lpwstr>https://www.mhwc.govt.nz/our-work/access-and-choice-programme/</vt:lpwstr>
      </vt:variant>
      <vt:variant>
        <vt:lpwstr/>
      </vt:variant>
      <vt:variant>
        <vt:i4>458787</vt:i4>
      </vt:variant>
      <vt:variant>
        <vt:i4>138</vt:i4>
      </vt:variant>
      <vt:variant>
        <vt:i4>0</vt:i4>
      </vt:variant>
      <vt:variant>
        <vt:i4>5</vt:i4>
      </vt:variant>
      <vt:variant>
        <vt:lpwstr/>
      </vt:variant>
      <vt:variant>
        <vt:lpwstr>_Appendix_1:_Phase</vt:lpwstr>
      </vt:variant>
      <vt:variant>
        <vt:i4>589912</vt:i4>
      </vt:variant>
      <vt:variant>
        <vt:i4>135</vt:i4>
      </vt:variant>
      <vt:variant>
        <vt:i4>0</vt:i4>
      </vt:variant>
      <vt:variant>
        <vt:i4>5</vt:i4>
      </vt:variant>
      <vt:variant>
        <vt:lpwstr>https://www.mhwc.govt.nz/assets/Te-Huringa/Finals-1-April-2022/MHWC-Te-Huringa-Service-Monitoring-Report.pdf</vt:lpwstr>
      </vt:variant>
      <vt:variant>
        <vt:lpwstr/>
      </vt:variant>
      <vt:variant>
        <vt:i4>2687020</vt:i4>
      </vt:variant>
      <vt:variant>
        <vt:i4>132</vt:i4>
      </vt:variant>
      <vt:variant>
        <vt:i4>0</vt:i4>
      </vt:variant>
      <vt:variant>
        <vt:i4>5</vt:i4>
      </vt:variant>
      <vt:variant>
        <vt:lpwstr>https://www.mhwc.govt.nz/our-work/assessing-and-monitoring-the-mental-health-and-addiction-system/feedback/</vt:lpwstr>
      </vt:variant>
      <vt:variant>
        <vt:lpwstr/>
      </vt:variant>
      <vt:variant>
        <vt:i4>7471231</vt:i4>
      </vt:variant>
      <vt:variant>
        <vt:i4>129</vt:i4>
      </vt:variant>
      <vt:variant>
        <vt:i4>0</vt:i4>
      </vt:variant>
      <vt:variant>
        <vt:i4>5</vt:i4>
      </vt:variant>
      <vt:variant>
        <vt:lpwstr>https://www.mhwc.govt.nz/assets/Te-Rau-Tira-Wellbeing-Outcomes-Report-2021/Te-Rau-Tira-Wellbeing-Outcomes-Report-2021-FINAL-WEB.pdf</vt:lpwstr>
      </vt:variant>
      <vt:variant>
        <vt:lpwstr/>
      </vt:variant>
      <vt:variant>
        <vt:i4>3735674</vt:i4>
      </vt:variant>
      <vt:variant>
        <vt:i4>126</vt:i4>
      </vt:variant>
      <vt:variant>
        <vt:i4>0</vt:i4>
      </vt:variant>
      <vt:variant>
        <vt:i4>5</vt:i4>
      </vt:variant>
      <vt:variant>
        <vt:lpwstr>https://www.mhwc.govt.nz/assets/He-Ara-Oranga-wellbeing-outcomes-framework/30-June-2022/HAO-population-indicators-FINAL.pdf</vt:lpwstr>
      </vt:variant>
      <vt:variant>
        <vt:lpwstr/>
      </vt:variant>
      <vt:variant>
        <vt:i4>2031637</vt:i4>
      </vt:variant>
      <vt:variant>
        <vt:i4>123</vt:i4>
      </vt:variant>
      <vt:variant>
        <vt:i4>0</vt:i4>
      </vt:variant>
      <vt:variant>
        <vt:i4>5</vt:i4>
      </vt:variant>
      <vt:variant>
        <vt:lpwstr>https://www.mhwc.govt.nz/assets/He-Ara-Oranga-wellbeing-outcomes-framework/Data-phase-report/HAO-outcomes-framework-data-phase-report-February-2021-FINAL.pdf</vt:lpwstr>
      </vt:variant>
      <vt:variant>
        <vt:lpwstr/>
      </vt:variant>
      <vt:variant>
        <vt:i4>4915231</vt:i4>
      </vt:variant>
      <vt:variant>
        <vt:i4>120</vt:i4>
      </vt:variant>
      <vt:variant>
        <vt:i4>0</vt:i4>
      </vt:variant>
      <vt:variant>
        <vt:i4>5</vt:i4>
      </vt:variant>
      <vt:variant>
        <vt:lpwstr>https://www.mhwc.govt.nz/the-initial-commission/he-ara-oranga-wellbeing-outcomes-framework/data-phase/technical-advisory-groups/</vt:lpwstr>
      </vt:variant>
      <vt:variant>
        <vt:lpwstr/>
      </vt:variant>
      <vt:variant>
        <vt:i4>983047</vt:i4>
      </vt:variant>
      <vt:variant>
        <vt:i4>117</vt:i4>
      </vt:variant>
      <vt:variant>
        <vt:i4>0</vt:i4>
      </vt:variant>
      <vt:variant>
        <vt:i4>5</vt:i4>
      </vt:variant>
      <vt:variant>
        <vt:lpwstr>https://www.mhwc.govt.nz/the-initial-commission/he-ara-oranga-wellbeing-outcomes-framework/expert-advisory-group/</vt:lpwstr>
      </vt:variant>
      <vt:variant>
        <vt:lpwstr/>
      </vt:variant>
      <vt:variant>
        <vt:i4>3080230</vt:i4>
      </vt:variant>
      <vt:variant>
        <vt:i4>114</vt:i4>
      </vt:variant>
      <vt:variant>
        <vt:i4>0</vt:i4>
      </vt:variant>
      <vt:variant>
        <vt:i4>5</vt:i4>
      </vt:variant>
      <vt:variant>
        <vt:lpwstr>https://www.mhwc.govt.nz/the-initial-commission/he-ara-oranga-wellbeing-outcomes-framework/data-phase/</vt:lpwstr>
      </vt:variant>
      <vt:variant>
        <vt:lpwstr/>
      </vt:variant>
      <vt:variant>
        <vt:i4>4390993</vt:i4>
      </vt:variant>
      <vt:variant>
        <vt:i4>111</vt:i4>
      </vt:variant>
      <vt:variant>
        <vt:i4>0</vt:i4>
      </vt:variant>
      <vt:variant>
        <vt:i4>5</vt:i4>
      </vt:variant>
      <vt:variant>
        <vt:lpwstr>https://www.mhwc.govt.nz/the-initial-commission/he-ara-oranga-wellbeing-outcomes-framework/conceptual-framework/</vt:lpwstr>
      </vt:variant>
      <vt:variant>
        <vt:lpwstr/>
      </vt:variant>
      <vt:variant>
        <vt:i4>7667815</vt:i4>
      </vt:variant>
      <vt:variant>
        <vt:i4>108</vt:i4>
      </vt:variant>
      <vt:variant>
        <vt:i4>0</vt:i4>
      </vt:variant>
      <vt:variant>
        <vt:i4>5</vt:i4>
      </vt:variant>
      <vt:variant>
        <vt:lpwstr>https://www.mhwc.govt.nz/the-initial-commission/he-ara-oranga-wellbeing-outcomes-framework/co-define-phase/</vt:lpwstr>
      </vt:variant>
      <vt:variant>
        <vt:lpwstr/>
      </vt:variant>
      <vt:variant>
        <vt:i4>1572873</vt:i4>
      </vt:variant>
      <vt:variant>
        <vt:i4>105</vt:i4>
      </vt:variant>
      <vt:variant>
        <vt:i4>0</vt:i4>
      </vt:variant>
      <vt:variant>
        <vt:i4>5</vt:i4>
      </vt:variant>
      <vt:variant>
        <vt:lpwstr>https://www.mhwc.govt.nz/the-initial-commission/he-ara-awhina-service-level-monitoring-framework/</vt:lpwstr>
      </vt:variant>
      <vt:variant>
        <vt:lpwstr/>
      </vt:variant>
      <vt:variant>
        <vt:i4>3407921</vt:i4>
      </vt:variant>
      <vt:variant>
        <vt:i4>102</vt:i4>
      </vt:variant>
      <vt:variant>
        <vt:i4>0</vt:i4>
      </vt:variant>
      <vt:variant>
        <vt:i4>5</vt:i4>
      </vt:variant>
      <vt:variant>
        <vt:lpwstr>https://mentalhealth.inquiry.govt.nz/inquiry-report/he-ara-oranga/</vt:lpwstr>
      </vt:variant>
      <vt:variant>
        <vt:lpwstr/>
      </vt:variant>
      <vt:variant>
        <vt:i4>5308484</vt:i4>
      </vt:variant>
      <vt:variant>
        <vt:i4>99</vt:i4>
      </vt:variant>
      <vt:variant>
        <vt:i4>0</vt:i4>
      </vt:variant>
      <vt:variant>
        <vt:i4>5</vt:i4>
      </vt:variant>
      <vt:variant>
        <vt:lpwstr>https://www.mhwc.govt.nz/our-work/he-ara-oranga-wellbeing-outcomes-framework/</vt:lpwstr>
      </vt:variant>
      <vt:variant>
        <vt:lpwstr/>
      </vt:variant>
      <vt:variant>
        <vt:i4>983043</vt:i4>
      </vt:variant>
      <vt:variant>
        <vt:i4>96</vt:i4>
      </vt:variant>
      <vt:variant>
        <vt:i4>0</vt:i4>
      </vt:variant>
      <vt:variant>
        <vt:i4>5</vt:i4>
      </vt:variant>
      <vt:variant>
        <vt:lpwstr>https://www.mhwc.govt.nz/our-work/assessing-and-monitoring-the-mental-health-and-addiction-system/technical-advisory-network/</vt:lpwstr>
      </vt:variant>
      <vt:variant>
        <vt:lpwstr/>
      </vt:variant>
      <vt:variant>
        <vt:i4>2228270</vt:i4>
      </vt:variant>
      <vt:variant>
        <vt:i4>93</vt:i4>
      </vt:variant>
      <vt:variant>
        <vt:i4>0</vt:i4>
      </vt:variant>
      <vt:variant>
        <vt:i4>5</vt:i4>
      </vt:variant>
      <vt:variant>
        <vt:lpwstr>https://www.mhwc.govt.nz/our-work/assessing-and-monitoring-the-mental-health-and-addiction-system/</vt:lpwstr>
      </vt:variant>
      <vt:variant>
        <vt:lpwstr/>
      </vt:variant>
      <vt:variant>
        <vt:i4>1507390</vt:i4>
      </vt:variant>
      <vt:variant>
        <vt:i4>86</vt:i4>
      </vt:variant>
      <vt:variant>
        <vt:i4>0</vt:i4>
      </vt:variant>
      <vt:variant>
        <vt:i4>5</vt:i4>
      </vt:variant>
      <vt:variant>
        <vt:lpwstr/>
      </vt:variant>
      <vt:variant>
        <vt:lpwstr>_Toc135392328</vt:lpwstr>
      </vt:variant>
      <vt:variant>
        <vt:i4>1507390</vt:i4>
      </vt:variant>
      <vt:variant>
        <vt:i4>80</vt:i4>
      </vt:variant>
      <vt:variant>
        <vt:i4>0</vt:i4>
      </vt:variant>
      <vt:variant>
        <vt:i4>5</vt:i4>
      </vt:variant>
      <vt:variant>
        <vt:lpwstr/>
      </vt:variant>
      <vt:variant>
        <vt:lpwstr>_Toc135392327</vt:lpwstr>
      </vt:variant>
      <vt:variant>
        <vt:i4>1507390</vt:i4>
      </vt:variant>
      <vt:variant>
        <vt:i4>74</vt:i4>
      </vt:variant>
      <vt:variant>
        <vt:i4>0</vt:i4>
      </vt:variant>
      <vt:variant>
        <vt:i4>5</vt:i4>
      </vt:variant>
      <vt:variant>
        <vt:lpwstr/>
      </vt:variant>
      <vt:variant>
        <vt:lpwstr>_Toc135392326</vt:lpwstr>
      </vt:variant>
      <vt:variant>
        <vt:i4>1507390</vt:i4>
      </vt:variant>
      <vt:variant>
        <vt:i4>68</vt:i4>
      </vt:variant>
      <vt:variant>
        <vt:i4>0</vt:i4>
      </vt:variant>
      <vt:variant>
        <vt:i4>5</vt:i4>
      </vt:variant>
      <vt:variant>
        <vt:lpwstr/>
      </vt:variant>
      <vt:variant>
        <vt:lpwstr>_Toc135392325</vt:lpwstr>
      </vt:variant>
      <vt:variant>
        <vt:i4>1507390</vt:i4>
      </vt:variant>
      <vt:variant>
        <vt:i4>62</vt:i4>
      </vt:variant>
      <vt:variant>
        <vt:i4>0</vt:i4>
      </vt:variant>
      <vt:variant>
        <vt:i4>5</vt:i4>
      </vt:variant>
      <vt:variant>
        <vt:lpwstr/>
      </vt:variant>
      <vt:variant>
        <vt:lpwstr>_Toc135392324</vt:lpwstr>
      </vt:variant>
      <vt:variant>
        <vt:i4>1507390</vt:i4>
      </vt:variant>
      <vt:variant>
        <vt:i4>56</vt:i4>
      </vt:variant>
      <vt:variant>
        <vt:i4>0</vt:i4>
      </vt:variant>
      <vt:variant>
        <vt:i4>5</vt:i4>
      </vt:variant>
      <vt:variant>
        <vt:lpwstr/>
      </vt:variant>
      <vt:variant>
        <vt:lpwstr>_Toc135392323</vt:lpwstr>
      </vt:variant>
      <vt:variant>
        <vt:i4>1507390</vt:i4>
      </vt:variant>
      <vt:variant>
        <vt:i4>50</vt:i4>
      </vt:variant>
      <vt:variant>
        <vt:i4>0</vt:i4>
      </vt:variant>
      <vt:variant>
        <vt:i4>5</vt:i4>
      </vt:variant>
      <vt:variant>
        <vt:lpwstr/>
      </vt:variant>
      <vt:variant>
        <vt:lpwstr>_Toc135392322</vt:lpwstr>
      </vt:variant>
      <vt:variant>
        <vt:i4>1507390</vt:i4>
      </vt:variant>
      <vt:variant>
        <vt:i4>44</vt:i4>
      </vt:variant>
      <vt:variant>
        <vt:i4>0</vt:i4>
      </vt:variant>
      <vt:variant>
        <vt:i4>5</vt:i4>
      </vt:variant>
      <vt:variant>
        <vt:lpwstr/>
      </vt:variant>
      <vt:variant>
        <vt:lpwstr>_Toc135392321</vt:lpwstr>
      </vt:variant>
      <vt:variant>
        <vt:i4>1507390</vt:i4>
      </vt:variant>
      <vt:variant>
        <vt:i4>38</vt:i4>
      </vt:variant>
      <vt:variant>
        <vt:i4>0</vt:i4>
      </vt:variant>
      <vt:variant>
        <vt:i4>5</vt:i4>
      </vt:variant>
      <vt:variant>
        <vt:lpwstr/>
      </vt:variant>
      <vt:variant>
        <vt:lpwstr>_Toc135392320</vt:lpwstr>
      </vt:variant>
      <vt:variant>
        <vt:i4>1310782</vt:i4>
      </vt:variant>
      <vt:variant>
        <vt:i4>32</vt:i4>
      </vt:variant>
      <vt:variant>
        <vt:i4>0</vt:i4>
      </vt:variant>
      <vt:variant>
        <vt:i4>5</vt:i4>
      </vt:variant>
      <vt:variant>
        <vt:lpwstr/>
      </vt:variant>
      <vt:variant>
        <vt:lpwstr>_Toc135392319</vt:lpwstr>
      </vt:variant>
      <vt:variant>
        <vt:i4>1310782</vt:i4>
      </vt:variant>
      <vt:variant>
        <vt:i4>26</vt:i4>
      </vt:variant>
      <vt:variant>
        <vt:i4>0</vt:i4>
      </vt:variant>
      <vt:variant>
        <vt:i4>5</vt:i4>
      </vt:variant>
      <vt:variant>
        <vt:lpwstr/>
      </vt:variant>
      <vt:variant>
        <vt:lpwstr>_Toc135392318</vt:lpwstr>
      </vt:variant>
      <vt:variant>
        <vt:i4>1310782</vt:i4>
      </vt:variant>
      <vt:variant>
        <vt:i4>20</vt:i4>
      </vt:variant>
      <vt:variant>
        <vt:i4>0</vt:i4>
      </vt:variant>
      <vt:variant>
        <vt:i4>5</vt:i4>
      </vt:variant>
      <vt:variant>
        <vt:lpwstr/>
      </vt:variant>
      <vt:variant>
        <vt:lpwstr>_Toc135392317</vt:lpwstr>
      </vt:variant>
      <vt:variant>
        <vt:i4>1310782</vt:i4>
      </vt:variant>
      <vt:variant>
        <vt:i4>14</vt:i4>
      </vt:variant>
      <vt:variant>
        <vt:i4>0</vt:i4>
      </vt:variant>
      <vt:variant>
        <vt:i4>5</vt:i4>
      </vt:variant>
      <vt:variant>
        <vt:lpwstr/>
      </vt:variant>
      <vt:variant>
        <vt:lpwstr>_Toc135392316</vt:lpwstr>
      </vt:variant>
      <vt:variant>
        <vt:i4>1310782</vt:i4>
      </vt:variant>
      <vt:variant>
        <vt:i4>8</vt:i4>
      </vt:variant>
      <vt:variant>
        <vt:i4>0</vt:i4>
      </vt:variant>
      <vt:variant>
        <vt:i4>5</vt:i4>
      </vt:variant>
      <vt:variant>
        <vt:lpwstr/>
      </vt:variant>
      <vt:variant>
        <vt:lpwstr>_Toc135392315</vt:lpwstr>
      </vt:variant>
      <vt:variant>
        <vt:i4>4522014</vt:i4>
      </vt:variant>
      <vt:variant>
        <vt:i4>3</vt:i4>
      </vt:variant>
      <vt:variant>
        <vt:i4>0</vt:i4>
      </vt:variant>
      <vt:variant>
        <vt:i4>5</vt:i4>
      </vt:variant>
      <vt:variant>
        <vt:lpwstr>http://www.mhwc.govt.nz/</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6619172</vt:i4>
      </vt:variant>
      <vt:variant>
        <vt:i4>6</vt:i4>
      </vt:variant>
      <vt:variant>
        <vt:i4>0</vt:i4>
      </vt:variant>
      <vt:variant>
        <vt:i4>5</vt:i4>
      </vt:variant>
      <vt:variant>
        <vt:lpwstr>https://www.procurement.govt.nz/procurement/specialised-procurement/social-services-procurement/developing-a-social-services-procurement-plan/how-to-measure-outcomes-and-outputs/</vt:lpwstr>
      </vt:variant>
      <vt:variant>
        <vt:lpwstr/>
      </vt:variant>
      <vt:variant>
        <vt:i4>6881383</vt:i4>
      </vt:variant>
      <vt:variant>
        <vt:i4>3</vt:i4>
      </vt:variant>
      <vt:variant>
        <vt:i4>0</vt:i4>
      </vt:variant>
      <vt:variant>
        <vt:i4>5</vt:i4>
      </vt:variant>
      <vt:variant>
        <vt:lpwstr>https://www.digital.govt.nz/assets/Standards-guidance/Privacy/Data-Protection-and-Use-Policy-DPUP-January-2022-Version-1.2.pdf</vt:lpwstr>
      </vt:variant>
      <vt:variant>
        <vt:lpwstr/>
      </vt:variant>
      <vt:variant>
        <vt:i4>1179705</vt:i4>
      </vt:variant>
      <vt:variant>
        <vt:i4>0</vt:i4>
      </vt:variant>
      <vt:variant>
        <vt:i4>0</vt:i4>
      </vt:variant>
      <vt:variant>
        <vt:i4>5</vt:i4>
      </vt:variant>
      <vt:variant>
        <vt:lpwstr/>
      </vt:variant>
      <vt:variant>
        <vt:lpwstr>_Appendix_2:_Common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 Lingley</dc:creator>
  <cp:keywords/>
  <dc:description/>
  <cp:lastModifiedBy>Emily Nixon</cp:lastModifiedBy>
  <cp:revision>4</cp:revision>
  <cp:lastPrinted>2023-05-29T18:44:00Z</cp:lastPrinted>
  <dcterms:created xsi:type="dcterms:W3CDTF">2023-05-30T02:41:00Z</dcterms:created>
  <dcterms:modified xsi:type="dcterms:W3CDTF">2023-05-30T02:50:00Z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0x010100EC715CFEA79834468078ACA06B4C38E4004EF78A82A15C8147AE70441C92B3DF4A</vt:lpwstr>
  </property>
  <property fmtid="{D5CDD505-2E9C-101B-9397-08002B2CF9AE}" pid="3" name="_dlc_DocIdItemGuid">
    <vt:lpwstr>c12aa466-cdb5-432e-897d-d867691b4055</vt:lpwstr>
  </property>
  <property fmtid="{D5CDD505-2E9C-101B-9397-08002B2CF9AE}" pid="4" name="BusinessFunction">
    <vt:lpwstr/>
  </property>
  <property fmtid="{D5CDD505-2E9C-101B-9397-08002B2CF9AE}" pid="5" name="MediaServiceImageTags">
    <vt:lpwstr/>
  </property>
</Properties>
</file>