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EBEBA81" w14:textId="07CA358E" w:rsidR="00795E5C" w:rsidRPr="00012AAC" w:rsidRDefault="00800904">
      <w:pPr>
        <w:pStyle w:val="Title"/>
        <w:rPr>
          <w:b/>
          <w:bCs/>
          <w:i/>
          <w:iCs/>
          <w:sz w:val="28"/>
          <w:szCs w:val="28"/>
        </w:rPr>
      </w:pPr>
      <w:r w:rsidRPr="004E4CE4">
        <w:rPr>
          <w:b/>
          <w:bCs/>
          <w:sz w:val="36"/>
          <w:szCs w:val="36"/>
        </w:rPr>
        <w:t>Waenga Mōrearea, He Ara Oranga</w:t>
      </w:r>
      <w:r w:rsidRPr="004E4CE4">
        <w:rPr>
          <w:b/>
          <w:bCs/>
          <w:sz w:val="36"/>
          <w:szCs w:val="36"/>
        </w:rPr>
        <w:br/>
      </w:r>
      <w:r w:rsidRPr="00800904">
        <w:rPr>
          <w:b/>
          <w:bCs/>
          <w:sz w:val="44"/>
          <w:szCs w:val="44"/>
        </w:rPr>
        <w:t xml:space="preserve">He Tirohanga </w:t>
      </w:r>
      <w:r w:rsidR="004E4CE4">
        <w:rPr>
          <w:b/>
          <w:bCs/>
          <w:sz w:val="44"/>
          <w:szCs w:val="44"/>
        </w:rPr>
        <w:t xml:space="preserve">o </w:t>
      </w:r>
      <w:r w:rsidRPr="00800904">
        <w:rPr>
          <w:b/>
          <w:bCs/>
          <w:sz w:val="44"/>
          <w:szCs w:val="44"/>
        </w:rPr>
        <w:t xml:space="preserve">Te Ara Tūroa </w:t>
      </w:r>
      <w:r w:rsidRPr="00800904">
        <w:rPr>
          <w:b/>
          <w:bCs/>
          <w:sz w:val="44"/>
          <w:szCs w:val="44"/>
        </w:rPr>
        <w:br/>
      </w:r>
      <w:r w:rsidRPr="00800904">
        <w:rPr>
          <w:sz w:val="28"/>
          <w:szCs w:val="28"/>
        </w:rPr>
        <w:t>Bold Directions for the future of Aotearoa's Mental Health System</w:t>
      </w:r>
      <w:r w:rsidR="00F974C6" w:rsidRPr="00800904">
        <w:rPr>
          <w:sz w:val="40"/>
          <w:szCs w:val="40"/>
        </w:rPr>
        <w:br/>
      </w:r>
      <w:r w:rsidRPr="00012AAC">
        <w:rPr>
          <w:b/>
          <w:bCs/>
          <w:i/>
          <w:iCs/>
          <w:sz w:val="28"/>
          <w:szCs w:val="28"/>
        </w:rPr>
        <w:t xml:space="preserve">A synthesis of the closing participatory session from Te Ara Tūroa </w:t>
      </w:r>
    </w:p>
    <w:p w14:paraId="549A2D53" w14:textId="77777777" w:rsidR="00552BB4" w:rsidRPr="00552BB4" w:rsidRDefault="00552BB4" w:rsidP="00552BB4">
      <w:pPr>
        <w:pStyle w:val="Heading2"/>
      </w:pPr>
      <w:r w:rsidRPr="00552BB4">
        <w:t>Acknowledgements</w:t>
      </w:r>
    </w:p>
    <w:p w14:paraId="077F0E63" w14:textId="77777777" w:rsidR="008C44D1" w:rsidRPr="008C44D1" w:rsidRDefault="008C44D1" w:rsidP="008C44D1">
      <w:proofErr w:type="spellStart"/>
      <w:r w:rsidRPr="008C44D1">
        <w:t>Te</w:t>
      </w:r>
      <w:proofErr w:type="spellEnd"/>
      <w:r w:rsidRPr="008C44D1">
        <w:t xml:space="preserve"> Hiringa Mahara – the Mental Health and Wellbeing Commission, Ember Innovations, and </w:t>
      </w:r>
      <w:proofErr w:type="spellStart"/>
      <w:r w:rsidRPr="008C44D1">
        <w:t>TheMHS</w:t>
      </w:r>
      <w:proofErr w:type="spellEnd"/>
      <w:r w:rsidRPr="008C44D1">
        <w:t xml:space="preserve"> (Australasian Mental Health Conference) co-designed the final participatory session at </w:t>
      </w:r>
      <w:proofErr w:type="spellStart"/>
      <w:r w:rsidRPr="008C44D1">
        <w:t>Te</w:t>
      </w:r>
      <w:proofErr w:type="spellEnd"/>
      <w:r w:rsidRPr="008C44D1">
        <w:t xml:space="preserve"> Ara </w:t>
      </w:r>
      <w:proofErr w:type="spellStart"/>
      <w:r w:rsidRPr="008C44D1">
        <w:t>Tūroa</w:t>
      </w:r>
      <w:proofErr w:type="spellEnd"/>
      <w:r w:rsidRPr="008C44D1">
        <w:t xml:space="preserve"> — a shared space for collective reflection, provocation, and system imagination.</w:t>
      </w:r>
    </w:p>
    <w:p w14:paraId="3057969A" w14:textId="484A6A4E" w:rsidR="008C44D1" w:rsidRPr="008C44D1" w:rsidRDefault="008C44D1" w:rsidP="008C44D1">
      <w:r w:rsidRPr="008C44D1">
        <w:t>We jointly acknowledge and thank every</w:t>
      </w:r>
      <w:r w:rsidR="00F757A3">
        <w:t>one</w:t>
      </w:r>
      <w:r w:rsidRPr="008C44D1">
        <w:t xml:space="preserve"> who contributed insight, courage, and lived experience to this process. This synthesis reflects their voices</w:t>
      </w:r>
      <w:r w:rsidR="00F757A3">
        <w:t xml:space="preserve"> and </w:t>
      </w:r>
      <w:r w:rsidRPr="008C44D1">
        <w:t>offers a picture of the shared direction of travel emerging across the sector.</w:t>
      </w:r>
    </w:p>
    <w:p w14:paraId="2B3952FC" w14:textId="4A14F937" w:rsidR="008C44D1" w:rsidRPr="008C44D1" w:rsidRDefault="008C44D1" w:rsidP="008C44D1">
      <w:r w:rsidRPr="008C44D1">
        <w:t>Many of the ideas surfaced here are not new. They echo long-held aspirations, community wisdom, and insights raised repeatedly by t</w:t>
      </w:r>
      <w:r w:rsidR="00F757A3">
        <w:t>ā</w:t>
      </w:r>
      <w:r w:rsidRPr="008C44D1">
        <w:t xml:space="preserve">ngata </w:t>
      </w:r>
      <w:proofErr w:type="spellStart"/>
      <w:r w:rsidRPr="008C44D1">
        <w:t>whaiora</w:t>
      </w:r>
      <w:proofErr w:type="spellEnd"/>
      <w:r w:rsidRPr="008C44D1">
        <w:t xml:space="preserve">, whānau, practitioners, researchers, and leaders across Aotearoa. Their re-emergence at </w:t>
      </w:r>
      <w:proofErr w:type="spellStart"/>
      <w:r w:rsidRPr="008C44D1">
        <w:t>Te</w:t>
      </w:r>
      <w:proofErr w:type="spellEnd"/>
      <w:r w:rsidRPr="008C44D1">
        <w:t xml:space="preserve"> Ara </w:t>
      </w:r>
      <w:proofErr w:type="spellStart"/>
      <w:r w:rsidRPr="008C44D1">
        <w:t>Tūroa</w:t>
      </w:r>
      <w:proofErr w:type="spellEnd"/>
      <w:r w:rsidRPr="008C44D1">
        <w:t xml:space="preserve"> does not signal a lack of progress </w:t>
      </w:r>
      <w:r w:rsidR="00F757A3">
        <w:t>-</w:t>
      </w:r>
      <w:r w:rsidRPr="008C44D1">
        <w:t xml:space="preserve"> instead, it affirms their endurance, their ongoing relevance, and the determination of the sector to keep them alive in our system conversations. Together, they form a throughline of hope and persistence, pointing toward a mental health system grounded in connection, dignity, equity, and care.</w:t>
      </w:r>
    </w:p>
    <w:p w14:paraId="68FC80AD" w14:textId="48D3DCB0" w:rsidR="00552BB4" w:rsidRPr="00552BB4" w:rsidRDefault="00552BB4" w:rsidP="00552BB4">
      <w:pPr>
        <w:pStyle w:val="Heading2"/>
      </w:pPr>
      <w:r w:rsidRPr="00552BB4">
        <w:t>Executive Summary</w:t>
      </w:r>
    </w:p>
    <w:p w14:paraId="6EAB78AE" w14:textId="5FE869FA" w:rsidR="008C44D1" w:rsidRPr="008C44D1" w:rsidRDefault="008C44D1" w:rsidP="008C44D1">
      <w:r w:rsidRPr="008C44D1">
        <w:t xml:space="preserve">The closing session of </w:t>
      </w:r>
      <w:proofErr w:type="spellStart"/>
      <w:r w:rsidRPr="008C44D1">
        <w:t>Te</w:t>
      </w:r>
      <w:proofErr w:type="spellEnd"/>
      <w:r w:rsidRPr="008C44D1">
        <w:t xml:space="preserve"> Ara </w:t>
      </w:r>
      <w:proofErr w:type="spellStart"/>
      <w:r w:rsidRPr="008C44D1">
        <w:t>Tūroa</w:t>
      </w:r>
      <w:proofErr w:type="spellEnd"/>
      <w:r w:rsidRPr="008C44D1">
        <w:t xml:space="preserve"> invited around 200 delegates to co-create a vision for the future of mental health and wellbeing innovation in Aotearoa. Using a Liberating Structures approach — </w:t>
      </w:r>
      <w:r w:rsidRPr="008C44D1">
        <w:rPr>
          <w:i/>
          <w:iCs/>
        </w:rPr>
        <w:t>What? So What? Now What?</w:t>
      </w:r>
      <w:r w:rsidRPr="008C44D1">
        <w:t xml:space="preserve"> — participants identified what is happening across the system, why these signals matter, and where bold action is most needed.</w:t>
      </w:r>
    </w:p>
    <w:p w14:paraId="43418B7E" w14:textId="5E364469" w:rsidR="008C44D1" w:rsidRPr="008C44D1" w:rsidRDefault="008C44D1" w:rsidP="008C44D1">
      <w:pPr>
        <w:spacing w:after="0"/>
      </w:pPr>
      <w:r>
        <w:rPr>
          <w:noProof/>
        </w:rPr>
        <w:drawing>
          <wp:anchor distT="0" distB="0" distL="114300" distR="114300" simplePos="0" relativeHeight="251673600" behindDoc="0" locked="0" layoutInCell="1" allowOverlap="1" wp14:anchorId="081CE023" wp14:editId="0E02BB93">
            <wp:simplePos x="0" y="0"/>
            <wp:positionH relativeFrom="column">
              <wp:posOffset>3800475</wp:posOffset>
            </wp:positionH>
            <wp:positionV relativeFrom="paragraph">
              <wp:posOffset>68580</wp:posOffset>
            </wp:positionV>
            <wp:extent cx="2197735" cy="1200150"/>
            <wp:effectExtent l="0" t="0" r="0" b="0"/>
            <wp:wrapSquare wrapText="bothSides"/>
            <wp:docPr id="1489466819" name="Picture 4" descr="A person writing on a piece of pap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9466819" name="Picture 4" descr="A person writing on a piece of paper&#10;&#10;AI-generated content may be incorrect.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197735" cy="12001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8C44D1">
        <w:t>Across sectors and communities, several strong aspirations converged:</w:t>
      </w:r>
    </w:p>
    <w:p w14:paraId="44914A59" w14:textId="42C016C4" w:rsidR="008C44D1" w:rsidRPr="008C44D1" w:rsidRDefault="008C44D1" w:rsidP="008C44D1">
      <w:pPr>
        <w:numPr>
          <w:ilvl w:val="0"/>
          <w:numId w:val="19"/>
        </w:numPr>
        <w:spacing w:after="0"/>
      </w:pPr>
      <w:r w:rsidRPr="008C44D1">
        <w:rPr>
          <w:b/>
          <w:bCs/>
        </w:rPr>
        <w:t>courageous and collaborative leadership</w:t>
      </w:r>
      <w:r w:rsidRPr="008C44D1">
        <w:t>,</w:t>
      </w:r>
    </w:p>
    <w:p w14:paraId="14DE0F8D" w14:textId="77777777" w:rsidR="008C44D1" w:rsidRPr="008C44D1" w:rsidRDefault="008C44D1" w:rsidP="008C44D1">
      <w:pPr>
        <w:numPr>
          <w:ilvl w:val="0"/>
          <w:numId w:val="19"/>
        </w:numPr>
        <w:spacing w:after="0"/>
      </w:pPr>
      <w:r w:rsidRPr="008C44D1">
        <w:rPr>
          <w:b/>
          <w:bCs/>
        </w:rPr>
        <w:t>investment that builds momentum and community capability</w:t>
      </w:r>
      <w:r w:rsidRPr="008C44D1">
        <w:t>,</w:t>
      </w:r>
    </w:p>
    <w:p w14:paraId="2607582F" w14:textId="77777777" w:rsidR="008C44D1" w:rsidRPr="008C44D1" w:rsidRDefault="008C44D1" w:rsidP="008C44D1">
      <w:pPr>
        <w:numPr>
          <w:ilvl w:val="0"/>
          <w:numId w:val="19"/>
        </w:numPr>
        <w:spacing w:after="0"/>
      </w:pPr>
      <w:r w:rsidRPr="008C44D1">
        <w:rPr>
          <w:b/>
          <w:bCs/>
        </w:rPr>
        <w:t>youth- and peer-led innovation</w:t>
      </w:r>
      <w:r w:rsidRPr="008C44D1">
        <w:t>, and</w:t>
      </w:r>
    </w:p>
    <w:p w14:paraId="02CED340" w14:textId="77777777" w:rsidR="008C44D1" w:rsidRPr="008C44D1" w:rsidRDefault="008C44D1" w:rsidP="008C44D1">
      <w:pPr>
        <w:numPr>
          <w:ilvl w:val="0"/>
          <w:numId w:val="19"/>
        </w:numPr>
      </w:pPr>
      <w:r w:rsidRPr="008C44D1">
        <w:rPr>
          <w:b/>
          <w:bCs/>
        </w:rPr>
        <w:t>a shift toward whānau- and community-</w:t>
      </w:r>
      <w:proofErr w:type="spellStart"/>
      <w:r w:rsidRPr="008C44D1">
        <w:rPr>
          <w:b/>
          <w:bCs/>
        </w:rPr>
        <w:t>centred</w:t>
      </w:r>
      <w:proofErr w:type="spellEnd"/>
      <w:r w:rsidRPr="008C44D1">
        <w:rPr>
          <w:b/>
          <w:bCs/>
        </w:rPr>
        <w:t xml:space="preserve"> ecosystems of care</w:t>
      </w:r>
      <w:r w:rsidRPr="008C44D1">
        <w:t>.</w:t>
      </w:r>
    </w:p>
    <w:p w14:paraId="538AFF5D" w14:textId="77777777" w:rsidR="008C44D1" w:rsidRPr="008C44D1" w:rsidRDefault="008C44D1" w:rsidP="008C44D1">
      <w:r w:rsidRPr="008C44D1">
        <w:t xml:space="preserve">These are not </w:t>
      </w:r>
      <w:proofErr w:type="spellStart"/>
      <w:r w:rsidRPr="008C44D1">
        <w:t>organisational</w:t>
      </w:r>
      <w:proofErr w:type="spellEnd"/>
      <w:r w:rsidRPr="008C44D1">
        <w:t xml:space="preserve"> directives; they are </w:t>
      </w:r>
      <w:r w:rsidRPr="008C44D1">
        <w:rPr>
          <w:b/>
          <w:bCs/>
        </w:rPr>
        <w:t>sector-wide signals of energy, urgency, and possibility</w:t>
      </w:r>
      <w:r w:rsidRPr="008C44D1">
        <w:t>.</w:t>
      </w:r>
    </w:p>
    <w:p w14:paraId="5D77D70F" w14:textId="06EEBFBD" w:rsidR="00F8694C" w:rsidRPr="00552BB4" w:rsidRDefault="00F8694C" w:rsidP="00552BB4"/>
    <w:p w14:paraId="7FAA4CDE" w14:textId="77777777" w:rsidR="00552BB4" w:rsidRPr="00552BB4" w:rsidRDefault="00552BB4" w:rsidP="00552BB4">
      <w:pPr>
        <w:pStyle w:val="Heading2"/>
      </w:pPr>
      <w:r w:rsidRPr="00552BB4">
        <w:lastRenderedPageBreak/>
        <w:t>WHAT – What We Noticed</w:t>
      </w:r>
    </w:p>
    <w:p w14:paraId="1E5CFB2A" w14:textId="77777777" w:rsidR="008C44D1" w:rsidRPr="008C44D1" w:rsidRDefault="008C44D1" w:rsidP="008C44D1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8C44D1">
        <w:rPr>
          <w:rFonts w:ascii="Times New Roman" w:eastAsia="Times New Roman" w:hAnsi="Times New Roman" w:cs="Times New Roman"/>
          <w:sz w:val="24"/>
          <w:szCs w:val="24"/>
        </w:rPr>
        <w:t xml:space="preserve">Participants identified six major themes </w:t>
      </w:r>
      <w:proofErr w:type="spellStart"/>
      <w:r w:rsidRPr="008C44D1">
        <w:rPr>
          <w:rFonts w:ascii="Times New Roman" w:eastAsia="Times New Roman" w:hAnsi="Times New Roman" w:cs="Times New Roman"/>
          <w:sz w:val="24"/>
          <w:szCs w:val="24"/>
        </w:rPr>
        <w:t>signalling</w:t>
      </w:r>
      <w:proofErr w:type="spellEnd"/>
      <w:r w:rsidRPr="008C44D1">
        <w:rPr>
          <w:rFonts w:ascii="Times New Roman" w:eastAsia="Times New Roman" w:hAnsi="Times New Roman" w:cs="Times New Roman"/>
          <w:sz w:val="24"/>
          <w:szCs w:val="24"/>
        </w:rPr>
        <w:t xml:space="preserve"> where change is already emerging:</w:t>
      </w:r>
    </w:p>
    <w:p w14:paraId="701C2F3B" w14:textId="77777777" w:rsidR="008C44D1" w:rsidRPr="008C44D1" w:rsidRDefault="008C44D1" w:rsidP="008C44D1">
      <w:pPr>
        <w:numPr>
          <w:ilvl w:val="0"/>
          <w:numId w:val="18"/>
        </w:numPr>
        <w:spacing w:before="100" w:beforeAutospacing="1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8C44D1">
        <w:rPr>
          <w:rFonts w:ascii="Times New Roman" w:eastAsia="Times New Roman" w:hAnsi="Times New Roman" w:cs="Times New Roman"/>
          <w:b/>
          <w:bCs/>
          <w:sz w:val="24"/>
          <w:szCs w:val="24"/>
        </w:rPr>
        <w:t>Young People:</w:t>
      </w:r>
      <w:r w:rsidRPr="008C44D1">
        <w:rPr>
          <w:rFonts w:ascii="Times New Roman" w:eastAsia="Times New Roman" w:hAnsi="Times New Roman" w:cs="Times New Roman"/>
          <w:sz w:val="24"/>
          <w:szCs w:val="24"/>
        </w:rPr>
        <w:t xml:space="preserve"> Youth as innovators, designers and responders. A shift from consultation to meaningful participation, leadership, and authorship.</w:t>
      </w:r>
    </w:p>
    <w:p w14:paraId="044CD463" w14:textId="77777777" w:rsidR="008C44D1" w:rsidRPr="008C44D1" w:rsidRDefault="008C44D1" w:rsidP="008C44D1">
      <w:pPr>
        <w:numPr>
          <w:ilvl w:val="0"/>
          <w:numId w:val="18"/>
        </w:numPr>
        <w:spacing w:before="100" w:beforeAutospacing="1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8C44D1">
        <w:rPr>
          <w:rFonts w:ascii="Times New Roman" w:eastAsia="Times New Roman" w:hAnsi="Times New Roman" w:cs="Times New Roman"/>
          <w:b/>
          <w:bCs/>
          <w:sz w:val="24"/>
          <w:szCs w:val="24"/>
        </w:rPr>
        <w:t>Peer Support:</w:t>
      </w:r>
      <w:r w:rsidRPr="008C44D1">
        <w:rPr>
          <w:rFonts w:ascii="Times New Roman" w:eastAsia="Times New Roman" w:hAnsi="Times New Roman" w:cs="Times New Roman"/>
          <w:sz w:val="24"/>
          <w:szCs w:val="24"/>
        </w:rPr>
        <w:t xml:space="preserve"> “Peer first, peer last.” Lived-experience leadership is an essential design principle, not a peripheral service component.</w:t>
      </w:r>
    </w:p>
    <w:p w14:paraId="127C8773" w14:textId="77777777" w:rsidR="008C44D1" w:rsidRPr="008C44D1" w:rsidRDefault="008C44D1" w:rsidP="008C44D1">
      <w:pPr>
        <w:numPr>
          <w:ilvl w:val="0"/>
          <w:numId w:val="18"/>
        </w:numPr>
        <w:spacing w:before="100" w:beforeAutospacing="1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8C44D1">
        <w:rPr>
          <w:rFonts w:ascii="Times New Roman" w:eastAsia="Times New Roman" w:hAnsi="Times New Roman" w:cs="Times New Roman"/>
          <w:b/>
          <w:bCs/>
          <w:sz w:val="24"/>
          <w:szCs w:val="24"/>
        </w:rPr>
        <w:t>Service Design &amp; Early Intervention:</w:t>
      </w:r>
      <w:r w:rsidRPr="008C44D1">
        <w:rPr>
          <w:rFonts w:ascii="Times New Roman" w:eastAsia="Times New Roman" w:hAnsi="Times New Roman" w:cs="Times New Roman"/>
          <w:sz w:val="24"/>
          <w:szCs w:val="24"/>
        </w:rPr>
        <w:t xml:space="preserve"> A strong call for health promotion, prevention, trauma-informed practice and community-based hubs. Early support is relational — everyday connection prevents crisis.</w:t>
      </w:r>
    </w:p>
    <w:p w14:paraId="4E650411" w14:textId="77777777" w:rsidR="008C44D1" w:rsidRPr="008C44D1" w:rsidRDefault="008C44D1" w:rsidP="008C44D1">
      <w:pPr>
        <w:numPr>
          <w:ilvl w:val="0"/>
          <w:numId w:val="18"/>
        </w:numPr>
        <w:spacing w:before="100" w:beforeAutospacing="1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8C44D1">
        <w:rPr>
          <w:rFonts w:ascii="Times New Roman" w:eastAsia="Times New Roman" w:hAnsi="Times New Roman" w:cs="Times New Roman"/>
          <w:b/>
          <w:bCs/>
          <w:sz w:val="24"/>
          <w:szCs w:val="24"/>
        </w:rPr>
        <w:t>Human-</w:t>
      </w:r>
      <w:proofErr w:type="spellStart"/>
      <w:r w:rsidRPr="008C44D1">
        <w:rPr>
          <w:rFonts w:ascii="Times New Roman" w:eastAsia="Times New Roman" w:hAnsi="Times New Roman" w:cs="Times New Roman"/>
          <w:b/>
          <w:bCs/>
          <w:sz w:val="24"/>
          <w:szCs w:val="24"/>
        </w:rPr>
        <w:t>Centred</w:t>
      </w:r>
      <w:proofErr w:type="spellEnd"/>
      <w:r w:rsidRPr="008C44D1">
        <w:rPr>
          <w:rFonts w:ascii="Times New Roman" w:eastAsia="Times New Roman" w:hAnsi="Times New Roman" w:cs="Times New Roman"/>
          <w:b/>
          <w:bCs/>
          <w:sz w:val="24"/>
          <w:szCs w:val="24"/>
        </w:rPr>
        <w:t>:</w:t>
      </w:r>
      <w:r w:rsidRPr="008C44D1">
        <w:rPr>
          <w:rFonts w:ascii="Times New Roman" w:eastAsia="Times New Roman" w:hAnsi="Times New Roman" w:cs="Times New Roman"/>
          <w:sz w:val="24"/>
          <w:szCs w:val="24"/>
        </w:rPr>
        <w:t xml:space="preserve"> Systems must </w:t>
      </w:r>
      <w:proofErr w:type="spellStart"/>
      <w:r w:rsidRPr="008C44D1">
        <w:rPr>
          <w:rFonts w:ascii="Times New Roman" w:eastAsia="Times New Roman" w:hAnsi="Times New Roman" w:cs="Times New Roman"/>
          <w:sz w:val="24"/>
          <w:szCs w:val="24"/>
        </w:rPr>
        <w:t>centre</w:t>
      </w:r>
      <w:proofErr w:type="spellEnd"/>
      <w:r w:rsidRPr="008C44D1">
        <w:rPr>
          <w:rFonts w:ascii="Times New Roman" w:eastAsia="Times New Roman" w:hAnsi="Times New Roman" w:cs="Times New Roman"/>
          <w:sz w:val="24"/>
          <w:szCs w:val="24"/>
        </w:rPr>
        <w:t xml:space="preserve"> dignity, connection, whakapapa and healing. Every encounter </w:t>
      </w:r>
      <w:proofErr w:type="gramStart"/>
      <w:r w:rsidRPr="008C44D1">
        <w:rPr>
          <w:rFonts w:ascii="Times New Roman" w:eastAsia="Times New Roman" w:hAnsi="Times New Roman" w:cs="Times New Roman"/>
          <w:sz w:val="24"/>
          <w:szCs w:val="24"/>
        </w:rPr>
        <w:t>shapes</w:t>
      </w:r>
      <w:proofErr w:type="gramEnd"/>
      <w:r w:rsidRPr="008C44D1">
        <w:rPr>
          <w:rFonts w:ascii="Times New Roman" w:eastAsia="Times New Roman" w:hAnsi="Times New Roman" w:cs="Times New Roman"/>
          <w:sz w:val="24"/>
          <w:szCs w:val="24"/>
        </w:rPr>
        <w:t xml:space="preserve"> wellbeing or harm.</w:t>
      </w:r>
    </w:p>
    <w:p w14:paraId="1459F059" w14:textId="77777777" w:rsidR="008C44D1" w:rsidRPr="008C44D1" w:rsidRDefault="008C44D1" w:rsidP="008C44D1">
      <w:pPr>
        <w:numPr>
          <w:ilvl w:val="0"/>
          <w:numId w:val="18"/>
        </w:numPr>
        <w:spacing w:before="100" w:beforeAutospacing="1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8C44D1">
        <w:rPr>
          <w:rFonts w:ascii="Times New Roman" w:eastAsia="Times New Roman" w:hAnsi="Times New Roman" w:cs="Times New Roman"/>
          <w:b/>
          <w:bCs/>
          <w:sz w:val="24"/>
          <w:szCs w:val="24"/>
        </w:rPr>
        <w:t>System:</w:t>
      </w:r>
      <w:r w:rsidRPr="008C44D1">
        <w:rPr>
          <w:rFonts w:ascii="Times New Roman" w:eastAsia="Times New Roman" w:hAnsi="Times New Roman" w:cs="Times New Roman"/>
          <w:sz w:val="24"/>
          <w:szCs w:val="24"/>
        </w:rPr>
        <w:t xml:space="preserve"> Fragmented commissioning, power imbalances and crisis-driven responses undermine wellbeing. There is appetite for re-design that </w:t>
      </w:r>
      <w:proofErr w:type="spellStart"/>
      <w:r w:rsidRPr="008C44D1">
        <w:rPr>
          <w:rFonts w:ascii="Times New Roman" w:eastAsia="Times New Roman" w:hAnsi="Times New Roman" w:cs="Times New Roman"/>
          <w:sz w:val="24"/>
          <w:szCs w:val="24"/>
        </w:rPr>
        <w:t>prioritises</w:t>
      </w:r>
      <w:proofErr w:type="spellEnd"/>
      <w:r w:rsidRPr="008C44D1">
        <w:rPr>
          <w:rFonts w:ascii="Times New Roman" w:eastAsia="Times New Roman" w:hAnsi="Times New Roman" w:cs="Times New Roman"/>
          <w:sz w:val="24"/>
          <w:szCs w:val="24"/>
        </w:rPr>
        <w:t xml:space="preserve"> whānau outcomes and equity.</w:t>
      </w:r>
    </w:p>
    <w:p w14:paraId="78E932C6" w14:textId="6AA101ED" w:rsidR="00F8694C" w:rsidRPr="008C44D1" w:rsidRDefault="008C44D1" w:rsidP="008C44D1">
      <w:pPr>
        <w:numPr>
          <w:ilvl w:val="0"/>
          <w:numId w:val="18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8C44D1">
        <w:rPr>
          <w:rFonts w:ascii="Times New Roman" w:eastAsia="Times New Roman" w:hAnsi="Times New Roman" w:cs="Times New Roman"/>
          <w:b/>
          <w:bCs/>
          <w:sz w:val="24"/>
          <w:szCs w:val="24"/>
        </w:rPr>
        <w:t>Tech / AI:</w:t>
      </w:r>
      <w:r w:rsidRPr="008C44D1">
        <w:rPr>
          <w:rFonts w:ascii="Times New Roman" w:eastAsia="Times New Roman" w:hAnsi="Times New Roman" w:cs="Times New Roman"/>
          <w:sz w:val="24"/>
          <w:szCs w:val="24"/>
        </w:rPr>
        <w:t xml:space="preserve"> Digital futures are arriving quickly. The opportunity lies in ethical</w:t>
      </w:r>
      <w:r w:rsidR="00F757A3">
        <w:rPr>
          <w:rFonts w:ascii="Times New Roman" w:eastAsia="Times New Roman" w:hAnsi="Times New Roman" w:cs="Times New Roman"/>
          <w:sz w:val="24"/>
          <w:szCs w:val="24"/>
        </w:rPr>
        <w:t xml:space="preserve"> and </w:t>
      </w:r>
      <w:r w:rsidRPr="008C44D1">
        <w:rPr>
          <w:rFonts w:ascii="Times New Roman" w:eastAsia="Times New Roman" w:hAnsi="Times New Roman" w:cs="Times New Roman"/>
          <w:sz w:val="24"/>
          <w:szCs w:val="24"/>
        </w:rPr>
        <w:t>participatory tools that empower rather than replace relationships.</w:t>
      </w:r>
      <w:r w:rsidR="00F8694C">
        <w:rPr>
          <w:noProof/>
        </w:rPr>
        <w:drawing>
          <wp:anchor distT="0" distB="0" distL="114300" distR="114300" simplePos="0" relativeHeight="251662336" behindDoc="0" locked="0" layoutInCell="1" allowOverlap="1" wp14:anchorId="4403A832" wp14:editId="3112E435">
            <wp:simplePos x="0" y="0"/>
            <wp:positionH relativeFrom="column">
              <wp:posOffset>85725</wp:posOffset>
            </wp:positionH>
            <wp:positionV relativeFrom="paragraph">
              <wp:posOffset>756920</wp:posOffset>
            </wp:positionV>
            <wp:extent cx="5486400" cy="2468880"/>
            <wp:effectExtent l="0" t="0" r="0" b="7620"/>
            <wp:wrapTopAndBottom/>
            <wp:docPr id="591366128" name="Picture 3" descr="A group of people sitting around a tabl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1366128" name="Picture 3" descr="A group of people sitting around a table&#10;&#10;AI-generated content may be incorrect.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2468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EE24213" w14:textId="77777777" w:rsidR="00800904" w:rsidRPr="00552BB4" w:rsidRDefault="00800904" w:rsidP="00800904">
      <w:pPr>
        <w:spacing w:after="0"/>
        <w:ind w:left="720"/>
      </w:pPr>
    </w:p>
    <w:p w14:paraId="5E544C6C" w14:textId="77777777" w:rsidR="00552BB4" w:rsidRPr="00552BB4" w:rsidRDefault="00552BB4" w:rsidP="00552BB4">
      <w:pPr>
        <w:pStyle w:val="Heading2"/>
      </w:pPr>
      <w:r w:rsidRPr="00552BB4">
        <w:t>SO WHAT – Why It Matters</w:t>
      </w:r>
    </w:p>
    <w:p w14:paraId="28EC94DE" w14:textId="77777777" w:rsidR="008C44D1" w:rsidRPr="008C44D1" w:rsidRDefault="008C44D1" w:rsidP="008C44D1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8C44D1">
        <w:rPr>
          <w:rFonts w:ascii="Times New Roman" w:eastAsia="Times New Roman" w:hAnsi="Times New Roman" w:cs="Times New Roman"/>
          <w:sz w:val="24"/>
          <w:szCs w:val="24"/>
        </w:rPr>
        <w:t>Participants interpreted these signals and identified implications for transformation. Seven themes emerged:</w:t>
      </w:r>
    </w:p>
    <w:p w14:paraId="1717BF33" w14:textId="77777777" w:rsidR="008C44D1" w:rsidRPr="008C44D1" w:rsidRDefault="008C44D1" w:rsidP="008C44D1">
      <w:pPr>
        <w:numPr>
          <w:ilvl w:val="0"/>
          <w:numId w:val="13"/>
        </w:numPr>
        <w:spacing w:before="100" w:beforeAutospacing="1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8C44D1">
        <w:rPr>
          <w:rFonts w:ascii="Times New Roman" w:eastAsia="Times New Roman" w:hAnsi="Times New Roman" w:cs="Times New Roman"/>
          <w:b/>
          <w:bCs/>
          <w:sz w:val="24"/>
          <w:szCs w:val="24"/>
        </w:rPr>
        <w:t>Youth:</w:t>
      </w:r>
      <w:r w:rsidRPr="008C44D1">
        <w:rPr>
          <w:rFonts w:ascii="Times New Roman" w:eastAsia="Times New Roman" w:hAnsi="Times New Roman" w:cs="Times New Roman"/>
          <w:sz w:val="24"/>
          <w:szCs w:val="24"/>
        </w:rPr>
        <w:t xml:space="preserve"> Young people must be positioned not only as co-creators but as a major part of the solution — beneficiaries, architects, experts and leaders.</w:t>
      </w:r>
    </w:p>
    <w:p w14:paraId="050EC400" w14:textId="77777777" w:rsidR="008C44D1" w:rsidRPr="008C44D1" w:rsidRDefault="008C44D1" w:rsidP="008C44D1">
      <w:pPr>
        <w:numPr>
          <w:ilvl w:val="0"/>
          <w:numId w:val="13"/>
        </w:numPr>
        <w:spacing w:before="100" w:beforeAutospacing="1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8C44D1">
        <w:rPr>
          <w:rFonts w:ascii="Times New Roman" w:eastAsia="Times New Roman" w:hAnsi="Times New Roman" w:cs="Times New Roman"/>
          <w:b/>
          <w:bCs/>
          <w:sz w:val="24"/>
          <w:szCs w:val="24"/>
        </w:rPr>
        <w:lastRenderedPageBreak/>
        <w:t>More Connected System:</w:t>
      </w:r>
      <w:r w:rsidRPr="008C44D1">
        <w:rPr>
          <w:rFonts w:ascii="Times New Roman" w:eastAsia="Times New Roman" w:hAnsi="Times New Roman" w:cs="Times New Roman"/>
          <w:sz w:val="24"/>
          <w:szCs w:val="24"/>
        </w:rPr>
        <w:t xml:space="preserve"> Fragmentation wastes energy and undermines outcomes. Collaboration, not competition, is essential.</w:t>
      </w:r>
    </w:p>
    <w:p w14:paraId="2281D785" w14:textId="77777777" w:rsidR="008C44D1" w:rsidRPr="008C44D1" w:rsidRDefault="008C44D1" w:rsidP="008C44D1">
      <w:pPr>
        <w:numPr>
          <w:ilvl w:val="0"/>
          <w:numId w:val="13"/>
        </w:numPr>
        <w:spacing w:before="100" w:beforeAutospacing="1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8C44D1">
        <w:rPr>
          <w:rFonts w:ascii="Times New Roman" w:eastAsia="Times New Roman" w:hAnsi="Times New Roman" w:cs="Times New Roman"/>
          <w:b/>
          <w:bCs/>
          <w:sz w:val="24"/>
          <w:szCs w:val="24"/>
        </w:rPr>
        <w:t>Community:</w:t>
      </w:r>
      <w:r w:rsidRPr="008C44D1">
        <w:rPr>
          <w:rFonts w:ascii="Times New Roman" w:eastAsia="Times New Roman" w:hAnsi="Times New Roman" w:cs="Times New Roman"/>
          <w:sz w:val="24"/>
          <w:szCs w:val="24"/>
        </w:rPr>
        <w:t xml:space="preserve"> Community capability and self-determination must be trusted, resourced and central. </w:t>
      </w:r>
      <w:proofErr w:type="gramStart"/>
      <w:r w:rsidRPr="008C44D1">
        <w:rPr>
          <w:rFonts w:ascii="Times New Roman" w:eastAsia="Times New Roman" w:hAnsi="Times New Roman" w:cs="Times New Roman"/>
          <w:sz w:val="24"/>
          <w:szCs w:val="24"/>
        </w:rPr>
        <w:t>Everyday</w:t>
      </w:r>
      <w:proofErr w:type="gramEnd"/>
      <w:r w:rsidRPr="008C44D1">
        <w:rPr>
          <w:rFonts w:ascii="Times New Roman" w:eastAsia="Times New Roman" w:hAnsi="Times New Roman" w:cs="Times New Roman"/>
          <w:sz w:val="24"/>
          <w:szCs w:val="24"/>
        </w:rPr>
        <w:t xml:space="preserve"> people hold the keys to wellbeing.</w:t>
      </w:r>
    </w:p>
    <w:p w14:paraId="6A35C089" w14:textId="77777777" w:rsidR="008C44D1" w:rsidRPr="008C44D1" w:rsidRDefault="008C44D1" w:rsidP="008C44D1">
      <w:pPr>
        <w:numPr>
          <w:ilvl w:val="0"/>
          <w:numId w:val="13"/>
        </w:numPr>
        <w:spacing w:before="100" w:beforeAutospacing="1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8C44D1">
        <w:rPr>
          <w:rFonts w:ascii="Times New Roman" w:eastAsia="Times New Roman" w:hAnsi="Times New Roman" w:cs="Times New Roman"/>
          <w:b/>
          <w:bCs/>
          <w:sz w:val="24"/>
          <w:szCs w:val="24"/>
        </w:rPr>
        <w:t>Lived Experience:</w:t>
      </w:r>
      <w:r w:rsidRPr="008C44D1">
        <w:rPr>
          <w:rFonts w:ascii="Times New Roman" w:eastAsia="Times New Roman" w:hAnsi="Times New Roman" w:cs="Times New Roman"/>
          <w:sz w:val="24"/>
          <w:szCs w:val="24"/>
        </w:rPr>
        <w:t xml:space="preserve"> Lived experience leadership remains undervalued; recognition, remuneration and influence must increase — and essential voices are still not being heard.</w:t>
      </w:r>
    </w:p>
    <w:p w14:paraId="2B2842F4" w14:textId="77777777" w:rsidR="008C44D1" w:rsidRPr="008C44D1" w:rsidRDefault="008C44D1" w:rsidP="008C44D1">
      <w:pPr>
        <w:numPr>
          <w:ilvl w:val="0"/>
          <w:numId w:val="13"/>
        </w:numPr>
        <w:spacing w:before="100" w:beforeAutospacing="1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8C44D1">
        <w:rPr>
          <w:rFonts w:ascii="Times New Roman" w:eastAsia="Times New Roman" w:hAnsi="Times New Roman" w:cs="Times New Roman"/>
          <w:b/>
          <w:bCs/>
          <w:sz w:val="24"/>
          <w:szCs w:val="24"/>
        </w:rPr>
        <w:t>Leadership &amp; Innovation:</w:t>
      </w:r>
      <w:r w:rsidRPr="008C44D1">
        <w:rPr>
          <w:rFonts w:ascii="Times New Roman" w:eastAsia="Times New Roman" w:hAnsi="Times New Roman" w:cs="Times New Roman"/>
          <w:sz w:val="24"/>
          <w:szCs w:val="24"/>
        </w:rPr>
        <w:t xml:space="preserve"> Systemic change requires </w:t>
      </w:r>
      <w:proofErr w:type="gramStart"/>
      <w:r w:rsidRPr="008C44D1">
        <w:rPr>
          <w:rFonts w:ascii="Times New Roman" w:eastAsia="Times New Roman" w:hAnsi="Times New Roman" w:cs="Times New Roman"/>
          <w:sz w:val="24"/>
          <w:szCs w:val="24"/>
        </w:rPr>
        <w:t>brave</w:t>
      </w:r>
      <w:proofErr w:type="gramEnd"/>
      <w:r w:rsidRPr="008C44D1">
        <w:rPr>
          <w:rFonts w:ascii="Times New Roman" w:eastAsia="Times New Roman" w:hAnsi="Times New Roman" w:cs="Times New Roman"/>
          <w:sz w:val="24"/>
          <w:szCs w:val="24"/>
        </w:rPr>
        <w:t>, enabling leaders who build on what has been hard-won, while creating space for new thinking and innovation.</w:t>
      </w:r>
    </w:p>
    <w:p w14:paraId="429D55CB" w14:textId="77777777" w:rsidR="008C44D1" w:rsidRPr="008C44D1" w:rsidRDefault="008C44D1" w:rsidP="008C44D1">
      <w:pPr>
        <w:numPr>
          <w:ilvl w:val="0"/>
          <w:numId w:val="13"/>
        </w:numPr>
        <w:spacing w:before="100" w:beforeAutospacing="1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8C44D1">
        <w:rPr>
          <w:rFonts w:ascii="Times New Roman" w:eastAsia="Times New Roman" w:hAnsi="Times New Roman" w:cs="Times New Roman"/>
          <w:b/>
          <w:bCs/>
          <w:sz w:val="24"/>
          <w:szCs w:val="24"/>
        </w:rPr>
        <w:t>Investment:</w:t>
      </w:r>
      <w:r w:rsidRPr="008C44D1">
        <w:rPr>
          <w:rFonts w:ascii="Times New Roman" w:eastAsia="Times New Roman" w:hAnsi="Times New Roman" w:cs="Times New Roman"/>
          <w:sz w:val="24"/>
          <w:szCs w:val="24"/>
        </w:rPr>
        <w:t xml:space="preserve"> Funding must be stable, transparent, trust-based, and long-term to sustain innovation and community capacity.</w:t>
      </w:r>
    </w:p>
    <w:p w14:paraId="4AEDE953" w14:textId="35E66200" w:rsidR="00552BB4" w:rsidRPr="008C44D1" w:rsidRDefault="008C44D1" w:rsidP="008C44D1">
      <w:pPr>
        <w:numPr>
          <w:ilvl w:val="0"/>
          <w:numId w:val="13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8C44D1">
        <w:rPr>
          <w:rFonts w:ascii="Times New Roman" w:eastAsia="Times New Roman" w:hAnsi="Times New Roman" w:cs="Times New Roman"/>
          <w:b/>
          <w:bCs/>
          <w:sz w:val="24"/>
          <w:szCs w:val="24"/>
        </w:rPr>
        <w:t>Respites &amp; Workforce Wellbeing:</w:t>
      </w:r>
      <w:r w:rsidRPr="008C44D1">
        <w:rPr>
          <w:rFonts w:ascii="Times New Roman" w:eastAsia="Times New Roman" w:hAnsi="Times New Roman" w:cs="Times New Roman"/>
          <w:sz w:val="24"/>
          <w:szCs w:val="24"/>
        </w:rPr>
        <w:t xml:space="preserve"> People and systems need </w:t>
      </w:r>
      <w:proofErr w:type="gramStart"/>
      <w:r w:rsidRPr="008C44D1">
        <w:rPr>
          <w:rFonts w:ascii="Times New Roman" w:eastAsia="Times New Roman" w:hAnsi="Times New Roman" w:cs="Times New Roman"/>
          <w:sz w:val="24"/>
          <w:szCs w:val="24"/>
        </w:rPr>
        <w:t>spaces</w:t>
      </w:r>
      <w:proofErr w:type="gramEnd"/>
      <w:r w:rsidRPr="008C44D1">
        <w:rPr>
          <w:rFonts w:ascii="Times New Roman" w:eastAsia="Times New Roman" w:hAnsi="Times New Roman" w:cs="Times New Roman"/>
          <w:sz w:val="24"/>
          <w:szCs w:val="24"/>
        </w:rPr>
        <w:t xml:space="preserve"> for restoration and reflection — including a healthy, well-supported workforce capable of sustaining complex mahi</w:t>
      </w:r>
      <w:r w:rsidR="00552BB4" w:rsidRPr="00552BB4">
        <w:t>.</w:t>
      </w:r>
    </w:p>
    <w:p w14:paraId="241CF1EA" w14:textId="77777777" w:rsidR="00552BB4" w:rsidRPr="00552BB4" w:rsidRDefault="00552BB4" w:rsidP="00552BB4">
      <w:pPr>
        <w:pStyle w:val="Heading2"/>
      </w:pPr>
      <w:r w:rsidRPr="00552BB4">
        <w:t>NOW WHAT – What Actions Make Sense</w:t>
      </w:r>
    </w:p>
    <w:p w14:paraId="0C702D47" w14:textId="77777777" w:rsidR="008C44D1" w:rsidRPr="008C44D1" w:rsidRDefault="008C44D1" w:rsidP="008C44D1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8C44D1">
        <w:rPr>
          <w:rFonts w:ascii="Times New Roman" w:eastAsia="Times New Roman" w:hAnsi="Times New Roman" w:cs="Times New Roman"/>
          <w:sz w:val="24"/>
          <w:szCs w:val="24"/>
        </w:rPr>
        <w:t xml:space="preserve">The </w:t>
      </w:r>
      <w:r w:rsidRPr="008C44D1">
        <w:rPr>
          <w:rFonts w:ascii="Times New Roman" w:eastAsia="Times New Roman" w:hAnsi="Times New Roman" w:cs="Times New Roman"/>
          <w:i/>
          <w:iCs/>
          <w:sz w:val="24"/>
          <w:szCs w:val="24"/>
        </w:rPr>
        <w:t>Now What</w:t>
      </w:r>
      <w:r w:rsidRPr="008C44D1">
        <w:rPr>
          <w:rFonts w:ascii="Times New Roman" w:eastAsia="Times New Roman" w:hAnsi="Times New Roman" w:cs="Times New Roman"/>
          <w:sz w:val="24"/>
          <w:szCs w:val="24"/>
        </w:rPr>
        <w:t xml:space="preserve"> phase generated bold, actionable directions for the future:</w:t>
      </w:r>
    </w:p>
    <w:p w14:paraId="4685BB48" w14:textId="77777777" w:rsidR="008C44D1" w:rsidRPr="008C44D1" w:rsidRDefault="008C44D1" w:rsidP="008C44D1">
      <w:pPr>
        <w:numPr>
          <w:ilvl w:val="0"/>
          <w:numId w:val="14"/>
        </w:numPr>
        <w:spacing w:before="100" w:beforeAutospacing="1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8C44D1">
        <w:rPr>
          <w:rFonts w:ascii="Times New Roman" w:eastAsia="Times New Roman" w:hAnsi="Times New Roman" w:cs="Times New Roman"/>
          <w:b/>
          <w:bCs/>
          <w:sz w:val="24"/>
          <w:szCs w:val="24"/>
        </w:rPr>
        <w:t>Joined-Up Commissioning:</w:t>
      </w:r>
      <w:r w:rsidRPr="008C44D1">
        <w:rPr>
          <w:rFonts w:ascii="Times New Roman" w:eastAsia="Times New Roman" w:hAnsi="Times New Roman" w:cs="Times New Roman"/>
          <w:sz w:val="24"/>
          <w:szCs w:val="24"/>
        </w:rPr>
        <w:t xml:space="preserve"> Design cross-sector commissioning spanning housing, employment, social, whānau and health services — with shared outcomes and accountability.</w:t>
      </w:r>
    </w:p>
    <w:p w14:paraId="136EA5BB" w14:textId="77777777" w:rsidR="008C44D1" w:rsidRPr="008C44D1" w:rsidRDefault="008C44D1" w:rsidP="008C44D1">
      <w:pPr>
        <w:numPr>
          <w:ilvl w:val="0"/>
          <w:numId w:val="14"/>
        </w:numPr>
        <w:spacing w:before="100" w:beforeAutospacing="1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8C44D1">
        <w:rPr>
          <w:rFonts w:ascii="Times New Roman" w:eastAsia="Times New Roman" w:hAnsi="Times New Roman" w:cs="Times New Roman"/>
          <w:b/>
          <w:bCs/>
          <w:sz w:val="24"/>
          <w:szCs w:val="24"/>
        </w:rPr>
        <w:t>Leadership &amp; Culture:</w:t>
      </w:r>
      <w:r w:rsidRPr="008C44D1">
        <w:rPr>
          <w:rFonts w:ascii="Times New Roman" w:eastAsia="Times New Roman" w:hAnsi="Times New Roman" w:cs="Times New Roman"/>
          <w:sz w:val="24"/>
          <w:szCs w:val="24"/>
        </w:rPr>
        <w:t xml:space="preserve"> Resource a network of courageous, collaborative leaders committed to transparency, connection, and continuity beyond political cycles.</w:t>
      </w:r>
    </w:p>
    <w:p w14:paraId="16D8B1FB" w14:textId="77777777" w:rsidR="008C44D1" w:rsidRPr="008C44D1" w:rsidRDefault="008C44D1" w:rsidP="008C44D1">
      <w:pPr>
        <w:numPr>
          <w:ilvl w:val="0"/>
          <w:numId w:val="14"/>
        </w:numPr>
        <w:spacing w:before="100" w:beforeAutospacing="1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8C44D1">
        <w:rPr>
          <w:rFonts w:ascii="Times New Roman" w:eastAsia="Times New Roman" w:hAnsi="Times New Roman" w:cs="Times New Roman"/>
          <w:b/>
          <w:bCs/>
          <w:sz w:val="24"/>
          <w:szCs w:val="24"/>
        </w:rPr>
        <w:t>Investment in Workforce:</w:t>
      </w:r>
      <w:r w:rsidRPr="008C44D1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C44D1">
        <w:rPr>
          <w:rFonts w:ascii="Times New Roman" w:eastAsia="Times New Roman" w:hAnsi="Times New Roman" w:cs="Times New Roman"/>
          <w:sz w:val="24"/>
          <w:szCs w:val="24"/>
        </w:rPr>
        <w:t>Stabilise</w:t>
      </w:r>
      <w:proofErr w:type="spellEnd"/>
      <w:r w:rsidRPr="008C44D1">
        <w:rPr>
          <w:rFonts w:ascii="Times New Roman" w:eastAsia="Times New Roman" w:hAnsi="Times New Roman" w:cs="Times New Roman"/>
          <w:sz w:val="24"/>
          <w:szCs w:val="24"/>
        </w:rPr>
        <w:t xml:space="preserve"> and strengthen the workforce through equitable pay, sustained funding, and wellbeing-</w:t>
      </w:r>
      <w:proofErr w:type="spellStart"/>
      <w:r w:rsidRPr="008C44D1">
        <w:rPr>
          <w:rFonts w:ascii="Times New Roman" w:eastAsia="Times New Roman" w:hAnsi="Times New Roman" w:cs="Times New Roman"/>
          <w:sz w:val="24"/>
          <w:szCs w:val="24"/>
        </w:rPr>
        <w:t>centred</w:t>
      </w:r>
      <w:proofErr w:type="spellEnd"/>
      <w:r w:rsidRPr="008C44D1">
        <w:rPr>
          <w:rFonts w:ascii="Times New Roman" w:eastAsia="Times New Roman" w:hAnsi="Times New Roman" w:cs="Times New Roman"/>
          <w:sz w:val="24"/>
          <w:szCs w:val="24"/>
        </w:rPr>
        <w:t xml:space="preserve"> employment conditions.</w:t>
      </w:r>
    </w:p>
    <w:p w14:paraId="1230A2C2" w14:textId="77777777" w:rsidR="008C44D1" w:rsidRPr="008C44D1" w:rsidRDefault="008C44D1" w:rsidP="008C44D1">
      <w:pPr>
        <w:numPr>
          <w:ilvl w:val="0"/>
          <w:numId w:val="14"/>
        </w:numPr>
        <w:spacing w:before="100" w:beforeAutospacing="1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8C44D1">
        <w:rPr>
          <w:rFonts w:ascii="Times New Roman" w:eastAsia="Times New Roman" w:hAnsi="Times New Roman" w:cs="Times New Roman"/>
          <w:b/>
          <w:bCs/>
          <w:sz w:val="24"/>
          <w:szCs w:val="24"/>
        </w:rPr>
        <w:t>Whānau-</w:t>
      </w:r>
      <w:proofErr w:type="spellStart"/>
      <w:r w:rsidRPr="008C44D1">
        <w:rPr>
          <w:rFonts w:ascii="Times New Roman" w:eastAsia="Times New Roman" w:hAnsi="Times New Roman" w:cs="Times New Roman"/>
          <w:b/>
          <w:bCs/>
          <w:sz w:val="24"/>
          <w:szCs w:val="24"/>
        </w:rPr>
        <w:t>Centred</w:t>
      </w:r>
      <w:proofErr w:type="spellEnd"/>
      <w:r w:rsidRPr="008C44D1"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 Ecosystem:</w:t>
      </w:r>
      <w:r w:rsidRPr="008C44D1">
        <w:rPr>
          <w:rFonts w:ascii="Times New Roman" w:eastAsia="Times New Roman" w:hAnsi="Times New Roman" w:cs="Times New Roman"/>
          <w:sz w:val="24"/>
          <w:szCs w:val="24"/>
        </w:rPr>
        <w:t xml:space="preserve"> Shift from hospital-centric care to ecological, community-based, whānau-led models grounded in place and whakapapa.</w:t>
      </w:r>
    </w:p>
    <w:p w14:paraId="6EE0A545" w14:textId="77777777" w:rsidR="008C44D1" w:rsidRPr="008C44D1" w:rsidRDefault="008C44D1" w:rsidP="008C44D1">
      <w:pPr>
        <w:numPr>
          <w:ilvl w:val="0"/>
          <w:numId w:val="14"/>
        </w:numPr>
        <w:spacing w:before="100" w:beforeAutospacing="1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8C44D1">
        <w:rPr>
          <w:rFonts w:ascii="Times New Roman" w:eastAsia="Times New Roman" w:hAnsi="Times New Roman" w:cs="Times New Roman"/>
          <w:b/>
          <w:bCs/>
          <w:sz w:val="24"/>
          <w:szCs w:val="24"/>
        </w:rPr>
        <w:t>Youth-Led Innovation:</w:t>
      </w:r>
      <w:r w:rsidRPr="008C44D1">
        <w:rPr>
          <w:rFonts w:ascii="Times New Roman" w:eastAsia="Times New Roman" w:hAnsi="Times New Roman" w:cs="Times New Roman"/>
          <w:sz w:val="24"/>
          <w:szCs w:val="24"/>
        </w:rPr>
        <w:t xml:space="preserve"> Establish youth-led design labs and digital innovation pilots — </w:t>
      </w:r>
      <w:proofErr w:type="spellStart"/>
      <w:r w:rsidRPr="008C44D1">
        <w:rPr>
          <w:rFonts w:ascii="Times New Roman" w:eastAsia="Times New Roman" w:hAnsi="Times New Roman" w:cs="Times New Roman"/>
          <w:sz w:val="24"/>
          <w:szCs w:val="24"/>
        </w:rPr>
        <w:t>recognising</w:t>
      </w:r>
      <w:proofErr w:type="spellEnd"/>
      <w:r w:rsidRPr="008C44D1">
        <w:rPr>
          <w:rFonts w:ascii="Times New Roman" w:eastAsia="Times New Roman" w:hAnsi="Times New Roman" w:cs="Times New Roman"/>
          <w:sz w:val="24"/>
          <w:szCs w:val="24"/>
        </w:rPr>
        <w:t xml:space="preserve"> developmental transitions and bridging gaps between child, youth and adult services.</w:t>
      </w:r>
    </w:p>
    <w:p w14:paraId="3B313C22" w14:textId="77777777" w:rsidR="008C44D1" w:rsidRPr="008C44D1" w:rsidRDefault="008C44D1" w:rsidP="008C44D1">
      <w:pPr>
        <w:numPr>
          <w:ilvl w:val="0"/>
          <w:numId w:val="14"/>
        </w:numPr>
        <w:spacing w:before="100" w:beforeAutospacing="1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8C44D1">
        <w:rPr>
          <w:rFonts w:ascii="Times New Roman" w:eastAsia="Times New Roman" w:hAnsi="Times New Roman" w:cs="Times New Roman"/>
          <w:b/>
          <w:bCs/>
          <w:sz w:val="24"/>
          <w:szCs w:val="24"/>
        </w:rPr>
        <w:t>Peer Leadership:</w:t>
      </w:r>
      <w:r w:rsidRPr="008C44D1">
        <w:rPr>
          <w:rFonts w:ascii="Times New Roman" w:eastAsia="Times New Roman" w:hAnsi="Times New Roman" w:cs="Times New Roman"/>
          <w:sz w:val="24"/>
          <w:szCs w:val="24"/>
        </w:rPr>
        <w:t xml:space="preserve"> Resource and </w:t>
      </w:r>
      <w:proofErr w:type="gramStart"/>
      <w:r w:rsidRPr="008C44D1">
        <w:rPr>
          <w:rFonts w:ascii="Times New Roman" w:eastAsia="Times New Roman" w:hAnsi="Times New Roman" w:cs="Times New Roman"/>
          <w:sz w:val="24"/>
          <w:szCs w:val="24"/>
        </w:rPr>
        <w:t>embed</w:t>
      </w:r>
      <w:proofErr w:type="gramEnd"/>
      <w:r w:rsidRPr="008C44D1">
        <w:rPr>
          <w:rFonts w:ascii="Times New Roman" w:eastAsia="Times New Roman" w:hAnsi="Times New Roman" w:cs="Times New Roman"/>
          <w:sz w:val="24"/>
          <w:szCs w:val="24"/>
        </w:rPr>
        <w:t xml:space="preserve"> lived-experience leadership in commissioning, policy and service delivery.</w:t>
      </w:r>
    </w:p>
    <w:p w14:paraId="6ADCA5C3" w14:textId="77777777" w:rsidR="008C44D1" w:rsidRPr="008C44D1" w:rsidRDefault="008C44D1" w:rsidP="008C44D1">
      <w:pPr>
        <w:numPr>
          <w:ilvl w:val="0"/>
          <w:numId w:val="14"/>
        </w:numPr>
        <w:spacing w:before="100" w:beforeAutospacing="1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8C44D1">
        <w:rPr>
          <w:rFonts w:ascii="Times New Roman" w:eastAsia="Times New Roman" w:hAnsi="Times New Roman" w:cs="Times New Roman"/>
          <w:b/>
          <w:bCs/>
          <w:sz w:val="24"/>
          <w:szCs w:val="24"/>
        </w:rPr>
        <w:t>Structural Reform:</w:t>
      </w:r>
      <w:r w:rsidRPr="008C44D1">
        <w:rPr>
          <w:rFonts w:ascii="Times New Roman" w:eastAsia="Times New Roman" w:hAnsi="Times New Roman" w:cs="Times New Roman"/>
          <w:sz w:val="24"/>
          <w:szCs w:val="24"/>
        </w:rPr>
        <w:t xml:space="preserve"> Create legislative and structural enablers that support interagency collaboration and continuity of direction.</w:t>
      </w:r>
    </w:p>
    <w:p w14:paraId="2DD019A2" w14:textId="77777777" w:rsidR="008C44D1" w:rsidRPr="008C44D1" w:rsidRDefault="008C44D1" w:rsidP="008C44D1">
      <w:pPr>
        <w:numPr>
          <w:ilvl w:val="0"/>
          <w:numId w:val="14"/>
        </w:numPr>
        <w:spacing w:before="100" w:beforeAutospacing="1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8C44D1">
        <w:rPr>
          <w:rFonts w:ascii="Times New Roman" w:eastAsia="Times New Roman" w:hAnsi="Times New Roman" w:cs="Times New Roman"/>
          <w:b/>
          <w:bCs/>
          <w:sz w:val="24"/>
          <w:szCs w:val="24"/>
        </w:rPr>
        <w:lastRenderedPageBreak/>
        <w:t>Values-Led Funding &amp; Transparency:</w:t>
      </w:r>
      <w:r w:rsidRPr="008C44D1">
        <w:rPr>
          <w:rFonts w:ascii="Times New Roman" w:eastAsia="Times New Roman" w:hAnsi="Times New Roman" w:cs="Times New Roman"/>
          <w:sz w:val="24"/>
          <w:szCs w:val="24"/>
        </w:rPr>
        <w:t xml:space="preserve"> Move to investment models aligned with collective wellbeing outcomes, supported by transparent funding flows and decision-making.</w:t>
      </w:r>
    </w:p>
    <w:p w14:paraId="237435FE" w14:textId="77777777" w:rsidR="008C44D1" w:rsidRPr="008C44D1" w:rsidRDefault="008C44D1" w:rsidP="008C44D1">
      <w:pPr>
        <w:numPr>
          <w:ilvl w:val="0"/>
          <w:numId w:val="14"/>
        </w:numPr>
        <w:spacing w:before="100" w:beforeAutospacing="1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8C44D1">
        <w:rPr>
          <w:rFonts w:ascii="Times New Roman" w:eastAsia="Times New Roman" w:hAnsi="Times New Roman" w:cs="Times New Roman"/>
          <w:b/>
          <w:bCs/>
          <w:sz w:val="24"/>
          <w:szCs w:val="24"/>
        </w:rPr>
        <w:t>Community Power:</w:t>
      </w:r>
      <w:r w:rsidRPr="008C44D1">
        <w:rPr>
          <w:rFonts w:ascii="Times New Roman" w:eastAsia="Times New Roman" w:hAnsi="Times New Roman" w:cs="Times New Roman"/>
          <w:sz w:val="24"/>
          <w:szCs w:val="24"/>
        </w:rPr>
        <w:t xml:space="preserve"> Devolve resources and decision-making to </w:t>
      </w:r>
      <w:proofErr w:type="gramStart"/>
      <w:r w:rsidRPr="008C44D1">
        <w:rPr>
          <w:rFonts w:ascii="Times New Roman" w:eastAsia="Times New Roman" w:hAnsi="Times New Roman" w:cs="Times New Roman"/>
          <w:sz w:val="24"/>
          <w:szCs w:val="24"/>
        </w:rPr>
        <w:t>hapū,</w:t>
      </w:r>
      <w:proofErr w:type="gramEnd"/>
      <w:r w:rsidRPr="008C44D1">
        <w:rPr>
          <w:rFonts w:ascii="Times New Roman" w:eastAsia="Times New Roman" w:hAnsi="Times New Roman" w:cs="Times New Roman"/>
          <w:sz w:val="24"/>
          <w:szCs w:val="24"/>
        </w:rPr>
        <w:t xml:space="preserve"> community networks and local innovators.</w:t>
      </w:r>
    </w:p>
    <w:p w14:paraId="2C198737" w14:textId="7CB42B11" w:rsidR="00552BB4" w:rsidRPr="008C44D1" w:rsidRDefault="008C44D1" w:rsidP="008C44D1">
      <w:pPr>
        <w:numPr>
          <w:ilvl w:val="0"/>
          <w:numId w:val="14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8C44D1">
        <w:rPr>
          <w:rFonts w:ascii="Times New Roman" w:eastAsia="Times New Roman" w:hAnsi="Times New Roman" w:cs="Times New Roman"/>
          <w:b/>
          <w:bCs/>
          <w:sz w:val="24"/>
          <w:szCs w:val="24"/>
        </w:rPr>
        <w:t>Learning System:</w:t>
      </w:r>
      <w:r w:rsidRPr="008C44D1">
        <w:rPr>
          <w:rFonts w:ascii="Times New Roman" w:eastAsia="Times New Roman" w:hAnsi="Times New Roman" w:cs="Times New Roman"/>
          <w:sz w:val="24"/>
          <w:szCs w:val="24"/>
        </w:rPr>
        <w:t xml:space="preserve"> Build a national learning system that tests, iterates, scales and shares what </w:t>
      </w:r>
      <w:proofErr w:type="gramStart"/>
      <w:r w:rsidRPr="008C44D1">
        <w:rPr>
          <w:rFonts w:ascii="Times New Roman" w:eastAsia="Times New Roman" w:hAnsi="Times New Roman" w:cs="Times New Roman"/>
          <w:sz w:val="24"/>
          <w:szCs w:val="24"/>
        </w:rPr>
        <w:t>works — relational</w:t>
      </w:r>
      <w:proofErr w:type="gramEnd"/>
      <w:r w:rsidRPr="008C44D1">
        <w:rPr>
          <w:rFonts w:ascii="Times New Roman" w:eastAsia="Times New Roman" w:hAnsi="Times New Roman" w:cs="Times New Roman"/>
          <w:sz w:val="24"/>
          <w:szCs w:val="24"/>
        </w:rPr>
        <w:t>, evidence-informed, and adaptive.</w:t>
      </w:r>
    </w:p>
    <w:p w14:paraId="67E9453F" w14:textId="6F0C0FBD" w:rsidR="00F8694C" w:rsidRPr="00552BB4" w:rsidRDefault="00F8694C" w:rsidP="00F8694C">
      <w:pPr>
        <w:ind w:left="360"/>
      </w:pPr>
      <w:r>
        <w:rPr>
          <w:noProof/>
        </w:rPr>
        <w:drawing>
          <wp:anchor distT="0" distB="0" distL="114300" distR="114300" simplePos="0" relativeHeight="251655680" behindDoc="0" locked="0" layoutInCell="1" allowOverlap="1" wp14:anchorId="76568579" wp14:editId="24F6F49D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486400" cy="2468880"/>
            <wp:effectExtent l="0" t="0" r="0" b="7620"/>
            <wp:wrapTopAndBottom/>
            <wp:docPr id="49151528" name="Picture 5" descr="A group of people in a room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151528" name="Picture 5" descr="A group of people in a room&#10;&#10;AI-generated content may be incorrect.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2468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A6512C8" w14:textId="6A6417C7" w:rsidR="00552BB4" w:rsidRPr="00552BB4" w:rsidRDefault="00552BB4" w:rsidP="00552BB4">
      <w:pPr>
        <w:pStyle w:val="Heading2"/>
      </w:pPr>
      <w:r w:rsidRPr="00552BB4">
        <w:t>Cross-Cutting Insights</w:t>
      </w:r>
    </w:p>
    <w:p w14:paraId="33828C7A" w14:textId="77777777" w:rsidR="008C44D1" w:rsidRPr="008C44D1" w:rsidRDefault="008C44D1" w:rsidP="008C44D1">
      <w:pPr>
        <w:spacing w:after="0"/>
      </w:pPr>
      <w:r w:rsidRPr="008C44D1">
        <w:t>Five themes emerged consistently across all layers of the conversation:</w:t>
      </w:r>
    </w:p>
    <w:p w14:paraId="325405F4" w14:textId="77777777" w:rsidR="008C44D1" w:rsidRPr="008C44D1" w:rsidRDefault="008C44D1" w:rsidP="008C44D1">
      <w:pPr>
        <w:numPr>
          <w:ilvl w:val="0"/>
          <w:numId w:val="23"/>
        </w:numPr>
        <w:spacing w:after="0"/>
      </w:pPr>
      <w:r w:rsidRPr="008C44D1">
        <w:rPr>
          <w:b/>
          <w:bCs/>
        </w:rPr>
        <w:t>Connection as infrastructure</w:t>
      </w:r>
      <w:r w:rsidRPr="008C44D1">
        <w:t xml:space="preserve"> — across people, sectors and systems.</w:t>
      </w:r>
    </w:p>
    <w:p w14:paraId="5C752F1D" w14:textId="77777777" w:rsidR="008C44D1" w:rsidRPr="008C44D1" w:rsidRDefault="008C44D1" w:rsidP="008C44D1">
      <w:pPr>
        <w:numPr>
          <w:ilvl w:val="0"/>
          <w:numId w:val="23"/>
        </w:numPr>
        <w:spacing w:after="0"/>
      </w:pPr>
      <w:r w:rsidRPr="008C44D1">
        <w:rPr>
          <w:b/>
          <w:bCs/>
        </w:rPr>
        <w:t>Whānau-</w:t>
      </w:r>
      <w:proofErr w:type="spellStart"/>
      <w:r w:rsidRPr="008C44D1">
        <w:rPr>
          <w:b/>
          <w:bCs/>
        </w:rPr>
        <w:t>centred</w:t>
      </w:r>
      <w:proofErr w:type="spellEnd"/>
      <w:r w:rsidRPr="008C44D1">
        <w:rPr>
          <w:b/>
          <w:bCs/>
        </w:rPr>
        <w:t>, community-led care</w:t>
      </w:r>
      <w:r w:rsidRPr="008C44D1">
        <w:t xml:space="preserve"> as the foundation of wellbeing.</w:t>
      </w:r>
    </w:p>
    <w:p w14:paraId="169D64B2" w14:textId="77777777" w:rsidR="008C44D1" w:rsidRPr="008C44D1" w:rsidRDefault="008C44D1" w:rsidP="008C44D1">
      <w:pPr>
        <w:numPr>
          <w:ilvl w:val="0"/>
          <w:numId w:val="23"/>
        </w:numPr>
        <w:spacing w:after="0"/>
      </w:pPr>
      <w:r w:rsidRPr="008C44D1">
        <w:rPr>
          <w:b/>
          <w:bCs/>
        </w:rPr>
        <w:t>Youth and peer leadership</w:t>
      </w:r>
      <w:r w:rsidRPr="008C44D1">
        <w:t xml:space="preserve"> as engines of innovation.</w:t>
      </w:r>
    </w:p>
    <w:p w14:paraId="2F2CCF7D" w14:textId="77777777" w:rsidR="008C44D1" w:rsidRPr="008C44D1" w:rsidRDefault="008C44D1" w:rsidP="008C44D1">
      <w:pPr>
        <w:numPr>
          <w:ilvl w:val="0"/>
          <w:numId w:val="23"/>
        </w:numPr>
        <w:spacing w:after="0"/>
      </w:pPr>
      <w:r w:rsidRPr="008C44D1">
        <w:rPr>
          <w:b/>
          <w:bCs/>
        </w:rPr>
        <w:t>Courageous, compassionate leadership</w:t>
      </w:r>
      <w:r w:rsidRPr="008C44D1">
        <w:t xml:space="preserve"> as the driver of transformation.</w:t>
      </w:r>
    </w:p>
    <w:p w14:paraId="6520CB8B" w14:textId="77777777" w:rsidR="008C44D1" w:rsidRPr="008C44D1" w:rsidRDefault="008C44D1" w:rsidP="008C44D1">
      <w:pPr>
        <w:numPr>
          <w:ilvl w:val="0"/>
          <w:numId w:val="23"/>
        </w:numPr>
        <w:spacing w:after="0"/>
      </w:pPr>
      <w:r w:rsidRPr="008C44D1">
        <w:rPr>
          <w:b/>
          <w:bCs/>
        </w:rPr>
        <w:t>Commissioning reform</w:t>
      </w:r>
      <w:r w:rsidRPr="008C44D1">
        <w:t xml:space="preserve"> — long-term, trust-based, transparent and value-aligned.</w:t>
      </w:r>
    </w:p>
    <w:p w14:paraId="1C78E97F" w14:textId="1351B717" w:rsidR="00552BB4" w:rsidRPr="00552BB4" w:rsidRDefault="00360140" w:rsidP="008C44D1">
      <w:pPr>
        <w:spacing w:after="0"/>
        <w:ind w:left="720"/>
      </w:pPr>
      <w:r>
        <w:rPr>
          <w:noProof/>
        </w:rPr>
        <w:drawing>
          <wp:anchor distT="0" distB="0" distL="114300" distR="114300" simplePos="0" relativeHeight="251668480" behindDoc="0" locked="0" layoutInCell="1" allowOverlap="1" wp14:anchorId="1A6B6B10" wp14:editId="1B90686C">
            <wp:simplePos x="0" y="0"/>
            <wp:positionH relativeFrom="column">
              <wp:posOffset>323215</wp:posOffset>
            </wp:positionH>
            <wp:positionV relativeFrom="paragraph">
              <wp:posOffset>352425</wp:posOffset>
            </wp:positionV>
            <wp:extent cx="4829175" cy="2172970"/>
            <wp:effectExtent l="0" t="0" r="9525" b="0"/>
            <wp:wrapTopAndBottom/>
            <wp:docPr id="60914050" name="Picture 6" descr="A group of people standing in a room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914050" name="Picture 6" descr="A group of people standing in a room&#10;&#10;AI-generated content may be incorrect.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4829175" cy="21729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EB36136" w14:textId="5364FFF5" w:rsidR="00360140" w:rsidRPr="00360140" w:rsidRDefault="00360140" w:rsidP="00360140">
      <w:pPr>
        <w:rPr>
          <w:rFonts w:asciiTheme="majorHAnsi" w:eastAsiaTheme="majorEastAsia" w:hAnsiTheme="majorHAnsi" w:cstheme="majorBidi"/>
          <w:b/>
          <w:bCs/>
          <w:color w:val="4F81BD" w:themeColor="accent1"/>
          <w:sz w:val="26"/>
          <w:szCs w:val="26"/>
        </w:rPr>
      </w:pPr>
      <w:r>
        <w:rPr>
          <w:rFonts w:ascii="Segoe UI Emoji" w:eastAsiaTheme="majorEastAsia" w:hAnsi="Segoe UI Emoji" w:cs="Segoe UI Emoji"/>
          <w:b/>
          <w:bCs/>
          <w:color w:val="4F81BD" w:themeColor="accent1"/>
          <w:sz w:val="26"/>
          <w:szCs w:val="26"/>
        </w:rPr>
        <w:lastRenderedPageBreak/>
        <w:t xml:space="preserve">Insights </w:t>
      </w:r>
      <w:proofErr w:type="gramStart"/>
      <w:r>
        <w:rPr>
          <w:rFonts w:ascii="Segoe UI Emoji" w:eastAsiaTheme="majorEastAsia" w:hAnsi="Segoe UI Emoji" w:cs="Segoe UI Emoji"/>
          <w:b/>
          <w:bCs/>
          <w:color w:val="4F81BD" w:themeColor="accent1"/>
          <w:sz w:val="26"/>
          <w:szCs w:val="26"/>
        </w:rPr>
        <w:t>to</w:t>
      </w:r>
      <w:proofErr w:type="gramEnd"/>
      <w:r>
        <w:rPr>
          <w:rFonts w:ascii="Segoe UI Emoji" w:eastAsiaTheme="majorEastAsia" w:hAnsi="Segoe UI Emoji" w:cs="Segoe UI Emoji"/>
          <w:b/>
          <w:bCs/>
          <w:color w:val="4F81BD" w:themeColor="accent1"/>
          <w:sz w:val="26"/>
          <w:szCs w:val="26"/>
        </w:rPr>
        <w:t xml:space="preserve"> Action </w:t>
      </w:r>
    </w:p>
    <w:p w14:paraId="30410391" w14:textId="4DA193BD" w:rsidR="008C44D1" w:rsidRPr="008C44D1" w:rsidRDefault="008C44D1" w:rsidP="008C44D1">
      <w:r w:rsidRPr="008C44D1">
        <w:t xml:space="preserve">These ideas are not </w:t>
      </w:r>
      <w:proofErr w:type="gramStart"/>
      <w:r w:rsidRPr="008C44D1">
        <w:t>directives</w:t>
      </w:r>
      <w:proofErr w:type="gramEnd"/>
      <w:r w:rsidRPr="008C44D1">
        <w:t xml:space="preserve">. They are </w:t>
      </w:r>
      <w:r w:rsidRPr="008C44D1">
        <w:rPr>
          <w:b/>
          <w:bCs/>
        </w:rPr>
        <w:t>collective aspirations</w:t>
      </w:r>
      <w:r w:rsidRPr="008C44D1">
        <w:t xml:space="preserve"> voiced across </w:t>
      </w:r>
      <w:proofErr w:type="spellStart"/>
      <w:r w:rsidRPr="008C44D1">
        <w:t>Te</w:t>
      </w:r>
      <w:proofErr w:type="spellEnd"/>
      <w:r w:rsidRPr="008C44D1">
        <w:t xml:space="preserve"> Ara </w:t>
      </w:r>
      <w:proofErr w:type="spellStart"/>
      <w:r w:rsidRPr="008C44D1">
        <w:t>Tūroa</w:t>
      </w:r>
      <w:proofErr w:type="spellEnd"/>
      <w:r w:rsidRPr="008C44D1">
        <w:t xml:space="preserve"> </w:t>
      </w:r>
      <w:r w:rsidR="00FC300B">
        <w:t>-</w:t>
      </w:r>
      <w:r w:rsidRPr="008C44D1">
        <w:t xml:space="preserve"> powerful signals of where sector momentum is building.</w:t>
      </w:r>
    </w:p>
    <w:p w14:paraId="49329D5A" w14:textId="77777777" w:rsidR="008C44D1" w:rsidRPr="008C44D1" w:rsidRDefault="008C44D1" w:rsidP="008C44D1">
      <w:pPr>
        <w:spacing w:after="0"/>
        <w:rPr>
          <w:b/>
          <w:bCs/>
        </w:rPr>
      </w:pPr>
      <w:r w:rsidRPr="008C44D1">
        <w:rPr>
          <w:b/>
          <w:bCs/>
        </w:rPr>
        <w:t>Joined-Up Commissioning</w:t>
      </w:r>
    </w:p>
    <w:p w14:paraId="35CB7112" w14:textId="6B960A5C" w:rsidR="008C44D1" w:rsidRPr="008C44D1" w:rsidRDefault="008C44D1" w:rsidP="008C44D1">
      <w:r w:rsidRPr="008C44D1">
        <w:t>A future where commissioning spans housing, employment, social, whānau and health services — with shared outcomes</w:t>
      </w:r>
      <w:r w:rsidR="00FC300B">
        <w:t xml:space="preserve"> defined with community and tāngata </w:t>
      </w:r>
      <w:proofErr w:type="spellStart"/>
      <w:r w:rsidR="00FC300B">
        <w:t>whaiora</w:t>
      </w:r>
      <w:proofErr w:type="spellEnd"/>
      <w:r w:rsidRPr="008C44D1">
        <w:t>, accountability and continuity beyond election cycles.</w:t>
      </w:r>
    </w:p>
    <w:p w14:paraId="58BD7E2E" w14:textId="28553116" w:rsidR="008C44D1" w:rsidRPr="008C44D1" w:rsidRDefault="008C44D1" w:rsidP="008C44D1">
      <w:pPr>
        <w:spacing w:after="0"/>
        <w:rPr>
          <w:b/>
          <w:bCs/>
        </w:rPr>
      </w:pPr>
      <w:r w:rsidRPr="008C44D1">
        <w:rPr>
          <w:b/>
          <w:bCs/>
        </w:rPr>
        <w:t>Courageous, Connected Leadership</w:t>
      </w:r>
    </w:p>
    <w:p w14:paraId="789E7EDA" w14:textId="12A12F5A" w:rsidR="008C44D1" w:rsidRPr="008C44D1" w:rsidRDefault="008C44D1" w:rsidP="008C44D1">
      <w:r w:rsidRPr="008C44D1">
        <w:t>A sector hungry for leaders who build on what is working, share power, seed innovation, and lead with values, transparency and compassion.</w:t>
      </w:r>
    </w:p>
    <w:p w14:paraId="737570B8" w14:textId="77777777" w:rsidR="008C44D1" w:rsidRPr="008C44D1" w:rsidRDefault="008C44D1" w:rsidP="008C44D1">
      <w:pPr>
        <w:spacing w:after="0"/>
        <w:rPr>
          <w:b/>
          <w:bCs/>
        </w:rPr>
      </w:pPr>
      <w:r w:rsidRPr="008C44D1">
        <w:rPr>
          <w:b/>
          <w:bCs/>
        </w:rPr>
        <w:t>Youth- and Peer-Led Innovation</w:t>
      </w:r>
    </w:p>
    <w:p w14:paraId="7B724909" w14:textId="6EB142B0" w:rsidR="008C44D1" w:rsidRPr="008C44D1" w:rsidRDefault="008C44D1" w:rsidP="008C44D1">
      <w:r w:rsidRPr="008C44D1">
        <w:t xml:space="preserve">Young people and people with lived experience want to </w:t>
      </w:r>
      <w:proofErr w:type="gramStart"/>
      <w:r w:rsidRPr="008C44D1">
        <w:t>create,</w:t>
      </w:r>
      <w:proofErr w:type="gramEnd"/>
      <w:r w:rsidRPr="008C44D1">
        <w:t xml:space="preserve"> lead and test solutions — and the system is ready for funding and legitimacy to follow their leadership.</w:t>
      </w:r>
    </w:p>
    <w:p w14:paraId="6A68EAC2" w14:textId="77777777" w:rsidR="008C44D1" w:rsidRPr="008C44D1" w:rsidRDefault="008C44D1" w:rsidP="008C44D1">
      <w:pPr>
        <w:spacing w:after="0"/>
        <w:rPr>
          <w:b/>
          <w:bCs/>
        </w:rPr>
      </w:pPr>
      <w:r w:rsidRPr="008C44D1">
        <w:rPr>
          <w:b/>
          <w:bCs/>
        </w:rPr>
        <w:t>Whānau-Led and Community-</w:t>
      </w:r>
      <w:proofErr w:type="spellStart"/>
      <w:r w:rsidRPr="008C44D1">
        <w:rPr>
          <w:b/>
          <w:bCs/>
        </w:rPr>
        <w:t>Centred</w:t>
      </w:r>
      <w:proofErr w:type="spellEnd"/>
      <w:r w:rsidRPr="008C44D1">
        <w:rPr>
          <w:b/>
          <w:bCs/>
        </w:rPr>
        <w:t xml:space="preserve"> Ecosystems</w:t>
      </w:r>
    </w:p>
    <w:p w14:paraId="5603047E" w14:textId="053308EF" w:rsidR="008C44D1" w:rsidRPr="008C44D1" w:rsidRDefault="008C44D1" w:rsidP="008C44D1">
      <w:r w:rsidRPr="008C44D1">
        <w:t>A shift from hospital-centric care to whānau-anchored, place-based, relational, ecological models of wellbeing.</w:t>
      </w:r>
    </w:p>
    <w:p w14:paraId="4CD044D1" w14:textId="654953EB" w:rsidR="008C44D1" w:rsidRPr="008C44D1" w:rsidRDefault="008C44D1" w:rsidP="008C44D1">
      <w:pPr>
        <w:spacing w:after="0"/>
        <w:rPr>
          <w:b/>
          <w:bCs/>
        </w:rPr>
      </w:pPr>
      <w:r w:rsidRPr="008C44D1">
        <w:rPr>
          <w:b/>
          <w:bCs/>
        </w:rPr>
        <w:t>A Wellbeing Commissioning Framework</w:t>
      </w:r>
    </w:p>
    <w:p w14:paraId="4E29D40C" w14:textId="6AC277A0" w:rsidR="00800904" w:rsidRDefault="00D362B6">
      <w:r>
        <w:rPr>
          <w:noProof/>
        </w:rPr>
        <w:drawing>
          <wp:anchor distT="0" distB="0" distL="114300" distR="114300" simplePos="0" relativeHeight="251664384" behindDoc="0" locked="0" layoutInCell="1" allowOverlap="1" wp14:anchorId="5B41CE34" wp14:editId="3CC98F6F">
            <wp:simplePos x="0" y="0"/>
            <wp:positionH relativeFrom="column">
              <wp:posOffset>0</wp:posOffset>
            </wp:positionH>
            <wp:positionV relativeFrom="page">
              <wp:posOffset>6010275</wp:posOffset>
            </wp:positionV>
            <wp:extent cx="5343525" cy="2404110"/>
            <wp:effectExtent l="0" t="0" r="9525" b="0"/>
            <wp:wrapTopAndBottom/>
            <wp:docPr id="1405832368" name="Picture 2" descr="A group of people sitting around a tabl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5832368" name="Picture 2" descr="A group of people sitting around a table&#10;&#10;AI-generated content may be incorrect.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343525" cy="24041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C44D1" w:rsidRPr="008C44D1">
        <w:t xml:space="preserve">Investment that is long-term, values-led, </w:t>
      </w:r>
      <w:proofErr w:type="gramStart"/>
      <w:r w:rsidR="008C44D1" w:rsidRPr="008C44D1">
        <w:t>transparent</w:t>
      </w:r>
      <w:r>
        <w:t xml:space="preserve">, </w:t>
      </w:r>
      <w:r w:rsidR="008C44D1" w:rsidRPr="008C44D1">
        <w:t xml:space="preserve"> and</w:t>
      </w:r>
      <w:proofErr w:type="gramEnd"/>
      <w:r w:rsidR="008C44D1" w:rsidRPr="008C44D1">
        <w:t xml:space="preserve"> trust-bas</w:t>
      </w:r>
      <w:r>
        <w:t xml:space="preserve">ed </w:t>
      </w:r>
      <w:r>
        <w:rPr>
          <w:b/>
          <w:bCs/>
        </w:rPr>
        <w:t xml:space="preserve">- </w:t>
      </w:r>
      <w:r w:rsidRPr="00D362B6">
        <w:t xml:space="preserve">grounded in </w:t>
      </w:r>
      <w:r w:rsidRPr="00D362B6">
        <w:rPr>
          <w:b/>
          <w:bCs/>
        </w:rPr>
        <w:t xml:space="preserve">measures of success defined with and by tāngata </w:t>
      </w:r>
      <w:proofErr w:type="spellStart"/>
      <w:r w:rsidRPr="00D362B6">
        <w:rPr>
          <w:b/>
          <w:bCs/>
        </w:rPr>
        <w:t>whaiora</w:t>
      </w:r>
      <w:proofErr w:type="spellEnd"/>
      <w:r w:rsidRPr="00D362B6">
        <w:rPr>
          <w:b/>
          <w:bCs/>
        </w:rPr>
        <w:t xml:space="preserve"> and whānau</w:t>
      </w:r>
      <w:r w:rsidRPr="00D362B6">
        <w:t>. This shifts commissioning beyond pilot cycles toward scaling what works and what already has momentum.</w:t>
      </w:r>
    </w:p>
    <w:p w14:paraId="181BB23A" w14:textId="2F04EB45" w:rsidR="00552BB4" w:rsidRPr="00552BB4" w:rsidRDefault="00552BB4" w:rsidP="00800904"/>
    <w:p w14:paraId="21314C4E" w14:textId="3E7DA1FA" w:rsidR="00552BB4" w:rsidRPr="00552BB4" w:rsidRDefault="00552BB4" w:rsidP="00552BB4">
      <w:pPr>
        <w:pStyle w:val="Heading2"/>
      </w:pPr>
      <w:r>
        <w:lastRenderedPageBreak/>
        <w:t>Whakamutunga</w:t>
      </w:r>
    </w:p>
    <w:p w14:paraId="3ED76746" w14:textId="77D20BE2" w:rsidR="00795E5C" w:rsidRDefault="008C44D1" w:rsidP="008C44D1">
      <w:proofErr w:type="spellStart"/>
      <w:r w:rsidRPr="008C44D1">
        <w:t>Te</w:t>
      </w:r>
      <w:proofErr w:type="spellEnd"/>
      <w:r w:rsidRPr="008C44D1">
        <w:t xml:space="preserve"> Ara </w:t>
      </w:r>
      <w:proofErr w:type="spellStart"/>
      <w:r w:rsidRPr="008C44D1">
        <w:t>Tūroa</w:t>
      </w:r>
      <w:proofErr w:type="spellEnd"/>
      <w:r w:rsidRPr="008C44D1">
        <w:t xml:space="preserve"> demonstrated the power of participatory design to surface collective wisdom and practical action.</w:t>
      </w:r>
      <w:r w:rsidRPr="008C44D1">
        <w:br/>
        <w:t>The energy, clarity and courage shared in this session reflect a system ready to evolve — toward connection, trust and shared purpose.</w:t>
      </w:r>
    </w:p>
    <w:p w14:paraId="39240368" w14:textId="5AF7EFE2" w:rsidR="008C44D1" w:rsidRPr="008C44D1" w:rsidRDefault="008C44D1" w:rsidP="008C44D1">
      <w:r>
        <w:rPr>
          <w:noProof/>
        </w:rPr>
        <w:drawing>
          <wp:inline distT="0" distB="0" distL="0" distR="0" wp14:anchorId="74BAA2C4" wp14:editId="24F23BCB">
            <wp:extent cx="5486400" cy="3750310"/>
            <wp:effectExtent l="0" t="0" r="0" b="2540"/>
            <wp:docPr id="200226501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2265011" name="Picture 2002265011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750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8C44D1" w:rsidRPr="008C44D1" w:rsidSect="00034616">
      <w:headerReference w:type="default" r:id="rId14"/>
      <w:pgSz w:w="12240" w:h="15840"/>
      <w:pgMar w:top="1440" w:right="1800" w:bottom="1440" w:left="180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57F38E10" w14:textId="77777777" w:rsidR="00D1344F" w:rsidRDefault="00D1344F" w:rsidP="00552BB4">
      <w:pPr>
        <w:spacing w:after="0" w:line="240" w:lineRule="auto"/>
      </w:pPr>
      <w:r>
        <w:separator/>
      </w:r>
    </w:p>
  </w:endnote>
  <w:endnote w:type="continuationSeparator" w:id="0">
    <w:p w14:paraId="03C3D1B7" w14:textId="77777777" w:rsidR="00D1344F" w:rsidRDefault="00D1344F" w:rsidP="00552BB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ourier">
    <w:panose1 w:val="02070409020205020404"/>
    <w:charset w:val="00"/>
    <w:family w:val="modern"/>
    <w:pitch w:val="fixed"/>
    <w:sig w:usb0="00000003" w:usb1="00000000" w:usb2="00000000" w:usb3="00000000" w:csb0="00000001" w:csb1="00000000"/>
  </w:font>
  <w:font w:name="Segoe UI Emoji">
    <w:panose1 w:val="020B0502040204020203"/>
    <w:charset w:val="00"/>
    <w:family w:val="swiss"/>
    <w:pitch w:val="variable"/>
    <w:sig w:usb0="00000003" w:usb1="02000000" w:usb2="08000000" w:usb3="00000000" w:csb0="00000001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6AF0318F" w14:textId="77777777" w:rsidR="00D1344F" w:rsidRDefault="00D1344F" w:rsidP="00552BB4">
      <w:pPr>
        <w:spacing w:after="0" w:line="240" w:lineRule="auto"/>
      </w:pPr>
      <w:r>
        <w:separator/>
      </w:r>
    </w:p>
  </w:footnote>
  <w:footnote w:type="continuationSeparator" w:id="0">
    <w:p w14:paraId="67D81086" w14:textId="77777777" w:rsidR="00D1344F" w:rsidRDefault="00D1344F" w:rsidP="00552BB4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43E8988" w14:textId="511B3D51" w:rsidR="00552BB4" w:rsidRDefault="00552BB4">
    <w:pPr>
      <w:pStyle w:val="Header"/>
    </w:pPr>
    <w:r>
      <w:rPr>
        <w:noProof/>
      </w:rPr>
      <w:drawing>
        <wp:anchor distT="0" distB="0" distL="114300" distR="114300" simplePos="0" relativeHeight="251658240" behindDoc="0" locked="0" layoutInCell="1" allowOverlap="1" wp14:anchorId="1D0C23CB" wp14:editId="54730309">
          <wp:simplePos x="0" y="0"/>
          <wp:positionH relativeFrom="column">
            <wp:posOffset>4492257</wp:posOffset>
          </wp:positionH>
          <wp:positionV relativeFrom="paragraph">
            <wp:posOffset>-171450</wp:posOffset>
          </wp:positionV>
          <wp:extent cx="1641811" cy="476250"/>
          <wp:effectExtent l="0" t="0" r="0" b="0"/>
          <wp:wrapNone/>
          <wp:docPr id="1883292697" name="Picture 1" descr="A purple and black text&#10;&#10;AI-generated content may be incorrect.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883292697" name="Picture 1" descr="A purple and black text&#10;&#10;AI-generated content may be incorrect.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1645825" cy="477414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FFFFFF7C"/>
    <w:multiLevelType w:val="singleLevel"/>
    <w:tmpl w:val="C310EC42"/>
    <w:lvl w:ilvl="0">
      <w:start w:val="1"/>
      <w:numFmt w:val="decimal"/>
      <w:lvlText w:val="%1."/>
      <w:lvlJc w:val="left"/>
      <w:pPr>
        <w:tabs>
          <w:tab w:val="num" w:pos="1800"/>
        </w:tabs>
        <w:ind w:left="1800" w:hanging="360"/>
      </w:pPr>
    </w:lvl>
  </w:abstractNum>
  <w:abstractNum w:abstractNumId="1" w15:restartNumberingAfterBreak="0">
    <w:nsid w:val="FFFFFF7D"/>
    <w:multiLevelType w:val="singleLevel"/>
    <w:tmpl w:val="E4089024"/>
    <w:lvl w:ilvl="0">
      <w:start w:val="1"/>
      <w:numFmt w:val="decimal"/>
      <w:lvlText w:val="%1."/>
      <w:lvlJc w:val="left"/>
      <w:pPr>
        <w:tabs>
          <w:tab w:val="num" w:pos="1440"/>
        </w:tabs>
        <w:ind w:left="1440" w:hanging="360"/>
      </w:pPr>
    </w:lvl>
  </w:abstractNum>
  <w:abstractNum w:abstractNumId="2" w15:restartNumberingAfterBreak="0">
    <w:nsid w:val="FFFFFF7E"/>
    <w:multiLevelType w:val="singleLevel"/>
    <w:tmpl w:val="FB12693A"/>
    <w:lvl w:ilvl="0">
      <w:start w:val="1"/>
      <w:numFmt w:val="decimal"/>
      <w:pStyle w:val="ListNumber3"/>
      <w:lvlText w:val="%1."/>
      <w:lvlJc w:val="left"/>
      <w:pPr>
        <w:tabs>
          <w:tab w:val="num" w:pos="1080"/>
        </w:tabs>
        <w:ind w:left="1080" w:hanging="360"/>
      </w:pPr>
    </w:lvl>
  </w:abstractNum>
  <w:abstractNum w:abstractNumId="3" w15:restartNumberingAfterBreak="0">
    <w:nsid w:val="FFFFFF7F"/>
    <w:multiLevelType w:val="singleLevel"/>
    <w:tmpl w:val="38441652"/>
    <w:lvl w:ilvl="0">
      <w:start w:val="1"/>
      <w:numFmt w:val="decimal"/>
      <w:pStyle w:val="ListNumber2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4" w15:restartNumberingAfterBreak="0">
    <w:nsid w:val="FFFFFF81"/>
    <w:multiLevelType w:val="singleLevel"/>
    <w:tmpl w:val="171AC3A4"/>
    <w:lvl w:ilvl="0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</w:abstractNum>
  <w:abstractNum w:abstractNumId="5" w15:restartNumberingAfterBreak="0">
    <w:nsid w:val="FFFFFF82"/>
    <w:multiLevelType w:val="singleLevel"/>
    <w:tmpl w:val="F3EAFDEC"/>
    <w:lvl w:ilvl="0">
      <w:start w:val="1"/>
      <w:numFmt w:val="bullet"/>
      <w:pStyle w:val="ListBullet3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</w:abstractNum>
  <w:abstractNum w:abstractNumId="6" w15:restartNumberingAfterBreak="0">
    <w:nsid w:val="FFFFFF83"/>
    <w:multiLevelType w:val="singleLevel"/>
    <w:tmpl w:val="3D1EFFD4"/>
    <w:lvl w:ilvl="0">
      <w:start w:val="1"/>
      <w:numFmt w:val="bullet"/>
      <w:pStyle w:val="ListBullet2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</w:abstractNum>
  <w:abstractNum w:abstractNumId="7" w15:restartNumberingAfterBreak="0">
    <w:nsid w:val="FFFFFF88"/>
    <w:multiLevelType w:val="singleLevel"/>
    <w:tmpl w:val="D0A62B40"/>
    <w:lvl w:ilvl="0">
      <w:start w:val="1"/>
      <w:numFmt w:val="decimal"/>
      <w:pStyle w:val="ListNumber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8" w15:restartNumberingAfterBreak="0">
    <w:nsid w:val="FFFFFF89"/>
    <w:multiLevelType w:val="singleLevel"/>
    <w:tmpl w:val="009EF332"/>
    <w:lvl w:ilvl="0">
      <w:start w:val="1"/>
      <w:numFmt w:val="bullet"/>
      <w:pStyle w:val="List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9" w15:restartNumberingAfterBreak="0">
    <w:nsid w:val="110522AB"/>
    <w:multiLevelType w:val="multilevel"/>
    <w:tmpl w:val="72C0C9F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 w15:restartNumberingAfterBreak="0">
    <w:nsid w:val="190D419E"/>
    <w:multiLevelType w:val="multilevel"/>
    <w:tmpl w:val="FEDCE5E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 w15:restartNumberingAfterBreak="0">
    <w:nsid w:val="21CB289D"/>
    <w:multiLevelType w:val="multilevel"/>
    <w:tmpl w:val="8504777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 w15:restartNumberingAfterBreak="0">
    <w:nsid w:val="3BAD186F"/>
    <w:multiLevelType w:val="hybridMultilevel"/>
    <w:tmpl w:val="0D0837B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3BC53554"/>
    <w:multiLevelType w:val="multilevel"/>
    <w:tmpl w:val="45542F5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 w15:restartNumberingAfterBreak="0">
    <w:nsid w:val="3F2E1418"/>
    <w:multiLevelType w:val="multilevel"/>
    <w:tmpl w:val="3A8A193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" w15:restartNumberingAfterBreak="0">
    <w:nsid w:val="60C526FB"/>
    <w:multiLevelType w:val="multilevel"/>
    <w:tmpl w:val="3B9E734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" w15:restartNumberingAfterBreak="0">
    <w:nsid w:val="60E747D5"/>
    <w:multiLevelType w:val="multilevel"/>
    <w:tmpl w:val="0A86144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7" w15:restartNumberingAfterBreak="0">
    <w:nsid w:val="61BA5A52"/>
    <w:multiLevelType w:val="multilevel"/>
    <w:tmpl w:val="AF2CD8A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8" w15:restartNumberingAfterBreak="0">
    <w:nsid w:val="62E359EF"/>
    <w:multiLevelType w:val="multilevel"/>
    <w:tmpl w:val="E20685D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9" w15:restartNumberingAfterBreak="0">
    <w:nsid w:val="6C0012E7"/>
    <w:multiLevelType w:val="multilevel"/>
    <w:tmpl w:val="A980455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0" w15:restartNumberingAfterBreak="0">
    <w:nsid w:val="6F611ECD"/>
    <w:multiLevelType w:val="multilevel"/>
    <w:tmpl w:val="B4209BE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1" w15:restartNumberingAfterBreak="0">
    <w:nsid w:val="707622C9"/>
    <w:multiLevelType w:val="multilevel"/>
    <w:tmpl w:val="45343AF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2" w15:restartNumberingAfterBreak="0">
    <w:nsid w:val="74385CDE"/>
    <w:multiLevelType w:val="hybridMultilevel"/>
    <w:tmpl w:val="0A0E14D8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762799779">
    <w:abstractNumId w:val="8"/>
  </w:num>
  <w:num w:numId="2" w16cid:durableId="22293948">
    <w:abstractNumId w:val="6"/>
  </w:num>
  <w:num w:numId="3" w16cid:durableId="1018389328">
    <w:abstractNumId w:val="5"/>
  </w:num>
  <w:num w:numId="4" w16cid:durableId="408038915">
    <w:abstractNumId w:val="4"/>
  </w:num>
  <w:num w:numId="5" w16cid:durableId="1922131765">
    <w:abstractNumId w:val="7"/>
  </w:num>
  <w:num w:numId="6" w16cid:durableId="1878927005">
    <w:abstractNumId w:val="3"/>
  </w:num>
  <w:num w:numId="7" w16cid:durableId="1942644662">
    <w:abstractNumId w:val="2"/>
  </w:num>
  <w:num w:numId="8" w16cid:durableId="877280217">
    <w:abstractNumId w:val="1"/>
  </w:num>
  <w:num w:numId="9" w16cid:durableId="1820072001">
    <w:abstractNumId w:val="0"/>
  </w:num>
  <w:num w:numId="10" w16cid:durableId="119958941">
    <w:abstractNumId w:val="22"/>
  </w:num>
  <w:num w:numId="11" w16cid:durableId="1679962211">
    <w:abstractNumId w:val="12"/>
  </w:num>
  <w:num w:numId="12" w16cid:durableId="684793974">
    <w:abstractNumId w:val="21"/>
  </w:num>
  <w:num w:numId="13" w16cid:durableId="1708673354">
    <w:abstractNumId w:val="9"/>
  </w:num>
  <w:num w:numId="14" w16cid:durableId="1367677628">
    <w:abstractNumId w:val="18"/>
  </w:num>
  <w:num w:numId="15" w16cid:durableId="905535863">
    <w:abstractNumId w:val="17"/>
  </w:num>
  <w:num w:numId="16" w16cid:durableId="1935162192">
    <w:abstractNumId w:val="16"/>
  </w:num>
  <w:num w:numId="17" w16cid:durableId="685208488">
    <w:abstractNumId w:val="11"/>
  </w:num>
  <w:num w:numId="18" w16cid:durableId="519859261">
    <w:abstractNumId w:val="14"/>
  </w:num>
  <w:num w:numId="19" w16cid:durableId="1164471536">
    <w:abstractNumId w:val="10"/>
  </w:num>
  <w:num w:numId="20" w16cid:durableId="625820430">
    <w:abstractNumId w:val="20"/>
  </w:num>
  <w:num w:numId="21" w16cid:durableId="1936551159">
    <w:abstractNumId w:val="13"/>
  </w:num>
  <w:num w:numId="22" w16cid:durableId="1345666136">
    <w:abstractNumId w:val="15"/>
  </w:num>
  <w:num w:numId="23" w16cid:durableId="418719479">
    <w:abstractNumId w:val="1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B47730"/>
    <w:rsid w:val="00012AAC"/>
    <w:rsid w:val="00034616"/>
    <w:rsid w:val="0006063C"/>
    <w:rsid w:val="0015074B"/>
    <w:rsid w:val="002031D3"/>
    <w:rsid w:val="00204710"/>
    <w:rsid w:val="0029639D"/>
    <w:rsid w:val="002B4733"/>
    <w:rsid w:val="002C0B55"/>
    <w:rsid w:val="00326F90"/>
    <w:rsid w:val="00360140"/>
    <w:rsid w:val="00494EE1"/>
    <w:rsid w:val="004E4CE4"/>
    <w:rsid w:val="00501C6B"/>
    <w:rsid w:val="00501DB7"/>
    <w:rsid w:val="00552BB4"/>
    <w:rsid w:val="005C22E6"/>
    <w:rsid w:val="0069552C"/>
    <w:rsid w:val="00795E5C"/>
    <w:rsid w:val="00800904"/>
    <w:rsid w:val="008C44D1"/>
    <w:rsid w:val="008D0BF9"/>
    <w:rsid w:val="00AA1D8D"/>
    <w:rsid w:val="00AB529C"/>
    <w:rsid w:val="00AD78EA"/>
    <w:rsid w:val="00B47730"/>
    <w:rsid w:val="00B70F0C"/>
    <w:rsid w:val="00BD7426"/>
    <w:rsid w:val="00C616C7"/>
    <w:rsid w:val="00CB0664"/>
    <w:rsid w:val="00CD2947"/>
    <w:rsid w:val="00D1344F"/>
    <w:rsid w:val="00D362B6"/>
    <w:rsid w:val="00D8502A"/>
    <w:rsid w:val="00DF208E"/>
    <w:rsid w:val="00F31BE0"/>
    <w:rsid w:val="00F351BE"/>
    <w:rsid w:val="00F757A3"/>
    <w:rsid w:val="00F8694C"/>
    <w:rsid w:val="00F974C6"/>
    <w:rsid w:val="00FC300B"/>
    <w:rsid w:val="00FC693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2"/>
    </o:shapelayout>
  </w:shapeDefaults>
  <w:decimalSymbol w:val="."/>
  <w:listSeparator w:val=","/>
  <w14:docId w14:val="12E16EEA"/>
  <w14:defaultImageDpi w14:val="300"/>
  <w15:docId w15:val="{35FFF21F-FAB7-4E00-9390-C54C95BC34F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FC693F"/>
  </w:style>
  <w:style w:type="paragraph" w:styleId="Heading1">
    <w:name w:val="heading 1"/>
    <w:basedOn w:val="Normal"/>
    <w:next w:val="Normal"/>
    <w:link w:val="Heading1Char"/>
    <w:uiPriority w:val="9"/>
    <w:qFormat/>
    <w:rsid w:val="00FC693F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FC693F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FC693F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FC693F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FC693F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FC693F"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FC693F"/>
    <w:pPr>
      <w:keepNext/>
      <w:keepLines/>
      <w:spacing w:before="200" w:after="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FC693F"/>
    <w:pPr>
      <w:keepNext/>
      <w:keepLines/>
      <w:spacing w:before="200" w:after="0"/>
      <w:outlineLvl w:val="7"/>
    </w:pPr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FC693F"/>
    <w:pPr>
      <w:keepNext/>
      <w:keepLines/>
      <w:spacing w:before="200" w:after="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E618B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E618BF"/>
  </w:style>
  <w:style w:type="paragraph" w:styleId="Footer">
    <w:name w:val="footer"/>
    <w:basedOn w:val="Normal"/>
    <w:link w:val="FooterChar"/>
    <w:uiPriority w:val="99"/>
    <w:unhideWhenUsed/>
    <w:rsid w:val="00E618B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E618BF"/>
  </w:style>
  <w:style w:type="paragraph" w:styleId="NoSpacing">
    <w:name w:val="No Spacing"/>
    <w:uiPriority w:val="1"/>
    <w:qFormat/>
    <w:rsid w:val="00FC693F"/>
    <w:pPr>
      <w:spacing w:after="0" w:line="240" w:lineRule="auto"/>
    </w:pPr>
  </w:style>
  <w:style w:type="character" w:customStyle="1" w:styleId="Heading1Char">
    <w:name w:val="Heading 1 Char"/>
    <w:basedOn w:val="DefaultParagraphFont"/>
    <w:link w:val="Heading1"/>
    <w:uiPriority w:val="9"/>
    <w:rsid w:val="00FC693F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Heading2Char">
    <w:name w:val="Heading 2 Char"/>
    <w:basedOn w:val="DefaultParagraphFont"/>
    <w:link w:val="Heading2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Title">
    <w:name w:val="Title"/>
    <w:basedOn w:val="Normal"/>
    <w:next w:val="Normal"/>
    <w:link w:val="TitleChar"/>
    <w:uiPriority w:val="10"/>
    <w:qFormat/>
    <w:rsid w:val="00FC693F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FC693F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Subtitle">
    <w:name w:val="Subtitle"/>
    <w:basedOn w:val="Normal"/>
    <w:next w:val="Normal"/>
    <w:link w:val="SubtitleChar"/>
    <w:uiPriority w:val="11"/>
    <w:qFormat/>
    <w:rsid w:val="00FC693F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SubtitleChar">
    <w:name w:val="Subtitle Char"/>
    <w:basedOn w:val="DefaultParagraphFont"/>
    <w:link w:val="Subtitle"/>
    <w:uiPriority w:val="11"/>
    <w:rsid w:val="00FC693F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paragraph" w:styleId="ListParagraph">
    <w:name w:val="List Paragraph"/>
    <w:basedOn w:val="Normal"/>
    <w:uiPriority w:val="34"/>
    <w:qFormat/>
    <w:rsid w:val="00FC693F"/>
    <w:pPr>
      <w:ind w:left="720"/>
      <w:contextualSpacing/>
    </w:pPr>
  </w:style>
  <w:style w:type="paragraph" w:styleId="BodyText">
    <w:name w:val="Body Text"/>
    <w:basedOn w:val="Normal"/>
    <w:link w:val="BodyTextChar"/>
    <w:uiPriority w:val="99"/>
    <w:unhideWhenUsed/>
    <w:rsid w:val="00AA1D8D"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99"/>
    <w:rsid w:val="00AA1D8D"/>
  </w:style>
  <w:style w:type="paragraph" w:styleId="BodyText2">
    <w:name w:val="Body Text 2"/>
    <w:basedOn w:val="Normal"/>
    <w:link w:val="BodyText2Char"/>
    <w:uiPriority w:val="99"/>
    <w:unhideWhenUsed/>
    <w:rsid w:val="00AA1D8D"/>
    <w:pPr>
      <w:spacing w:after="120" w:line="480" w:lineRule="auto"/>
    </w:pPr>
  </w:style>
  <w:style w:type="character" w:customStyle="1" w:styleId="BodyText2Char">
    <w:name w:val="Body Text 2 Char"/>
    <w:basedOn w:val="DefaultParagraphFont"/>
    <w:link w:val="BodyText2"/>
    <w:uiPriority w:val="99"/>
    <w:rsid w:val="00AA1D8D"/>
  </w:style>
  <w:style w:type="paragraph" w:styleId="BodyText3">
    <w:name w:val="Body Text 3"/>
    <w:basedOn w:val="Normal"/>
    <w:link w:val="BodyText3Char"/>
    <w:uiPriority w:val="99"/>
    <w:unhideWhenUsed/>
    <w:rsid w:val="00AA1D8D"/>
    <w:pPr>
      <w:spacing w:after="120"/>
    </w:pPr>
    <w:rPr>
      <w:sz w:val="16"/>
      <w:szCs w:val="16"/>
    </w:rPr>
  </w:style>
  <w:style w:type="character" w:customStyle="1" w:styleId="BodyText3Char">
    <w:name w:val="Body Text 3 Char"/>
    <w:basedOn w:val="DefaultParagraphFont"/>
    <w:link w:val="BodyText3"/>
    <w:uiPriority w:val="99"/>
    <w:rsid w:val="00AA1D8D"/>
    <w:rPr>
      <w:sz w:val="16"/>
      <w:szCs w:val="16"/>
    </w:rPr>
  </w:style>
  <w:style w:type="paragraph" w:styleId="List">
    <w:name w:val="List"/>
    <w:basedOn w:val="Normal"/>
    <w:uiPriority w:val="99"/>
    <w:unhideWhenUsed/>
    <w:rsid w:val="00AA1D8D"/>
    <w:pPr>
      <w:ind w:left="360" w:hanging="360"/>
      <w:contextualSpacing/>
    </w:pPr>
  </w:style>
  <w:style w:type="paragraph" w:styleId="List2">
    <w:name w:val="List 2"/>
    <w:basedOn w:val="Normal"/>
    <w:uiPriority w:val="99"/>
    <w:unhideWhenUsed/>
    <w:rsid w:val="00326F90"/>
    <w:pPr>
      <w:ind w:left="720" w:hanging="360"/>
      <w:contextualSpacing/>
    </w:pPr>
  </w:style>
  <w:style w:type="paragraph" w:styleId="List3">
    <w:name w:val="List 3"/>
    <w:basedOn w:val="Normal"/>
    <w:uiPriority w:val="99"/>
    <w:unhideWhenUsed/>
    <w:rsid w:val="00326F90"/>
    <w:pPr>
      <w:ind w:left="1080" w:hanging="360"/>
      <w:contextualSpacing/>
    </w:pPr>
  </w:style>
  <w:style w:type="paragraph" w:styleId="ListBullet">
    <w:name w:val="List Bullet"/>
    <w:basedOn w:val="Normal"/>
    <w:uiPriority w:val="99"/>
    <w:unhideWhenUsed/>
    <w:rsid w:val="00326F90"/>
    <w:pPr>
      <w:numPr>
        <w:numId w:val="1"/>
      </w:numPr>
      <w:contextualSpacing/>
    </w:pPr>
  </w:style>
  <w:style w:type="paragraph" w:styleId="ListBullet2">
    <w:name w:val="List Bullet 2"/>
    <w:basedOn w:val="Normal"/>
    <w:uiPriority w:val="99"/>
    <w:unhideWhenUsed/>
    <w:rsid w:val="00326F90"/>
    <w:pPr>
      <w:numPr>
        <w:numId w:val="2"/>
      </w:numPr>
      <w:contextualSpacing/>
    </w:pPr>
  </w:style>
  <w:style w:type="paragraph" w:styleId="ListBullet3">
    <w:name w:val="List Bullet 3"/>
    <w:basedOn w:val="Normal"/>
    <w:uiPriority w:val="99"/>
    <w:unhideWhenUsed/>
    <w:rsid w:val="00326F90"/>
    <w:pPr>
      <w:numPr>
        <w:numId w:val="3"/>
      </w:numPr>
      <w:contextualSpacing/>
    </w:pPr>
  </w:style>
  <w:style w:type="paragraph" w:styleId="ListNumber">
    <w:name w:val="List Number"/>
    <w:basedOn w:val="Normal"/>
    <w:uiPriority w:val="99"/>
    <w:unhideWhenUsed/>
    <w:rsid w:val="00326F90"/>
    <w:pPr>
      <w:numPr>
        <w:numId w:val="5"/>
      </w:numPr>
      <w:contextualSpacing/>
    </w:pPr>
  </w:style>
  <w:style w:type="paragraph" w:styleId="ListNumber2">
    <w:name w:val="List Number 2"/>
    <w:basedOn w:val="Normal"/>
    <w:uiPriority w:val="99"/>
    <w:unhideWhenUsed/>
    <w:rsid w:val="0029639D"/>
    <w:pPr>
      <w:numPr>
        <w:numId w:val="6"/>
      </w:numPr>
      <w:contextualSpacing/>
    </w:pPr>
  </w:style>
  <w:style w:type="paragraph" w:styleId="ListNumber3">
    <w:name w:val="List Number 3"/>
    <w:basedOn w:val="Normal"/>
    <w:uiPriority w:val="99"/>
    <w:unhideWhenUsed/>
    <w:rsid w:val="0029639D"/>
    <w:pPr>
      <w:numPr>
        <w:numId w:val="7"/>
      </w:numPr>
      <w:contextualSpacing/>
    </w:pPr>
  </w:style>
  <w:style w:type="paragraph" w:styleId="ListContinue">
    <w:name w:val="List Continue"/>
    <w:basedOn w:val="Normal"/>
    <w:uiPriority w:val="99"/>
    <w:unhideWhenUsed/>
    <w:rsid w:val="0029639D"/>
    <w:pPr>
      <w:spacing w:after="120"/>
      <w:ind w:left="360"/>
      <w:contextualSpacing/>
    </w:pPr>
  </w:style>
  <w:style w:type="paragraph" w:styleId="ListContinue2">
    <w:name w:val="List Continue 2"/>
    <w:basedOn w:val="Normal"/>
    <w:uiPriority w:val="99"/>
    <w:unhideWhenUsed/>
    <w:rsid w:val="0029639D"/>
    <w:pPr>
      <w:spacing w:after="120"/>
      <w:ind w:left="720"/>
      <w:contextualSpacing/>
    </w:pPr>
  </w:style>
  <w:style w:type="paragraph" w:styleId="ListContinue3">
    <w:name w:val="List Continue 3"/>
    <w:basedOn w:val="Normal"/>
    <w:uiPriority w:val="99"/>
    <w:unhideWhenUsed/>
    <w:rsid w:val="0029639D"/>
    <w:pPr>
      <w:spacing w:after="120"/>
      <w:ind w:left="1080"/>
      <w:contextualSpacing/>
    </w:pPr>
  </w:style>
  <w:style w:type="paragraph" w:styleId="MacroText">
    <w:name w:val="macro"/>
    <w:link w:val="MacroTextChar"/>
    <w:uiPriority w:val="99"/>
    <w:unhideWhenUsed/>
    <w:rsid w:val="0029639D"/>
    <w:pPr>
      <w:tabs>
        <w:tab w:val="left" w:pos="576"/>
        <w:tab w:val="left" w:pos="1152"/>
        <w:tab w:val="left" w:pos="1728"/>
        <w:tab w:val="left" w:pos="2304"/>
        <w:tab w:val="left" w:pos="2880"/>
        <w:tab w:val="left" w:pos="3456"/>
        <w:tab w:val="left" w:pos="4032"/>
      </w:tabs>
    </w:pPr>
    <w:rPr>
      <w:rFonts w:ascii="Courier" w:hAnsi="Courier"/>
      <w:sz w:val="20"/>
      <w:szCs w:val="20"/>
    </w:rPr>
  </w:style>
  <w:style w:type="character" w:customStyle="1" w:styleId="MacroTextChar">
    <w:name w:val="Macro Text Char"/>
    <w:basedOn w:val="DefaultParagraphFont"/>
    <w:link w:val="MacroText"/>
    <w:uiPriority w:val="99"/>
    <w:rsid w:val="0029639D"/>
    <w:rPr>
      <w:rFonts w:ascii="Courier" w:hAnsi="Courier"/>
      <w:sz w:val="20"/>
      <w:szCs w:val="20"/>
    </w:rPr>
  </w:style>
  <w:style w:type="paragraph" w:styleId="Quote">
    <w:name w:val="Quote"/>
    <w:basedOn w:val="Normal"/>
    <w:next w:val="Normal"/>
    <w:link w:val="QuoteChar"/>
    <w:uiPriority w:val="29"/>
    <w:qFormat/>
    <w:rsid w:val="00FC693F"/>
    <w:rPr>
      <w:i/>
      <w:iCs/>
      <w:color w:val="000000" w:themeColor="text1"/>
    </w:rPr>
  </w:style>
  <w:style w:type="character" w:customStyle="1" w:styleId="QuoteChar">
    <w:name w:val="Quote Char"/>
    <w:basedOn w:val="DefaultParagraphFont"/>
    <w:link w:val="Quote"/>
    <w:uiPriority w:val="29"/>
    <w:rsid w:val="00FC693F"/>
    <w:rPr>
      <w:i/>
      <w:iCs/>
      <w:color w:val="000000" w:themeColor="text1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FC693F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FC693F"/>
    <w:rPr>
      <w:rFonts w:asciiTheme="majorHAnsi" w:eastAsiaTheme="majorEastAsia" w:hAnsiTheme="majorHAnsi" w:cstheme="majorBidi"/>
      <w:color w:val="243F60" w:themeColor="accent1" w:themeShade="7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FC693F"/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FC693F"/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styleId="Caption">
    <w:name w:val="caption"/>
    <w:basedOn w:val="Normal"/>
    <w:next w:val="Normal"/>
    <w:uiPriority w:val="35"/>
    <w:semiHidden/>
    <w:unhideWhenUsed/>
    <w:qFormat/>
    <w:rsid w:val="00FC693F"/>
    <w:pPr>
      <w:spacing w:line="240" w:lineRule="auto"/>
    </w:pPr>
    <w:rPr>
      <w:b/>
      <w:bCs/>
      <w:color w:val="4F81BD" w:themeColor="accent1"/>
      <w:sz w:val="18"/>
      <w:szCs w:val="18"/>
    </w:rPr>
  </w:style>
  <w:style w:type="character" w:styleId="Strong">
    <w:name w:val="Strong"/>
    <w:basedOn w:val="DefaultParagraphFont"/>
    <w:uiPriority w:val="22"/>
    <w:qFormat/>
    <w:rsid w:val="00FC693F"/>
    <w:rPr>
      <w:b/>
      <w:bCs/>
    </w:rPr>
  </w:style>
  <w:style w:type="character" w:styleId="Emphasis">
    <w:name w:val="Emphasis"/>
    <w:basedOn w:val="DefaultParagraphFont"/>
    <w:uiPriority w:val="20"/>
    <w:qFormat/>
    <w:rsid w:val="00FC693F"/>
    <w:rPr>
      <w:i/>
      <w:iCs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FC693F"/>
    <w:pPr>
      <w:pBdr>
        <w:bottom w:val="single" w:sz="4" w:space="4" w:color="4F81BD" w:themeColor="accent1"/>
      </w:pBdr>
      <w:spacing w:before="200" w:after="280"/>
      <w:ind w:left="936" w:right="936"/>
    </w:pPr>
    <w:rPr>
      <w:b/>
      <w:bCs/>
      <w:i/>
      <w:iCs/>
      <w:color w:val="4F81BD" w:themeColor="accent1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FC693F"/>
    <w:rPr>
      <w:b/>
      <w:bCs/>
      <w:i/>
      <w:iCs/>
      <w:color w:val="4F81BD" w:themeColor="accent1"/>
    </w:rPr>
  </w:style>
  <w:style w:type="character" w:styleId="SubtleEmphasis">
    <w:name w:val="Subtle Emphasis"/>
    <w:basedOn w:val="DefaultParagraphFont"/>
    <w:uiPriority w:val="19"/>
    <w:qFormat/>
    <w:rsid w:val="00FC693F"/>
    <w:rPr>
      <w:i/>
      <w:iCs/>
      <w:color w:val="808080" w:themeColor="text1" w:themeTint="7F"/>
    </w:rPr>
  </w:style>
  <w:style w:type="character" w:styleId="IntenseEmphasis">
    <w:name w:val="Intense Emphasis"/>
    <w:basedOn w:val="DefaultParagraphFont"/>
    <w:uiPriority w:val="21"/>
    <w:qFormat/>
    <w:rsid w:val="00FC693F"/>
    <w:rPr>
      <w:b/>
      <w:bCs/>
      <w:i/>
      <w:iCs/>
      <w:color w:val="4F81BD" w:themeColor="accent1"/>
    </w:rPr>
  </w:style>
  <w:style w:type="character" w:styleId="SubtleReference">
    <w:name w:val="Subtle Reference"/>
    <w:basedOn w:val="DefaultParagraphFont"/>
    <w:uiPriority w:val="31"/>
    <w:qFormat/>
    <w:rsid w:val="00FC693F"/>
    <w:rPr>
      <w:smallCaps/>
      <w:color w:val="C0504D" w:themeColor="accent2"/>
      <w:u w:val="single"/>
    </w:rPr>
  </w:style>
  <w:style w:type="character" w:styleId="IntenseReference">
    <w:name w:val="Intense Reference"/>
    <w:basedOn w:val="DefaultParagraphFont"/>
    <w:uiPriority w:val="32"/>
    <w:qFormat/>
    <w:rsid w:val="00FC693F"/>
    <w:rPr>
      <w:b/>
      <w:bCs/>
      <w:smallCaps/>
      <w:color w:val="C0504D" w:themeColor="accent2"/>
      <w:spacing w:val="5"/>
      <w:u w:val="single"/>
    </w:rPr>
  </w:style>
  <w:style w:type="character" w:styleId="BookTitle">
    <w:name w:val="Book Title"/>
    <w:basedOn w:val="DefaultParagraphFont"/>
    <w:uiPriority w:val="33"/>
    <w:qFormat/>
    <w:rsid w:val="00FC693F"/>
    <w:rPr>
      <w:b/>
      <w:bCs/>
      <w:smallCaps/>
      <w:spacing w:val="5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FC693F"/>
    <w:pPr>
      <w:outlineLvl w:val="9"/>
    </w:pPr>
  </w:style>
  <w:style w:type="table" w:styleId="TableGrid">
    <w:name w:val="Table Grid"/>
    <w:basedOn w:val="TableNormal"/>
    <w:uiPriority w:val="59"/>
    <w:rsid w:val="00FC693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LightShading">
    <w:name w:val="Light Shading"/>
    <w:basedOn w:val="TableNormal"/>
    <w:uiPriority w:val="60"/>
    <w:rsid w:val="00FC693F"/>
    <w:pPr>
      <w:spacing w:after="0" w:line="240" w:lineRule="auto"/>
    </w:pPr>
    <w:rPr>
      <w:color w:val="000000" w:themeColor="text1" w:themeShade="BF"/>
    </w:rPr>
    <w:tblPr>
      <w:tblStyleRowBandSize w:val="1"/>
      <w:tblStyleColBandSize w:val="1"/>
      <w:tblBorders>
        <w:top w:val="single" w:sz="8" w:space="0" w:color="000000" w:themeColor="text1"/>
        <w:bottom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styleId="LightShading-Accent1">
    <w:name w:val="Light Shading Accent 1"/>
    <w:basedOn w:val="TableNormal"/>
    <w:uiPriority w:val="60"/>
    <w:rsid w:val="00FC693F"/>
    <w:pPr>
      <w:spacing w:after="0" w:line="240" w:lineRule="auto"/>
    </w:pPr>
    <w:rPr>
      <w:color w:val="365F91" w:themeColor="accent1" w:themeShade="BF"/>
    </w:rPr>
    <w:tblPr>
      <w:tblStyleRowBandSize w:val="1"/>
      <w:tblStyleColBandSize w:val="1"/>
      <w:tblBorders>
        <w:top w:val="single" w:sz="8" w:space="0" w:color="4F81BD" w:themeColor="accent1"/>
        <w:bottom w:val="single" w:sz="8" w:space="0" w:color="4F81BD" w:themeColor="accen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</w:style>
  <w:style w:type="table" w:styleId="LightShading-Accent2">
    <w:name w:val="Light Shading Accent 2"/>
    <w:basedOn w:val="TableNormal"/>
    <w:uiPriority w:val="60"/>
    <w:rsid w:val="00FC693F"/>
    <w:pPr>
      <w:spacing w:after="0" w:line="240" w:lineRule="auto"/>
    </w:pPr>
    <w:rPr>
      <w:color w:val="943634" w:themeColor="accent2" w:themeShade="BF"/>
    </w:rPr>
    <w:tblPr>
      <w:tblStyleRowBandSize w:val="1"/>
      <w:tblStyleColBandSize w:val="1"/>
      <w:tblBorders>
        <w:top w:val="single" w:sz="8" w:space="0" w:color="C0504D" w:themeColor="accent2"/>
        <w:bottom w:val="single" w:sz="8" w:space="0" w:color="C0504D" w:themeColor="accent2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</w:style>
  <w:style w:type="table" w:styleId="LightShading-Accent3">
    <w:name w:val="Light Shading Accent 3"/>
    <w:basedOn w:val="TableNormal"/>
    <w:uiPriority w:val="60"/>
    <w:rsid w:val="00FC693F"/>
    <w:pPr>
      <w:spacing w:after="0" w:line="240" w:lineRule="auto"/>
    </w:pPr>
    <w:rPr>
      <w:color w:val="76923C" w:themeColor="accent3" w:themeShade="BF"/>
    </w:rPr>
    <w:tblPr>
      <w:tblStyleRowBandSize w:val="1"/>
      <w:tblStyleColBandSize w:val="1"/>
      <w:tblBorders>
        <w:top w:val="single" w:sz="8" w:space="0" w:color="9BBB59" w:themeColor="accent3"/>
        <w:bottom w:val="single" w:sz="8" w:space="0" w:color="9BBB59" w:themeColor="accent3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</w:style>
  <w:style w:type="table" w:styleId="LightShading-Accent4">
    <w:name w:val="Light Shading Accent 4"/>
    <w:basedOn w:val="TableNormal"/>
    <w:uiPriority w:val="60"/>
    <w:rsid w:val="00FC693F"/>
    <w:pPr>
      <w:spacing w:after="0" w:line="240" w:lineRule="auto"/>
    </w:pPr>
    <w:rPr>
      <w:color w:val="5F497A" w:themeColor="accent4" w:themeShade="BF"/>
    </w:rPr>
    <w:tblPr>
      <w:tblStyleRowBandSize w:val="1"/>
      <w:tblStyleColBandSize w:val="1"/>
      <w:tblBorders>
        <w:top w:val="single" w:sz="8" w:space="0" w:color="8064A2" w:themeColor="accent4"/>
        <w:bottom w:val="single" w:sz="8" w:space="0" w:color="8064A2" w:themeColor="accent4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</w:style>
  <w:style w:type="table" w:styleId="LightShading-Accent5">
    <w:name w:val="Light Shading Accent 5"/>
    <w:basedOn w:val="TableNormal"/>
    <w:uiPriority w:val="60"/>
    <w:rsid w:val="00FC693F"/>
    <w:pPr>
      <w:spacing w:after="0" w:line="240" w:lineRule="auto"/>
    </w:pPr>
    <w:rPr>
      <w:color w:val="31849B" w:themeColor="accent5" w:themeShade="BF"/>
    </w:rPr>
    <w:tblPr>
      <w:tblStyleRowBandSize w:val="1"/>
      <w:tblStyleColBandSize w:val="1"/>
      <w:tblBorders>
        <w:top w:val="single" w:sz="8" w:space="0" w:color="4BACC6" w:themeColor="accent5"/>
        <w:bottom w:val="single" w:sz="8" w:space="0" w:color="4BACC6" w:themeColor="accent5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</w:style>
  <w:style w:type="table" w:styleId="LightShading-Accent6">
    <w:name w:val="Light Shading Accent 6"/>
    <w:basedOn w:val="TableNormal"/>
    <w:uiPriority w:val="60"/>
    <w:rsid w:val="00FC693F"/>
    <w:pPr>
      <w:spacing w:after="0" w:line="240" w:lineRule="auto"/>
    </w:pPr>
    <w:rPr>
      <w:color w:val="E36C0A" w:themeColor="accent6" w:themeShade="BF"/>
    </w:rPr>
    <w:tblPr>
      <w:tblStyleRowBandSize w:val="1"/>
      <w:tblStyleColBandSize w:val="1"/>
      <w:tblBorders>
        <w:top w:val="single" w:sz="8" w:space="0" w:color="F79646" w:themeColor="accent6"/>
        <w:bottom w:val="single" w:sz="8" w:space="0" w:color="F79646" w:themeColor="accent6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</w:style>
  <w:style w:type="table" w:styleId="LightList">
    <w:name w:val="Light List"/>
    <w:basedOn w:val="TableNormal"/>
    <w:uiPriority w:val="61"/>
    <w:rsid w:val="00FC693F"/>
    <w:pPr>
      <w:spacing w:after="0" w:line="240" w:lineRule="auto"/>
    </w:p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</w:style>
  <w:style w:type="table" w:styleId="LightList-Accent1">
    <w:name w:val="Light List Accent 1"/>
    <w:basedOn w:val="TableNormal"/>
    <w:uiPriority w:val="61"/>
    <w:rsid w:val="00FC693F"/>
    <w:pPr>
      <w:spacing w:after="0" w:line="240" w:lineRule="auto"/>
    </w:pPr>
    <w:tblPr>
      <w:tblStyleRowBandSize w:val="1"/>
      <w:tblStyleColBandSize w:val="1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</w:style>
  <w:style w:type="table" w:styleId="LightList-Accent2">
    <w:name w:val="Light List Accent 2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</w:style>
  <w:style w:type="table" w:styleId="LightList-Accent3">
    <w:name w:val="Light List Accent 3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</w:style>
  <w:style w:type="table" w:styleId="LightList-Accent4">
    <w:name w:val="Light List Accent 4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</w:style>
  <w:style w:type="table" w:styleId="LightList-Accent5">
    <w:name w:val="Light List Accent 5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</w:style>
  <w:style w:type="table" w:styleId="LightList-Accent6">
    <w:name w:val="Light List Accent 6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</w:style>
  <w:style w:type="table" w:styleId="LightGrid">
    <w:name w:val="Light Grid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table" w:styleId="LightGrid-Accent1">
    <w:name w:val="Light Grid Accent 1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styleId="LightGrid-Accent2">
    <w:name w:val="Light Grid Accent 2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1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  <w:shd w:val="clear" w:color="auto" w:fill="EFD3D2" w:themeFill="accent2" w:themeFillTint="3F"/>
      </w:tcPr>
    </w:tblStylePr>
    <w:tblStylePr w:type="band2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</w:tcPr>
    </w:tblStylePr>
  </w:style>
  <w:style w:type="table" w:styleId="LightGrid-Accent3">
    <w:name w:val="Light Grid Accent 3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1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  <w:shd w:val="clear" w:color="auto" w:fill="E6EED5" w:themeFill="accent3" w:themeFillTint="3F"/>
      </w:tcPr>
    </w:tblStylePr>
    <w:tblStylePr w:type="band2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</w:tcPr>
    </w:tblStylePr>
  </w:style>
  <w:style w:type="table" w:styleId="LightGrid-Accent4">
    <w:name w:val="Light Grid Accent 4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1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  <w:shd w:val="clear" w:color="auto" w:fill="DFD8E8" w:themeFill="accent4" w:themeFillTint="3F"/>
      </w:tcPr>
    </w:tblStylePr>
    <w:tblStylePr w:type="band2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</w:tcPr>
    </w:tblStylePr>
  </w:style>
  <w:style w:type="table" w:styleId="LightGrid-Accent5">
    <w:name w:val="Light Grid Accent 5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1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  <w:shd w:val="clear" w:color="auto" w:fill="D2EAF1" w:themeFill="accent5" w:themeFillTint="3F"/>
      </w:tcPr>
    </w:tblStylePr>
    <w:tblStylePr w:type="band2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</w:tcPr>
    </w:tblStylePr>
  </w:style>
  <w:style w:type="table" w:styleId="LightGrid-Accent6">
    <w:name w:val="Light Grid Accent 6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1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  <w:shd w:val="clear" w:color="auto" w:fill="FDE4D0" w:themeFill="accent6" w:themeFillTint="3F"/>
      </w:tcPr>
    </w:tblStylePr>
    <w:tblStylePr w:type="band2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</w:tcPr>
    </w:tblStylePr>
  </w:style>
  <w:style w:type="table" w:styleId="MediumShading1">
    <w:name w:val="Medium Shading 1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0C0C0" w:themeFill="tex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1">
    <w:name w:val="Medium Shading 1 Accent 1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3DFEE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2">
    <w:name w:val="Medium Shading 1 Accent 2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FD3D2" w:themeFill="accent2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3">
    <w:name w:val="Medium Shading 1 Accent 3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6EED5" w:themeFill="accent3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4">
    <w:name w:val="Medium Shading 1 Accent 4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FD8E8" w:themeFill="accent4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5">
    <w:name w:val="Medium Shading 1 Accent 5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2EAF1" w:themeFill="accent5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6">
    <w:name w:val="Medium Shading 1 Accent 6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DE4D0" w:themeFill="accent6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2">
    <w:name w:val="Medium Shading 2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1">
    <w:name w:val="Medium Shading 2 Accent 1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2">
    <w:name w:val="Medium Shading 2 Accent 2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3">
    <w:name w:val="Medium Shading 2 Accent 3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4">
    <w:name w:val="Medium Shading 2 Accent 4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5">
    <w:name w:val="Medium Shading 2 Accent 5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6">
    <w:name w:val="Medium Shading 2 Accent 6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List1">
    <w:name w:val="Medium List 1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bottom w:val="single" w:sz="8" w:space="0" w:color="000000" w:themeColor="text1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000000" w:themeColor="tex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shd w:val="clear" w:color="auto" w:fill="C0C0C0" w:themeFill="text1" w:themeFillTint="3F"/>
      </w:tcPr>
    </w:tblStylePr>
  </w:style>
  <w:style w:type="table" w:styleId="MediumList1-Accent1">
    <w:name w:val="Medium List 1 Accent 1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4F81BD" w:themeColor="accent1"/>
        <w:bottom w:val="single" w:sz="8" w:space="0" w:color="4F81BD" w:themeColor="accent1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F81BD" w:themeColor="accen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shd w:val="clear" w:color="auto" w:fill="D3DFEE" w:themeFill="accent1" w:themeFillTint="3F"/>
      </w:tcPr>
    </w:tblStylePr>
  </w:style>
  <w:style w:type="table" w:styleId="MediumList1-Accent2">
    <w:name w:val="Medium List 1 Accent 2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C0504D" w:themeColor="accent2"/>
        <w:bottom w:val="single" w:sz="8" w:space="0" w:color="C0504D" w:themeColor="accent2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C0504D" w:themeColor="accent2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shd w:val="clear" w:color="auto" w:fill="EFD3D2" w:themeFill="accent2" w:themeFillTint="3F"/>
      </w:tcPr>
    </w:tblStylePr>
  </w:style>
  <w:style w:type="table" w:styleId="MediumList1-Accent3">
    <w:name w:val="Medium List 1 Accent 3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9BBB59" w:themeColor="accent3"/>
        <w:bottom w:val="single" w:sz="8" w:space="0" w:color="9BBB59" w:themeColor="accent3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9BBB59" w:themeColor="accent3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shd w:val="clear" w:color="auto" w:fill="E6EED5" w:themeFill="accent3" w:themeFillTint="3F"/>
      </w:tcPr>
    </w:tblStylePr>
  </w:style>
  <w:style w:type="table" w:styleId="MediumList1-Accent4">
    <w:name w:val="Medium List 1 Accent 4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8064A2" w:themeColor="accent4"/>
        <w:bottom w:val="single" w:sz="8" w:space="0" w:color="8064A2" w:themeColor="accent4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8064A2" w:themeColor="accent4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shd w:val="clear" w:color="auto" w:fill="DFD8E8" w:themeFill="accent4" w:themeFillTint="3F"/>
      </w:tcPr>
    </w:tblStylePr>
  </w:style>
  <w:style w:type="table" w:styleId="MediumList1-Accent5">
    <w:name w:val="Medium List 1 Accent 5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4BACC6" w:themeColor="accent5"/>
        <w:bottom w:val="single" w:sz="8" w:space="0" w:color="4BACC6" w:themeColor="accent5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BACC6" w:themeColor="accent5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shd w:val="clear" w:color="auto" w:fill="D2EAF1" w:themeFill="accent5" w:themeFillTint="3F"/>
      </w:tcPr>
    </w:tblStylePr>
  </w:style>
  <w:style w:type="table" w:styleId="MediumList1-Accent6">
    <w:name w:val="Medium List 1 Accent 6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F79646" w:themeColor="accent6"/>
        <w:bottom w:val="single" w:sz="8" w:space="0" w:color="F79646" w:themeColor="accent6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F79646" w:themeColor="accent6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shd w:val="clear" w:color="auto" w:fill="FDE4D0" w:themeFill="accent6" w:themeFillTint="3F"/>
      </w:tcPr>
    </w:tblStylePr>
  </w:style>
  <w:style w:type="table" w:styleId="MediumList2">
    <w:name w:val="Medium List 2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0000" w:themeColor="tex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0000" w:themeColor="tex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000000" w:themeColor="tex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0C0C0" w:themeFill="tex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1">
    <w:name w:val="Medium List 2 Accent 1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F81BD" w:themeColor="accen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F81BD" w:themeColor="accen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F81BD" w:themeColor="accen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F81BD" w:themeColor="accen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3DFEE" w:themeFill="accen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2">
    <w:name w:val="Medium List 2 Accent 2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C0504D" w:themeColor="accent2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C0504D" w:themeColor="accent2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C0504D" w:themeColor="accent2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FD3D2" w:themeFill="accent2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3">
    <w:name w:val="Medium List 2 Accent 3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9BBB59" w:themeColor="accent3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9BBB59" w:themeColor="accent3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9BBB59" w:themeColor="accent3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6EED5" w:themeFill="accent3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4">
    <w:name w:val="Medium List 2 Accent 4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8064A2" w:themeColor="accent4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8064A2" w:themeColor="accent4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8064A2" w:themeColor="accent4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FD8E8" w:themeFill="accent4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5">
    <w:name w:val="Medium List 2 Accent 5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BACC6" w:themeColor="accent5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BACC6" w:themeColor="accent5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BACC6" w:themeColor="accent5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2EAF1" w:themeFill="accent5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6">
    <w:name w:val="Medium List 2 Accent 6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F79646" w:themeColor="accent6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F79646" w:themeColor="accent6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F79646" w:themeColor="accent6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DE4D0" w:themeFill="accent6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Grid1">
    <w:name w:val="Medium Grid 1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  <w:insideV w:val="single" w:sz="8" w:space="0" w:color="404040" w:themeColor="text1" w:themeTint="BF"/>
      </w:tblBorders>
    </w:tblPr>
    <w:tcPr>
      <w:shd w:val="clear" w:color="auto" w:fill="C0C0C0" w:themeFill="tex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404040" w:themeColor="tex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MediumGrid1-Accent1">
    <w:name w:val="Medium Grid 1 Accent 1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  <w:insideV w:val="single" w:sz="8" w:space="0" w:color="7BA0CD" w:themeColor="accent1" w:themeTint="BF"/>
      </w:tblBorders>
    </w:tblPr>
    <w:tcPr>
      <w:shd w:val="clear" w:color="auto" w:fill="D3DFEE" w:themeFill="accen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BA0CD" w:themeColor="accen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MediumGrid1-Accent2">
    <w:name w:val="Medium Grid 1 Accent 2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  <w:insideV w:val="single" w:sz="8" w:space="0" w:color="CF7B79" w:themeColor="accent2" w:themeTint="BF"/>
      </w:tblBorders>
    </w:tblPr>
    <w:tcPr>
      <w:shd w:val="clear" w:color="auto" w:fill="EFD3D2" w:themeFill="accent2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CF7B79" w:themeColor="accent2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MediumGrid1-Accent3">
    <w:name w:val="Medium Grid 1 Accent 3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  <w:insideV w:val="single" w:sz="8" w:space="0" w:color="B3CC82" w:themeColor="accent3" w:themeTint="BF"/>
      </w:tblBorders>
    </w:tblPr>
    <w:tcPr>
      <w:shd w:val="clear" w:color="auto" w:fill="E6EED5" w:themeFill="accent3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B3CC82" w:themeColor="accent3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MediumGrid1-Accent4">
    <w:name w:val="Medium Grid 1 Accent 4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  <w:insideV w:val="single" w:sz="8" w:space="0" w:color="9F8AB9" w:themeColor="accent4" w:themeTint="BF"/>
      </w:tblBorders>
    </w:tblPr>
    <w:tcPr>
      <w:shd w:val="clear" w:color="auto" w:fill="DFD8E8" w:themeFill="accent4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9F8AB9" w:themeColor="accent4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MediumGrid1-Accent5">
    <w:name w:val="Medium Grid 1 Accent 5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  <w:insideV w:val="single" w:sz="8" w:space="0" w:color="78C0D4" w:themeColor="accent5" w:themeTint="BF"/>
      </w:tblBorders>
    </w:tblPr>
    <w:tcPr>
      <w:shd w:val="clear" w:color="auto" w:fill="D2EAF1" w:themeFill="accent5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8C0D4" w:themeColor="accent5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MediumGrid1-Accent6">
    <w:name w:val="Medium Grid 1 Accent 6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  <w:insideV w:val="single" w:sz="8" w:space="0" w:color="F9B074" w:themeColor="accent6" w:themeTint="BF"/>
      </w:tblBorders>
    </w:tblPr>
    <w:tcPr>
      <w:shd w:val="clear" w:color="auto" w:fill="FDE4D0" w:themeFill="accent6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F9B074" w:themeColor="accent6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  <w:style w:type="table" w:styleId="MediumGrid2">
    <w:name w:val="Medium Grid 2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</w:tblPr>
    <w:tcPr>
      <w:shd w:val="clear" w:color="auto" w:fill="C0C0C0" w:themeFill="text1" w:themeFillTint="3F"/>
    </w:tcPr>
    <w:tblStylePr w:type="firstRow">
      <w:rPr>
        <w:b/>
        <w:bCs/>
        <w:color w:val="000000" w:themeColor="text1"/>
      </w:rPr>
      <w:tblPr/>
      <w:tcPr>
        <w:shd w:val="clear" w:color="auto" w:fill="E6E6E6" w:themeFill="tex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CCCCC" w:themeFill="text1" w:themeFillTint="33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tcBorders>
          <w:insideH w:val="single" w:sz="6" w:space="0" w:color="000000" w:themeColor="text1"/>
          <w:insideV w:val="single" w:sz="6" w:space="0" w:color="000000" w:themeColor="text1"/>
        </w:tcBorders>
        <w:shd w:val="clear" w:color="auto" w:fill="808080" w:themeFill="tex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1">
    <w:name w:val="Medium Grid 2 Accent 1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</w:tblPr>
    <w:tcPr>
      <w:shd w:val="clear" w:color="auto" w:fill="D3DFEE" w:themeFill="accent1" w:themeFillTint="3F"/>
    </w:tcPr>
    <w:tblStylePr w:type="firstRow">
      <w:rPr>
        <w:b/>
        <w:bCs/>
        <w:color w:val="000000" w:themeColor="text1"/>
      </w:rPr>
      <w:tblPr/>
      <w:tcPr>
        <w:shd w:val="clear" w:color="auto" w:fill="EDF2F8" w:themeFill="accen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BE5F1" w:themeFill="accent1" w:themeFillTint="33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tcBorders>
          <w:insideH w:val="single" w:sz="6" w:space="0" w:color="4F81BD" w:themeColor="accent1"/>
          <w:insideV w:val="single" w:sz="6" w:space="0" w:color="4F81BD" w:themeColor="accent1"/>
        </w:tcBorders>
        <w:shd w:val="clear" w:color="auto" w:fill="A7BFDE" w:themeFill="accen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2">
    <w:name w:val="Medium Grid 2 Accent 2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</w:tblPr>
    <w:tcPr>
      <w:shd w:val="clear" w:color="auto" w:fill="EFD3D2" w:themeFill="accent2" w:themeFillTint="3F"/>
    </w:tcPr>
    <w:tblStylePr w:type="firstRow">
      <w:rPr>
        <w:b/>
        <w:bCs/>
        <w:color w:val="000000" w:themeColor="text1"/>
      </w:rPr>
      <w:tblPr/>
      <w:tcPr>
        <w:shd w:val="clear" w:color="auto" w:fill="F8EDED" w:themeFill="accent2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2DBDB" w:themeFill="accent2" w:themeFillTint="33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tcBorders>
          <w:insideH w:val="single" w:sz="6" w:space="0" w:color="C0504D" w:themeColor="accent2"/>
          <w:insideV w:val="single" w:sz="6" w:space="0" w:color="C0504D" w:themeColor="accent2"/>
        </w:tcBorders>
        <w:shd w:val="clear" w:color="auto" w:fill="DFA7A6" w:themeFill="accent2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3">
    <w:name w:val="Medium Grid 2 Accent 3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</w:tblPr>
    <w:tcPr>
      <w:shd w:val="clear" w:color="auto" w:fill="E6EED5" w:themeFill="accent3" w:themeFillTint="3F"/>
    </w:tcPr>
    <w:tblStylePr w:type="firstRow">
      <w:rPr>
        <w:b/>
        <w:bCs/>
        <w:color w:val="000000" w:themeColor="text1"/>
      </w:rPr>
      <w:tblPr/>
      <w:tcPr>
        <w:shd w:val="clear" w:color="auto" w:fill="F5F8EE" w:themeFill="accent3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AF1DD" w:themeFill="accent3" w:themeFillTint="33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tcBorders>
          <w:insideH w:val="single" w:sz="6" w:space="0" w:color="9BBB59" w:themeColor="accent3"/>
          <w:insideV w:val="single" w:sz="6" w:space="0" w:color="9BBB59" w:themeColor="accent3"/>
        </w:tcBorders>
        <w:shd w:val="clear" w:color="auto" w:fill="CDDDAC" w:themeFill="accent3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4">
    <w:name w:val="Medium Grid 2 Accent 4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</w:tblPr>
    <w:tcPr>
      <w:shd w:val="clear" w:color="auto" w:fill="DFD8E8" w:themeFill="accent4" w:themeFillTint="3F"/>
    </w:tcPr>
    <w:tblStylePr w:type="firstRow">
      <w:rPr>
        <w:b/>
        <w:bCs/>
        <w:color w:val="000000" w:themeColor="text1"/>
      </w:rPr>
      <w:tblPr/>
      <w:tcPr>
        <w:shd w:val="clear" w:color="auto" w:fill="F2EFF6" w:themeFill="accent4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5DFEC" w:themeFill="accent4" w:themeFillTint="33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tcBorders>
          <w:insideH w:val="single" w:sz="6" w:space="0" w:color="8064A2" w:themeColor="accent4"/>
          <w:insideV w:val="single" w:sz="6" w:space="0" w:color="8064A2" w:themeColor="accent4"/>
        </w:tcBorders>
        <w:shd w:val="clear" w:color="auto" w:fill="BFB1D0" w:themeFill="accent4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5">
    <w:name w:val="Medium Grid 2 Accent 5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</w:tblPr>
    <w:tcPr>
      <w:shd w:val="clear" w:color="auto" w:fill="D2EAF1" w:themeFill="accent5" w:themeFillTint="3F"/>
    </w:tcPr>
    <w:tblStylePr w:type="firstRow">
      <w:rPr>
        <w:b/>
        <w:bCs/>
        <w:color w:val="000000" w:themeColor="text1"/>
      </w:rPr>
      <w:tblPr/>
      <w:tcPr>
        <w:shd w:val="clear" w:color="auto" w:fill="EDF6F9" w:themeFill="accent5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AEEF3" w:themeFill="accent5" w:themeFillTint="33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tcBorders>
          <w:insideH w:val="single" w:sz="6" w:space="0" w:color="4BACC6" w:themeColor="accent5"/>
          <w:insideV w:val="single" w:sz="6" w:space="0" w:color="4BACC6" w:themeColor="accent5"/>
        </w:tcBorders>
        <w:shd w:val="clear" w:color="auto" w:fill="A5D5E2" w:themeFill="accent5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6">
    <w:name w:val="Medium Grid 2 Accent 6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</w:tblPr>
    <w:tcPr>
      <w:shd w:val="clear" w:color="auto" w:fill="FDE4D0" w:themeFill="accent6" w:themeFillTint="3F"/>
    </w:tcPr>
    <w:tblStylePr w:type="firstRow">
      <w:rPr>
        <w:b/>
        <w:bCs/>
        <w:color w:val="000000" w:themeColor="text1"/>
      </w:rPr>
      <w:tblPr/>
      <w:tcPr>
        <w:shd w:val="clear" w:color="auto" w:fill="FEF4EC" w:themeFill="accent6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9D9" w:themeFill="accent6" w:themeFillTint="33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tcBorders>
          <w:insideH w:val="single" w:sz="6" w:space="0" w:color="F79646" w:themeColor="accent6"/>
          <w:insideV w:val="single" w:sz="6" w:space="0" w:color="F79646" w:themeColor="accent6"/>
        </w:tcBorders>
        <w:shd w:val="clear" w:color="auto" w:fill="FBCAA2" w:themeFill="accent6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3">
    <w:name w:val="Medium Grid 3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C0C0C0" w:themeFill="tex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808080" w:themeFill="tex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808080" w:themeFill="text1" w:themeFillTint="7F"/>
      </w:tcPr>
    </w:tblStylePr>
  </w:style>
  <w:style w:type="table" w:styleId="MediumGrid3-Accent1">
    <w:name w:val="Medium Grid 3 Accent 1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D3DFEE" w:themeFill="accen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7BFDE" w:themeFill="accen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7BFDE" w:themeFill="accent1" w:themeFillTint="7F"/>
      </w:tcPr>
    </w:tblStylePr>
  </w:style>
  <w:style w:type="table" w:styleId="MediumGrid3-Accent2">
    <w:name w:val="Medium Grid 3 Accent 2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EFD3D2" w:themeFill="accent2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DFA7A6" w:themeFill="accent2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DFA7A6" w:themeFill="accent2" w:themeFillTint="7F"/>
      </w:tcPr>
    </w:tblStylePr>
  </w:style>
  <w:style w:type="table" w:styleId="MediumGrid3-Accent3">
    <w:name w:val="Medium Grid 3 Accent 3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E6EED5" w:themeFill="accent3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CDDDAC" w:themeFill="accent3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CDDDAC" w:themeFill="accent3" w:themeFillTint="7F"/>
      </w:tcPr>
    </w:tblStylePr>
  </w:style>
  <w:style w:type="table" w:styleId="MediumGrid3-Accent4">
    <w:name w:val="Medium Grid 3 Accent 4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DFD8E8" w:themeFill="accent4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BFB1D0" w:themeFill="accent4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BFB1D0" w:themeFill="accent4" w:themeFillTint="7F"/>
      </w:tcPr>
    </w:tblStylePr>
  </w:style>
  <w:style w:type="table" w:styleId="MediumGrid3-Accent5">
    <w:name w:val="Medium Grid 3 Accent 5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D2EAF1" w:themeFill="accent5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5D5E2" w:themeFill="accent5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5D5E2" w:themeFill="accent5" w:themeFillTint="7F"/>
      </w:tcPr>
    </w:tblStylePr>
  </w:style>
  <w:style w:type="table" w:styleId="MediumGrid3-Accent6">
    <w:name w:val="Medium Grid 3 Accent 6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FDE4D0" w:themeFill="accent6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BCAA2" w:themeFill="accent6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BCAA2" w:themeFill="accent6" w:themeFillTint="7F"/>
      </w:tcPr>
    </w:tblStylePr>
  </w:style>
  <w:style w:type="table" w:styleId="DarkList">
    <w:name w:val="Dark List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000000" w:themeFill="tex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</w:style>
  <w:style w:type="table" w:styleId="DarkList-Accent1">
    <w:name w:val="Dark List Accent 1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4F81BD" w:themeFill="accen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43F60" w:themeFill="accen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65F91" w:themeFill="accen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</w:style>
  <w:style w:type="table" w:styleId="DarkList-Accent2">
    <w:name w:val="Dark List Accent 2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C0504D" w:themeFill="accent2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622423" w:themeFill="accent2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943634" w:themeFill="accent2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</w:style>
  <w:style w:type="table" w:styleId="DarkList-Accent3">
    <w:name w:val="Dark List Accent 3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9BBB59" w:themeFill="accent3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4E6128" w:themeFill="accent3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76923C" w:themeFill="accent3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</w:style>
  <w:style w:type="table" w:styleId="DarkList-Accent4">
    <w:name w:val="Dark List Accent 4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8064A2" w:themeFill="accent4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3F3151" w:themeFill="accent4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5F497A" w:themeFill="accent4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</w:style>
  <w:style w:type="table" w:styleId="DarkList-Accent5">
    <w:name w:val="Dark List Accent 5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4BACC6" w:themeFill="accent5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05867" w:themeFill="accent5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1849B" w:themeFill="accent5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</w:style>
  <w:style w:type="table" w:styleId="DarkList-Accent6">
    <w:name w:val="Dark List Accent 6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F79646" w:themeFill="accent6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974706" w:themeFill="accent6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E36C0A" w:themeFill="accent6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</w:style>
  <w:style w:type="table" w:styleId="ColorfulShading">
    <w:name w:val="Colorful Shading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C0504D" w:themeColor="accent2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6E6E6" w:themeFill="tex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000000" w:themeFill="tex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000000" w:themeColor="text1" w:themeShade="99"/>
          <w:insideV w:val="nil"/>
        </w:tcBorders>
        <w:shd w:val="clear" w:color="auto" w:fill="000000" w:themeFill="tex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808080" w:themeFill="tex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1">
    <w:name w:val="Colorful Shading Accent 1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C0504D" w:themeColor="accent2"/>
        <w:left w:val="single" w:sz="4" w:space="0" w:color="4F81BD" w:themeColor="accent1"/>
        <w:bottom w:val="single" w:sz="4" w:space="0" w:color="4F81BD" w:themeColor="accent1"/>
        <w:right w:val="single" w:sz="4" w:space="0" w:color="4F81BD" w:themeColor="accent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DF2F8" w:themeFill="accen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C4C74" w:themeFill="accen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C4C74" w:themeColor="accent1" w:themeShade="99"/>
          <w:insideV w:val="nil"/>
        </w:tcBorders>
        <w:shd w:val="clear" w:color="auto" w:fill="2C4C74" w:themeFill="accen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C4C74" w:themeFill="accent1" w:themeFillShade="99"/>
      </w:tcPr>
    </w:tblStylePr>
    <w:tblStylePr w:type="band1Vert">
      <w:tblPr/>
      <w:tcPr>
        <w:shd w:val="clear" w:color="auto" w:fill="B8CCE4" w:themeFill="accent1" w:themeFillTint="66"/>
      </w:tcPr>
    </w:tblStylePr>
    <w:tblStylePr w:type="band1Horz">
      <w:tblPr/>
      <w:tcPr>
        <w:shd w:val="clear" w:color="auto" w:fill="A7BFDE" w:themeFill="accen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2">
    <w:name w:val="Colorful Shading Accent 2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C0504D" w:themeColor="accent2"/>
        <w:left w:val="single" w:sz="4" w:space="0" w:color="C0504D" w:themeColor="accent2"/>
        <w:bottom w:val="single" w:sz="4" w:space="0" w:color="C0504D" w:themeColor="accent2"/>
        <w:right w:val="single" w:sz="4" w:space="0" w:color="C0504D" w:themeColor="accent2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8EDED" w:themeFill="accent2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772C2A" w:themeFill="accent2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772C2A" w:themeColor="accent2" w:themeShade="99"/>
          <w:insideV w:val="nil"/>
        </w:tcBorders>
        <w:shd w:val="clear" w:color="auto" w:fill="772C2A" w:themeFill="accent2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72C2A" w:themeFill="accent2" w:themeFillShade="99"/>
      </w:tcPr>
    </w:tblStylePr>
    <w:tblStylePr w:type="band1Vert">
      <w:tblPr/>
      <w:tcPr>
        <w:shd w:val="clear" w:color="auto" w:fill="E5B8B7" w:themeFill="accent2" w:themeFillTint="66"/>
      </w:tcPr>
    </w:tblStylePr>
    <w:tblStylePr w:type="band1Horz">
      <w:tblPr/>
      <w:tcPr>
        <w:shd w:val="clear" w:color="auto" w:fill="DFA7A6" w:themeFill="accent2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3">
    <w:name w:val="Colorful Shading Accent 3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8064A2" w:themeColor="accent4"/>
        <w:left w:val="single" w:sz="4" w:space="0" w:color="9BBB59" w:themeColor="accent3"/>
        <w:bottom w:val="single" w:sz="4" w:space="0" w:color="9BBB59" w:themeColor="accent3"/>
        <w:right w:val="single" w:sz="4" w:space="0" w:color="9BBB59" w:themeColor="accent3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5F8EE" w:themeFill="accent3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5E7530" w:themeFill="accent3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5E7530" w:themeColor="accent3" w:themeShade="99"/>
          <w:insideV w:val="nil"/>
        </w:tcBorders>
        <w:shd w:val="clear" w:color="auto" w:fill="5E7530" w:themeFill="accent3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E7530" w:themeFill="accent3" w:themeFillShade="99"/>
      </w:tcPr>
    </w:tblStylePr>
    <w:tblStylePr w:type="band1Vert">
      <w:tblPr/>
      <w:tcPr>
        <w:shd w:val="clear" w:color="auto" w:fill="D6E3BC" w:themeFill="accent3" w:themeFillTint="66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ColorfulShading-Accent4">
    <w:name w:val="Colorful Shading Accent 4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9BBB59" w:themeColor="accent3"/>
        <w:left w:val="single" w:sz="4" w:space="0" w:color="8064A2" w:themeColor="accent4"/>
        <w:bottom w:val="single" w:sz="4" w:space="0" w:color="8064A2" w:themeColor="accent4"/>
        <w:right w:val="single" w:sz="4" w:space="0" w:color="8064A2" w:themeColor="accent4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2EFF6" w:themeFill="accent4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4C3B62" w:themeFill="accent4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4C3B62" w:themeColor="accent4" w:themeShade="99"/>
          <w:insideV w:val="nil"/>
        </w:tcBorders>
        <w:shd w:val="clear" w:color="auto" w:fill="4C3B62" w:themeFill="accent4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C3B62" w:themeFill="accent4" w:themeFillShade="99"/>
      </w:tcPr>
    </w:tblStylePr>
    <w:tblStylePr w:type="band1Vert">
      <w:tblPr/>
      <w:tcPr>
        <w:shd w:val="clear" w:color="auto" w:fill="CCC0D9" w:themeFill="accent4" w:themeFillTint="66"/>
      </w:tcPr>
    </w:tblStylePr>
    <w:tblStylePr w:type="band1Horz">
      <w:tblPr/>
      <w:tcPr>
        <w:shd w:val="clear" w:color="auto" w:fill="BFB1D0" w:themeFill="accent4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5">
    <w:name w:val="Colorful Shading Accent 5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F79646" w:themeColor="accent6"/>
        <w:left w:val="single" w:sz="4" w:space="0" w:color="4BACC6" w:themeColor="accent5"/>
        <w:bottom w:val="single" w:sz="4" w:space="0" w:color="4BACC6" w:themeColor="accent5"/>
        <w:right w:val="single" w:sz="4" w:space="0" w:color="4BACC6" w:themeColor="accent5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DF6F9" w:themeFill="accent5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76A7C" w:themeFill="accent5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76A7C" w:themeColor="accent5" w:themeShade="99"/>
          <w:insideV w:val="nil"/>
        </w:tcBorders>
        <w:shd w:val="clear" w:color="auto" w:fill="276A7C" w:themeFill="accent5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76A7C" w:themeFill="accent5" w:themeFillShade="99"/>
      </w:tcPr>
    </w:tblStylePr>
    <w:tblStylePr w:type="band1Vert">
      <w:tblPr/>
      <w:tcPr>
        <w:shd w:val="clear" w:color="auto" w:fill="B6DDE8" w:themeFill="accent5" w:themeFillTint="66"/>
      </w:tcPr>
    </w:tblStylePr>
    <w:tblStylePr w:type="band1Horz">
      <w:tblPr/>
      <w:tcPr>
        <w:shd w:val="clear" w:color="auto" w:fill="A5D5E2" w:themeFill="accent5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6">
    <w:name w:val="Colorful Shading Accent 6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4BACC6" w:themeColor="accent5"/>
        <w:left w:val="single" w:sz="4" w:space="0" w:color="F79646" w:themeColor="accent6"/>
        <w:bottom w:val="single" w:sz="4" w:space="0" w:color="F79646" w:themeColor="accent6"/>
        <w:right w:val="single" w:sz="4" w:space="0" w:color="F79646" w:themeColor="accent6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EF4EC" w:themeFill="accent6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B65608" w:themeFill="accent6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B65608" w:themeColor="accent6" w:themeShade="99"/>
          <w:insideV w:val="nil"/>
        </w:tcBorders>
        <w:shd w:val="clear" w:color="auto" w:fill="B65608" w:themeFill="accent6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65608" w:themeFill="accent6" w:themeFillShade="99"/>
      </w:tcPr>
    </w:tblStylePr>
    <w:tblStylePr w:type="band1Vert">
      <w:tblPr/>
      <w:tcPr>
        <w:shd w:val="clear" w:color="auto" w:fill="FBD4B4" w:themeFill="accent6" w:themeFillTint="66"/>
      </w:tcPr>
    </w:tblStylePr>
    <w:tblStylePr w:type="band1Horz">
      <w:tblPr/>
      <w:tcPr>
        <w:shd w:val="clear" w:color="auto" w:fill="FBCAA2" w:themeFill="accent6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List">
    <w:name w:val="Colorful List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E6E6E6" w:themeFill="tex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ColorfulList-Accent1">
    <w:name w:val="Colorful List Accent 1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EDF2F8" w:themeFill="accen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shd w:val="clear" w:color="auto" w:fill="DBE5F1" w:themeFill="accent1" w:themeFillTint="33"/>
      </w:tcPr>
    </w:tblStylePr>
  </w:style>
  <w:style w:type="table" w:styleId="ColorfulList-Accent2">
    <w:name w:val="Colorful List Accent 2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8EDED" w:themeFill="accent2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shd w:val="clear" w:color="auto" w:fill="F2DBDB" w:themeFill="accent2" w:themeFillTint="33"/>
      </w:tcPr>
    </w:tblStylePr>
  </w:style>
  <w:style w:type="table" w:styleId="ColorfulList-Accent3">
    <w:name w:val="Colorful List Accent 3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5F8EE" w:themeFill="accent3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664E82" w:themeFill="accent4" w:themeFillShade="CC"/>
      </w:tcPr>
    </w:tblStylePr>
    <w:tblStylePr w:type="lastRow">
      <w:rPr>
        <w:b/>
        <w:bCs/>
        <w:color w:val="664E82" w:themeColor="accent4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shd w:val="clear" w:color="auto" w:fill="EAF1DD" w:themeFill="accent3" w:themeFillTint="33"/>
      </w:tcPr>
    </w:tblStylePr>
  </w:style>
  <w:style w:type="table" w:styleId="ColorfulList-Accent4">
    <w:name w:val="Colorful List Accent 4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2EFF6" w:themeFill="accent4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7E9C40" w:themeFill="accent3" w:themeFillShade="CC"/>
      </w:tcPr>
    </w:tblStylePr>
    <w:tblStylePr w:type="lastRow">
      <w:rPr>
        <w:b/>
        <w:bCs/>
        <w:color w:val="7E9C40" w:themeColor="accent3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shd w:val="clear" w:color="auto" w:fill="E5DFEC" w:themeFill="accent4" w:themeFillTint="33"/>
      </w:tcPr>
    </w:tblStylePr>
  </w:style>
  <w:style w:type="table" w:styleId="ColorfulList-Accent5">
    <w:name w:val="Colorful List Accent 5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EDF6F9" w:themeFill="accent5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F2730A" w:themeFill="accent6" w:themeFillShade="CC"/>
      </w:tcPr>
    </w:tblStylePr>
    <w:tblStylePr w:type="lastRow">
      <w:rPr>
        <w:b/>
        <w:bCs/>
        <w:color w:val="F2730A" w:themeColor="accent6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shd w:val="clear" w:color="auto" w:fill="DAEEF3" w:themeFill="accent5" w:themeFillTint="33"/>
      </w:tcPr>
    </w:tblStylePr>
  </w:style>
  <w:style w:type="table" w:styleId="ColorfulList-Accent6">
    <w:name w:val="Colorful List Accent 6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EF4EC" w:themeFill="accent6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348DA5" w:themeFill="accent5" w:themeFillShade="CC"/>
      </w:tcPr>
    </w:tblStylePr>
    <w:tblStylePr w:type="lastRow">
      <w:rPr>
        <w:b/>
        <w:bCs/>
        <w:color w:val="348DA5" w:themeColor="accent5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shd w:val="clear" w:color="auto" w:fill="FDE9D9" w:themeFill="accent6" w:themeFillTint="33"/>
      </w:tcPr>
    </w:tblStylePr>
  </w:style>
  <w:style w:type="table" w:styleId="ColorfulGrid">
    <w:name w:val="Colorful Grid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CCCCCC" w:themeFill="text1" w:themeFillTint="33"/>
    </w:tcPr>
    <w:tblStylePr w:type="firstRow">
      <w:rPr>
        <w:b/>
        <w:bCs/>
      </w:rPr>
      <w:tblPr/>
      <w:tcPr>
        <w:shd w:val="clear" w:color="auto" w:fill="999999" w:themeFill="tex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999999" w:themeFill="text1" w:themeFillTint="66"/>
      </w:tcPr>
    </w:tblStylePr>
    <w:tblStylePr w:type="fir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la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ColorfulGrid-Accent1">
    <w:name w:val="Colorful Grid Accent 1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DBE5F1" w:themeFill="accent1" w:themeFillTint="33"/>
    </w:tcPr>
    <w:tblStylePr w:type="firstRow">
      <w:rPr>
        <w:b/>
        <w:bCs/>
      </w:rPr>
      <w:tblPr/>
      <w:tcPr>
        <w:shd w:val="clear" w:color="auto" w:fill="B8CCE4" w:themeFill="accen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8CCE4" w:themeFill="accent1" w:themeFillTint="66"/>
      </w:tcPr>
    </w:tblStylePr>
    <w:tblStylePr w:type="fir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la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ColorfulGrid-Accent2">
    <w:name w:val="Colorful Grid Accent 2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F2DBDB" w:themeFill="accent2" w:themeFillTint="33"/>
    </w:tcPr>
    <w:tblStylePr w:type="firstRow">
      <w:rPr>
        <w:b/>
        <w:bCs/>
      </w:rPr>
      <w:tblPr/>
      <w:tcPr>
        <w:shd w:val="clear" w:color="auto" w:fill="E5B8B7" w:themeFill="accent2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E5B8B7" w:themeFill="accent2" w:themeFillTint="66"/>
      </w:tcPr>
    </w:tblStylePr>
    <w:tblStylePr w:type="fir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la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ColorfulGrid-Accent3">
    <w:name w:val="Colorful Grid Accent 3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EAF1DD" w:themeFill="accent3" w:themeFillTint="33"/>
    </w:tcPr>
    <w:tblStylePr w:type="firstRow">
      <w:rPr>
        <w:b/>
        <w:bCs/>
      </w:rPr>
      <w:tblPr/>
      <w:tcPr>
        <w:shd w:val="clear" w:color="auto" w:fill="D6E3BC" w:themeFill="accent3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D6E3BC" w:themeFill="accent3" w:themeFillTint="66"/>
      </w:tcPr>
    </w:tblStylePr>
    <w:tblStylePr w:type="fir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la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ColorfulGrid-Accent4">
    <w:name w:val="Colorful Grid Accent 4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E5DFEC" w:themeFill="accent4" w:themeFillTint="33"/>
    </w:tcPr>
    <w:tblStylePr w:type="firstRow">
      <w:rPr>
        <w:b/>
        <w:bCs/>
      </w:rPr>
      <w:tblPr/>
      <w:tcPr>
        <w:shd w:val="clear" w:color="auto" w:fill="CCC0D9" w:themeFill="accent4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CCC0D9" w:themeFill="accent4" w:themeFillTint="66"/>
      </w:tcPr>
    </w:tblStylePr>
    <w:tblStylePr w:type="fir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la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ColorfulGrid-Accent5">
    <w:name w:val="Colorful Grid Accent 5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DAEEF3" w:themeFill="accent5" w:themeFillTint="33"/>
    </w:tcPr>
    <w:tblStylePr w:type="firstRow">
      <w:rPr>
        <w:b/>
        <w:bCs/>
      </w:rPr>
      <w:tblPr/>
      <w:tcPr>
        <w:shd w:val="clear" w:color="auto" w:fill="B6DDE8" w:themeFill="accent5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6DDE8" w:themeFill="accent5" w:themeFillTint="66"/>
      </w:tcPr>
    </w:tblStylePr>
    <w:tblStylePr w:type="fir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la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ColorfulGrid-Accent6">
    <w:name w:val="Colorful Grid Accent 6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FDE9D9" w:themeFill="accent6" w:themeFillTint="33"/>
    </w:tcPr>
    <w:tblStylePr w:type="firstRow">
      <w:rPr>
        <w:b/>
        <w:bCs/>
      </w:rPr>
      <w:tblPr/>
      <w:tcPr>
        <w:shd w:val="clear" w:color="auto" w:fill="FBD4B4" w:themeFill="accent6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BD4B4" w:themeFill="accent6" w:themeFillTint="66"/>
      </w:tcPr>
    </w:tblStylePr>
    <w:tblStylePr w:type="fir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la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  <w:style w:type="paragraph" w:styleId="NormalWeb">
    <w:name w:val="Normal (Web)"/>
    <w:basedOn w:val="Normal"/>
    <w:uiPriority w:val="99"/>
    <w:semiHidden/>
    <w:unhideWhenUsed/>
    <w:rsid w:val="00CD2947"/>
    <w:rPr>
      <w:rFonts w:ascii="Times New Roman" w:hAnsi="Times New Roman" w:cs="Times New Roman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g"/><Relationship Id="rId13" Type="http://schemas.openxmlformats.org/officeDocument/2006/relationships/image" Target="media/image6.jpg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5.jpg"/><Relationship Id="rId2" Type="http://schemas.openxmlformats.org/officeDocument/2006/relationships/numbering" Target="numbering.xml"/><Relationship Id="rId1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g"/><Relationship Id="rId5" Type="http://schemas.openxmlformats.org/officeDocument/2006/relationships/webSettings" Target="webSettings.xml"/><Relationship Id="rId15" Type="http://schemas.openxmlformats.org/officeDocument/2006/relationships/fontTable" Target="fontTable.xml"/><Relationship Id="rId10" Type="http://schemas.openxmlformats.org/officeDocument/2006/relationships/image" Target="media/image3.jpg"/><Relationship Id="rId4" Type="http://schemas.openxmlformats.org/officeDocument/2006/relationships/settings" Target="settings.xml"/><Relationship Id="rId9" Type="http://schemas.openxmlformats.org/officeDocument/2006/relationships/image" Target="media/image2.jpg"/><Relationship Id="rId14" Type="http://schemas.openxmlformats.org/officeDocument/2006/relationships/header" Target="header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7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EF278816-EC6F-A645-907D-7F25AECB1D4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3953</TotalTime>
  <Pages>6</Pages>
  <Words>1182</Words>
  <Characters>6576</Characters>
  <Application>Microsoft Office Word</Application>
  <DocSecurity>0</DocSecurity>
  <Lines>226</Lines>
  <Paragraphs>102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Manager/>
  <Company/>
  <LinksUpToDate>false</LinksUpToDate>
  <CharactersWithSpaces>7656</CharactersWithSpaces>
  <SharedDoc>false</SharedDoc>
  <HyperlinkBase/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python-docx</dc:creator>
  <cp:keywords/>
  <dc:description/>
  <cp:lastModifiedBy>Anya Satyanand</cp:lastModifiedBy>
  <cp:revision>6</cp:revision>
  <cp:lastPrinted>2025-11-18T04:07:00Z</cp:lastPrinted>
  <dcterms:created xsi:type="dcterms:W3CDTF">2013-12-23T23:15:00Z</dcterms:created>
  <dcterms:modified xsi:type="dcterms:W3CDTF">2025-12-03T22:44:00Z</dcterms:modified>
  <cp:category/>
</cp:coreProperties>
</file>