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53B7" w14:textId="77777777" w:rsidR="003E3129" w:rsidRPr="009509E9" w:rsidRDefault="003E1CE5" w:rsidP="00EE2740">
      <w:pPr>
        <w:pStyle w:val="Title"/>
        <w:spacing w:line="276" w:lineRule="auto"/>
        <w:rPr>
          <w:color w:val="005E85" w:themeColor="accent1"/>
          <w:sz w:val="40"/>
          <w:szCs w:val="40"/>
        </w:rPr>
      </w:pPr>
      <w:bookmarkStart w:id="0" w:name="_Toc115175962"/>
      <w:r w:rsidRPr="009509E9">
        <w:rPr>
          <w:color w:val="005E85" w:themeColor="accent1"/>
          <w:sz w:val="40"/>
          <w:szCs w:val="40"/>
        </w:rPr>
        <w:t xml:space="preserve">COVID-19 </w:t>
      </w:r>
      <w:proofErr w:type="spellStart"/>
      <w:r w:rsidRPr="009509E9">
        <w:rPr>
          <w:color w:val="005E85" w:themeColor="accent1"/>
          <w:sz w:val="40"/>
          <w:szCs w:val="40"/>
        </w:rPr>
        <w:t>Impact</w:t>
      </w:r>
      <w:proofErr w:type="spellEnd"/>
      <w:r w:rsidRPr="009509E9">
        <w:rPr>
          <w:color w:val="005E85" w:themeColor="accent1"/>
          <w:sz w:val="40"/>
          <w:szCs w:val="40"/>
        </w:rPr>
        <w:t xml:space="preserve"> </w:t>
      </w:r>
      <w:proofErr w:type="spellStart"/>
      <w:r w:rsidRPr="009509E9">
        <w:rPr>
          <w:color w:val="005E85" w:themeColor="accent1"/>
          <w:sz w:val="40"/>
          <w:szCs w:val="40"/>
        </w:rPr>
        <w:t>Insights</w:t>
      </w:r>
      <w:proofErr w:type="spellEnd"/>
      <w:r w:rsidRPr="009509E9">
        <w:rPr>
          <w:color w:val="005E85" w:themeColor="accent1"/>
          <w:sz w:val="40"/>
          <w:szCs w:val="40"/>
        </w:rPr>
        <w:t xml:space="preserve"> </w:t>
      </w:r>
      <w:proofErr w:type="spellStart"/>
      <w:r w:rsidRPr="009509E9">
        <w:rPr>
          <w:color w:val="005E85" w:themeColor="accent1"/>
          <w:sz w:val="40"/>
          <w:szCs w:val="40"/>
        </w:rPr>
        <w:t>Paper</w:t>
      </w:r>
      <w:proofErr w:type="spellEnd"/>
      <w:r w:rsidRPr="009509E9">
        <w:rPr>
          <w:color w:val="005E85" w:themeColor="accent1"/>
          <w:sz w:val="40"/>
          <w:szCs w:val="40"/>
        </w:rPr>
        <w:t xml:space="preserve"> #</w:t>
      </w:r>
      <w:r w:rsidR="009C4554" w:rsidRPr="009509E9">
        <w:rPr>
          <w:color w:val="005E85" w:themeColor="accent1"/>
          <w:sz w:val="40"/>
          <w:szCs w:val="40"/>
        </w:rPr>
        <w:t>2</w:t>
      </w:r>
    </w:p>
    <w:p w14:paraId="77D1CA6F" w14:textId="2B5323DB" w:rsidR="003E1CE5" w:rsidRPr="009509E9" w:rsidRDefault="00615774" w:rsidP="00EE2740">
      <w:pPr>
        <w:pStyle w:val="Title"/>
        <w:spacing w:line="276" w:lineRule="auto"/>
        <w:rPr>
          <w:color w:val="005E85" w:themeColor="accent1"/>
          <w:sz w:val="32"/>
          <w:szCs w:val="32"/>
        </w:rPr>
      </w:pPr>
      <w:proofErr w:type="spellStart"/>
      <w:r w:rsidRPr="009509E9">
        <w:rPr>
          <w:color w:val="005E85" w:themeColor="accent1"/>
          <w:sz w:val="32"/>
          <w:szCs w:val="32"/>
        </w:rPr>
        <w:t>The</w:t>
      </w:r>
      <w:proofErr w:type="spellEnd"/>
      <w:r w:rsidRPr="009509E9">
        <w:rPr>
          <w:color w:val="005E85" w:themeColor="accent1"/>
          <w:sz w:val="32"/>
          <w:szCs w:val="32"/>
        </w:rPr>
        <w:t xml:space="preserve"> </w:t>
      </w:r>
      <w:proofErr w:type="spellStart"/>
      <w:r w:rsidRPr="009509E9">
        <w:rPr>
          <w:color w:val="005E85" w:themeColor="accent1"/>
          <w:sz w:val="32"/>
          <w:szCs w:val="32"/>
        </w:rPr>
        <w:t>wellbeing</w:t>
      </w:r>
      <w:proofErr w:type="spellEnd"/>
      <w:r w:rsidRPr="009509E9">
        <w:rPr>
          <w:color w:val="005E85" w:themeColor="accent1"/>
          <w:sz w:val="32"/>
          <w:szCs w:val="32"/>
        </w:rPr>
        <w:t xml:space="preserve"> </w:t>
      </w:r>
      <w:proofErr w:type="spellStart"/>
      <w:r w:rsidRPr="009509E9">
        <w:rPr>
          <w:color w:val="005E85" w:themeColor="accent1"/>
          <w:sz w:val="32"/>
          <w:szCs w:val="32"/>
        </w:rPr>
        <w:t>of</w:t>
      </w:r>
      <w:proofErr w:type="spellEnd"/>
      <w:r w:rsidRPr="009509E9">
        <w:rPr>
          <w:color w:val="005E85" w:themeColor="accent1"/>
          <w:sz w:val="32"/>
          <w:szCs w:val="32"/>
        </w:rPr>
        <w:t xml:space="preserve"> </w:t>
      </w:r>
      <w:proofErr w:type="spellStart"/>
      <w:r w:rsidRPr="009509E9">
        <w:rPr>
          <w:color w:val="005E85" w:themeColor="accent1"/>
          <w:sz w:val="32"/>
          <w:szCs w:val="32"/>
        </w:rPr>
        <w:t>older</w:t>
      </w:r>
      <w:proofErr w:type="spellEnd"/>
      <w:r w:rsidRPr="009509E9">
        <w:rPr>
          <w:color w:val="005E85" w:themeColor="accent1"/>
          <w:sz w:val="32"/>
          <w:szCs w:val="32"/>
        </w:rPr>
        <w:t xml:space="preserve"> </w:t>
      </w:r>
      <w:proofErr w:type="spellStart"/>
      <w:r w:rsidRPr="009509E9">
        <w:rPr>
          <w:color w:val="005E85" w:themeColor="accent1"/>
          <w:sz w:val="32"/>
          <w:szCs w:val="32"/>
        </w:rPr>
        <w:t>people</w:t>
      </w:r>
      <w:proofErr w:type="spellEnd"/>
      <w:r w:rsidRPr="009509E9">
        <w:rPr>
          <w:color w:val="005E85" w:themeColor="accent1"/>
          <w:sz w:val="32"/>
          <w:szCs w:val="32"/>
        </w:rPr>
        <w:t xml:space="preserve"> </w:t>
      </w:r>
      <w:proofErr w:type="spellStart"/>
      <w:r w:rsidRPr="009509E9">
        <w:rPr>
          <w:color w:val="005E85" w:themeColor="accent1"/>
          <w:sz w:val="32"/>
          <w:szCs w:val="32"/>
        </w:rPr>
        <w:t>in</w:t>
      </w:r>
      <w:proofErr w:type="spellEnd"/>
      <w:r w:rsidRPr="009509E9">
        <w:rPr>
          <w:color w:val="005E85" w:themeColor="accent1"/>
          <w:sz w:val="32"/>
          <w:szCs w:val="32"/>
        </w:rPr>
        <w:t xml:space="preserve"> Aotearoa</w:t>
      </w:r>
    </w:p>
    <w:p w14:paraId="46500114" w14:textId="53D9D058" w:rsidR="003E1CE5" w:rsidRPr="009509E9" w:rsidRDefault="57A12F9A" w:rsidP="00EE2740">
      <w:pPr>
        <w:pStyle w:val="Heading2"/>
        <w:spacing w:after="240" w:line="276" w:lineRule="auto"/>
        <w:rPr>
          <w:color w:val="005E85" w:themeColor="accent1"/>
          <w:sz w:val="28"/>
          <w:szCs w:val="28"/>
        </w:rPr>
      </w:pPr>
      <w:r w:rsidRPr="009509E9">
        <w:rPr>
          <w:color w:val="005E85" w:themeColor="accent1"/>
          <w:sz w:val="28"/>
          <w:szCs w:val="28"/>
        </w:rPr>
        <w:t xml:space="preserve">December </w:t>
      </w:r>
      <w:r w:rsidR="003E1CE5" w:rsidRPr="009509E9">
        <w:rPr>
          <w:color w:val="005E85" w:themeColor="accent1"/>
          <w:sz w:val="28"/>
          <w:szCs w:val="28"/>
        </w:rPr>
        <w:t>2022</w:t>
      </w:r>
    </w:p>
    <w:p w14:paraId="51149EC5" w14:textId="3ADDAD45" w:rsidR="003E1CE5" w:rsidRPr="009509E9" w:rsidRDefault="003E1CE5" w:rsidP="005F69F6">
      <w:pPr>
        <w:rPr>
          <w:sz w:val="24"/>
          <w:szCs w:val="24"/>
        </w:rPr>
      </w:pPr>
      <w:r w:rsidRPr="009509E9">
        <w:rPr>
          <w:sz w:val="24"/>
          <w:szCs w:val="24"/>
        </w:rPr>
        <w:t xml:space="preserve">This paper is the </w:t>
      </w:r>
      <w:r w:rsidR="009C4554" w:rsidRPr="009509E9">
        <w:rPr>
          <w:sz w:val="24"/>
          <w:szCs w:val="24"/>
        </w:rPr>
        <w:t>second</w:t>
      </w:r>
      <w:r w:rsidRPr="009509E9">
        <w:rPr>
          <w:sz w:val="24"/>
          <w:szCs w:val="24"/>
        </w:rPr>
        <w:t xml:space="preserve"> in a series of eight short, focused insights reports that will highlight key elements of the wellbeing impacts of the pandemic in Aotearoa.</w:t>
      </w:r>
    </w:p>
    <w:p w14:paraId="4009AB93" w14:textId="1A6861B9" w:rsidR="008E420B" w:rsidRPr="009509E9" w:rsidRDefault="003E1CE5" w:rsidP="52F7194C">
      <w:pPr>
        <w:rPr>
          <w:sz w:val="24"/>
          <w:szCs w:val="24"/>
          <w:lang w:eastAsia="en-NZ"/>
        </w:rPr>
      </w:pPr>
      <w:r w:rsidRPr="009509E9">
        <w:rPr>
          <w:sz w:val="24"/>
          <w:szCs w:val="24"/>
        </w:rPr>
        <w:t xml:space="preserve">In this paper, </w:t>
      </w:r>
      <w:r w:rsidR="00311BF6" w:rsidRPr="009509E9">
        <w:rPr>
          <w:sz w:val="24"/>
          <w:szCs w:val="24"/>
        </w:rPr>
        <w:t>we look</w:t>
      </w:r>
      <w:r w:rsidRPr="009509E9">
        <w:rPr>
          <w:sz w:val="24"/>
          <w:szCs w:val="24"/>
        </w:rPr>
        <w:t xml:space="preserve"> at </w:t>
      </w:r>
      <w:r w:rsidR="00064FCF" w:rsidRPr="009509E9">
        <w:rPr>
          <w:sz w:val="24"/>
          <w:szCs w:val="24"/>
          <w:lang w:eastAsia="en-NZ"/>
        </w:rPr>
        <w:t xml:space="preserve">how the COVID-19 pandemic has </w:t>
      </w:r>
      <w:r w:rsidR="00064FCF" w:rsidRPr="009509E9">
        <w:rPr>
          <w:sz w:val="24"/>
          <w:szCs w:val="24"/>
        </w:rPr>
        <w:t>impacted</w:t>
      </w:r>
      <w:r w:rsidR="00064FCF" w:rsidRPr="009509E9">
        <w:rPr>
          <w:sz w:val="24"/>
          <w:szCs w:val="24"/>
          <w:lang w:eastAsia="en-NZ"/>
        </w:rPr>
        <w:t xml:space="preserve"> the wellbeing of older people</w:t>
      </w:r>
      <w:r w:rsidR="00DD490B" w:rsidRPr="009509E9">
        <w:rPr>
          <w:sz w:val="24"/>
          <w:szCs w:val="24"/>
          <w:lang w:eastAsia="en-NZ"/>
        </w:rPr>
        <w:t xml:space="preserve"> in Aotearoa. </w:t>
      </w:r>
    </w:p>
    <w:p w14:paraId="21ECFF87" w14:textId="35FAD64D" w:rsidR="008E420B" w:rsidRPr="009509E9" w:rsidRDefault="008E420B" w:rsidP="008E420B">
      <w:pPr>
        <w:rPr>
          <w:sz w:val="24"/>
          <w:szCs w:val="24"/>
        </w:rPr>
      </w:pPr>
      <w:r w:rsidRPr="009509E9">
        <w:rPr>
          <w:sz w:val="24"/>
          <w:szCs w:val="24"/>
        </w:rPr>
        <w:t>Individually, we each have a sense that our wellbeing is made up of a great many factors – some concrete and material, some intangible but no less important. Taken together, as in our He Ara Oranga wellbeing outcomes framework</w:t>
      </w:r>
      <w:r w:rsidR="001C20E7">
        <w:rPr>
          <w:rStyle w:val="FootnoteReference"/>
          <w:sz w:val="24"/>
          <w:szCs w:val="24"/>
        </w:rPr>
        <w:t xml:space="preserve"> </w:t>
      </w:r>
      <w:r w:rsidR="001C20E7">
        <w:rPr>
          <w:sz w:val="24"/>
          <w:szCs w:val="24"/>
        </w:rPr>
        <w:t>{1}</w:t>
      </w:r>
      <w:r w:rsidRPr="009509E9">
        <w:rPr>
          <w:sz w:val="24"/>
          <w:szCs w:val="24"/>
        </w:rPr>
        <w:t xml:space="preserve">, we know that people need to have their rights, dignity and </w:t>
      </w:r>
      <w:proofErr w:type="spellStart"/>
      <w:r w:rsidRPr="009509E9">
        <w:rPr>
          <w:sz w:val="24"/>
          <w:szCs w:val="24"/>
        </w:rPr>
        <w:t>tino</w:t>
      </w:r>
      <w:proofErr w:type="spellEnd"/>
      <w:r w:rsidRPr="009509E9">
        <w:rPr>
          <w:sz w:val="24"/>
          <w:szCs w:val="24"/>
        </w:rPr>
        <w:t xml:space="preserve"> rangatiratanga fully realised, they need to feel safe, valued and connected to their communities and their cultures, and they need resources, skills, resilience, </w:t>
      </w:r>
      <w:proofErr w:type="gramStart"/>
      <w:r w:rsidRPr="009509E9">
        <w:rPr>
          <w:sz w:val="24"/>
          <w:szCs w:val="24"/>
        </w:rPr>
        <w:t>hope</w:t>
      </w:r>
      <w:proofErr w:type="gramEnd"/>
      <w:r w:rsidRPr="009509E9">
        <w:rPr>
          <w:sz w:val="24"/>
          <w:szCs w:val="24"/>
        </w:rPr>
        <w:t xml:space="preserve"> and purpose for the future. This understanding of wellbeing has guided the research and presentation of findings in this report.</w:t>
      </w:r>
    </w:p>
    <w:p w14:paraId="083FEF25" w14:textId="77777777" w:rsidR="003E1CE5" w:rsidRPr="009509E9" w:rsidRDefault="003E1CE5" w:rsidP="005F69F6">
      <w:pPr>
        <w:pStyle w:val="Heading1"/>
        <w:rPr>
          <w:color w:val="005E85" w:themeColor="accent1"/>
          <w:sz w:val="28"/>
          <w:szCs w:val="28"/>
        </w:rPr>
      </w:pPr>
      <w:r w:rsidRPr="009509E9">
        <w:rPr>
          <w:color w:val="005E85" w:themeColor="accent1"/>
          <w:sz w:val="28"/>
          <w:szCs w:val="28"/>
        </w:rPr>
        <w:t>The study</w:t>
      </w:r>
    </w:p>
    <w:p w14:paraId="588C421D" w14:textId="297A879D" w:rsidR="00597A62" w:rsidRPr="009509E9" w:rsidRDefault="00605A9E" w:rsidP="005F69F6">
      <w:pPr>
        <w:rPr>
          <w:sz w:val="24"/>
          <w:szCs w:val="24"/>
        </w:rPr>
      </w:pPr>
      <w:r w:rsidRPr="009509E9">
        <w:rPr>
          <w:sz w:val="24"/>
          <w:szCs w:val="24"/>
        </w:rPr>
        <w:t xml:space="preserve">This paper </w:t>
      </w:r>
      <w:r w:rsidR="004804CE" w:rsidRPr="009509E9">
        <w:rPr>
          <w:sz w:val="24"/>
          <w:szCs w:val="24"/>
        </w:rPr>
        <w:t>lays out</w:t>
      </w:r>
      <w:r w:rsidR="00597A62" w:rsidRPr="009509E9" w:rsidDel="004804CE">
        <w:rPr>
          <w:sz w:val="24"/>
          <w:szCs w:val="24"/>
        </w:rPr>
        <w:t xml:space="preserve"> </w:t>
      </w:r>
      <w:r w:rsidR="00597A62" w:rsidRPr="009509E9">
        <w:rPr>
          <w:sz w:val="24"/>
          <w:szCs w:val="24"/>
        </w:rPr>
        <w:t>the impacts of COVID-19 on the wellbeing of older people in Aotearoa</w:t>
      </w:r>
      <w:r w:rsidR="004804CE" w:rsidRPr="009509E9">
        <w:rPr>
          <w:sz w:val="24"/>
          <w:szCs w:val="24"/>
        </w:rPr>
        <w:t xml:space="preserve"> by </w:t>
      </w:r>
      <w:r w:rsidR="006E55A4" w:rsidRPr="009509E9">
        <w:rPr>
          <w:sz w:val="24"/>
          <w:szCs w:val="24"/>
        </w:rPr>
        <w:t>bringing</w:t>
      </w:r>
      <w:r w:rsidR="005F136D" w:rsidRPr="009509E9">
        <w:rPr>
          <w:sz w:val="24"/>
          <w:szCs w:val="24"/>
        </w:rPr>
        <w:t xml:space="preserve"> together</w:t>
      </w:r>
      <w:r w:rsidR="00597A62" w:rsidRPr="009509E9">
        <w:rPr>
          <w:sz w:val="24"/>
          <w:szCs w:val="24"/>
        </w:rPr>
        <w:t>:</w:t>
      </w:r>
    </w:p>
    <w:p w14:paraId="17D14661" w14:textId="4849D2A8" w:rsidR="00597A62" w:rsidRPr="009509E9" w:rsidRDefault="00597A62" w:rsidP="005F69F6">
      <w:pPr>
        <w:pStyle w:val="ListParagraph"/>
        <w:numPr>
          <w:ilvl w:val="0"/>
          <w:numId w:val="2"/>
        </w:numPr>
        <w:rPr>
          <w:rFonts w:eastAsiaTheme="minorEastAsia"/>
          <w:sz w:val="24"/>
          <w:szCs w:val="24"/>
        </w:rPr>
      </w:pPr>
      <w:r w:rsidRPr="009509E9">
        <w:rPr>
          <w:sz w:val="24"/>
          <w:szCs w:val="24"/>
        </w:rPr>
        <w:t xml:space="preserve">a rapid review of literature </w:t>
      </w:r>
      <w:r w:rsidR="00061C33" w:rsidRPr="009509E9">
        <w:rPr>
          <w:sz w:val="24"/>
          <w:szCs w:val="24"/>
        </w:rPr>
        <w:t xml:space="preserve">from Aotearoa and other </w:t>
      </w:r>
      <w:proofErr w:type="gramStart"/>
      <w:r w:rsidR="00586941" w:rsidRPr="009509E9">
        <w:rPr>
          <w:sz w:val="24"/>
          <w:szCs w:val="24"/>
        </w:rPr>
        <w:t>jurisdictions</w:t>
      </w:r>
      <w:r w:rsidR="00061C33" w:rsidRPr="009509E9">
        <w:rPr>
          <w:sz w:val="24"/>
          <w:szCs w:val="24"/>
        </w:rPr>
        <w:t>;</w:t>
      </w:r>
      <w:proofErr w:type="gramEnd"/>
      <w:r w:rsidR="00061C33" w:rsidRPr="009509E9">
        <w:rPr>
          <w:sz w:val="24"/>
          <w:szCs w:val="24"/>
        </w:rPr>
        <w:t xml:space="preserve"> </w:t>
      </w:r>
    </w:p>
    <w:p w14:paraId="5285A3AC" w14:textId="5CB167E7" w:rsidR="00597A62" w:rsidRPr="009509E9" w:rsidRDefault="00597A62" w:rsidP="005F69F6">
      <w:pPr>
        <w:pStyle w:val="ListParagraph"/>
        <w:numPr>
          <w:ilvl w:val="0"/>
          <w:numId w:val="2"/>
        </w:numPr>
        <w:rPr>
          <w:sz w:val="24"/>
          <w:szCs w:val="24"/>
        </w:rPr>
      </w:pPr>
      <w:r w:rsidRPr="009509E9">
        <w:rPr>
          <w:sz w:val="24"/>
          <w:szCs w:val="24"/>
        </w:rPr>
        <w:t>relevant data from large social surveys that act as population wellbeing indicators</w:t>
      </w:r>
      <w:r w:rsidR="00061C33" w:rsidRPr="009509E9">
        <w:rPr>
          <w:sz w:val="24"/>
          <w:szCs w:val="24"/>
        </w:rPr>
        <w:t>:</w:t>
      </w:r>
      <w:r w:rsidRPr="009509E9">
        <w:rPr>
          <w:sz w:val="24"/>
          <w:szCs w:val="24"/>
        </w:rPr>
        <w:t xml:space="preserve"> the General Social Survey and Household Labour Force </w:t>
      </w:r>
      <w:proofErr w:type="gramStart"/>
      <w:r w:rsidRPr="009509E9">
        <w:rPr>
          <w:sz w:val="24"/>
          <w:szCs w:val="24"/>
        </w:rPr>
        <w:t>Survey</w:t>
      </w:r>
      <w:r w:rsidR="00D65930" w:rsidRPr="009509E9">
        <w:rPr>
          <w:sz w:val="24"/>
          <w:szCs w:val="24"/>
        </w:rPr>
        <w:t>;</w:t>
      </w:r>
      <w:proofErr w:type="gramEnd"/>
    </w:p>
    <w:p w14:paraId="6BE4CC4E" w14:textId="3C47EA04" w:rsidR="00597A62" w:rsidRPr="009509E9" w:rsidRDefault="00597A62" w:rsidP="005F69F6">
      <w:pPr>
        <w:pStyle w:val="ListParagraph"/>
        <w:numPr>
          <w:ilvl w:val="0"/>
          <w:numId w:val="2"/>
        </w:numPr>
        <w:rPr>
          <w:sz w:val="24"/>
          <w:szCs w:val="24"/>
        </w:rPr>
      </w:pPr>
      <w:r w:rsidRPr="009509E9">
        <w:rPr>
          <w:sz w:val="24"/>
          <w:szCs w:val="24"/>
        </w:rPr>
        <w:t>engagement with community and advocacy groups to ensure that older people’s voices</w:t>
      </w:r>
      <w:r w:rsidR="00C41069" w:rsidRPr="009509E9">
        <w:rPr>
          <w:sz w:val="24"/>
          <w:szCs w:val="24"/>
        </w:rPr>
        <w:t>,</w:t>
      </w:r>
      <w:r w:rsidRPr="009509E9">
        <w:rPr>
          <w:sz w:val="24"/>
          <w:szCs w:val="24"/>
        </w:rPr>
        <w:t xml:space="preserve"> </w:t>
      </w:r>
      <w:proofErr w:type="gramStart"/>
      <w:r w:rsidRPr="009509E9">
        <w:rPr>
          <w:sz w:val="24"/>
          <w:szCs w:val="24"/>
        </w:rPr>
        <w:t>views</w:t>
      </w:r>
      <w:proofErr w:type="gramEnd"/>
      <w:r w:rsidR="00C41069" w:rsidRPr="009509E9">
        <w:rPr>
          <w:sz w:val="24"/>
          <w:szCs w:val="24"/>
        </w:rPr>
        <w:t xml:space="preserve"> and experiences</w:t>
      </w:r>
      <w:r w:rsidRPr="009509E9">
        <w:rPr>
          <w:sz w:val="24"/>
          <w:szCs w:val="24"/>
        </w:rPr>
        <w:t xml:space="preserve"> are included.   </w:t>
      </w:r>
    </w:p>
    <w:p w14:paraId="4C8A677C" w14:textId="0EB72B5F" w:rsidR="008818F6" w:rsidRPr="009509E9" w:rsidRDefault="008818F6">
      <w:pPr>
        <w:rPr>
          <w:sz w:val="24"/>
          <w:szCs w:val="24"/>
        </w:rPr>
      </w:pPr>
      <w:r w:rsidRPr="009509E9">
        <w:rPr>
          <w:sz w:val="24"/>
          <w:szCs w:val="24"/>
        </w:rPr>
        <w:t xml:space="preserve">For </w:t>
      </w:r>
      <w:r w:rsidRPr="009509E9">
        <w:rPr>
          <w:sz w:val="24"/>
          <w:szCs w:val="24"/>
          <w:lang w:eastAsia="en-NZ"/>
        </w:rPr>
        <w:t>greater</w:t>
      </w:r>
      <w:r w:rsidRPr="009509E9">
        <w:rPr>
          <w:sz w:val="24"/>
          <w:szCs w:val="24"/>
        </w:rPr>
        <w:t xml:space="preserve"> detail on the methodology and findings, please see our technical paper</w:t>
      </w:r>
      <w:r w:rsidR="00AF1436">
        <w:rPr>
          <w:sz w:val="24"/>
          <w:szCs w:val="24"/>
        </w:rPr>
        <w:t xml:space="preserve"> [</w:t>
      </w:r>
      <w:r w:rsidR="001C20E7">
        <w:rPr>
          <w:sz w:val="24"/>
          <w:szCs w:val="24"/>
        </w:rPr>
        <w:t>2]</w:t>
      </w:r>
      <w:r w:rsidR="00AF1436">
        <w:rPr>
          <w:sz w:val="24"/>
          <w:szCs w:val="24"/>
        </w:rPr>
        <w:t>.</w:t>
      </w:r>
    </w:p>
    <w:p w14:paraId="2015625D" w14:textId="255FC20D" w:rsidR="008818F6" w:rsidRPr="009509E9" w:rsidDel="008818F6" w:rsidRDefault="00BB0B83">
      <w:pPr>
        <w:rPr>
          <w:rFonts w:ascii="Basic Sans" w:eastAsiaTheme="majorEastAsia" w:hAnsi="Basic Sans" w:cstheme="majorBidi"/>
          <w:color w:val="004663" w:themeColor="accent1" w:themeShade="BF"/>
          <w:sz w:val="24"/>
          <w:szCs w:val="24"/>
        </w:rPr>
      </w:pPr>
      <w:r w:rsidRPr="009509E9">
        <w:rPr>
          <w:sz w:val="24"/>
          <w:szCs w:val="24"/>
        </w:rPr>
        <w:br w:type="page"/>
      </w:r>
    </w:p>
    <w:p w14:paraId="1FE177CA" w14:textId="72DEE5EB" w:rsidR="00441568" w:rsidRPr="009509E9" w:rsidRDefault="00295F28" w:rsidP="009509E9">
      <w:pPr>
        <w:pStyle w:val="Heading1"/>
        <w:spacing w:after="240"/>
        <w:rPr>
          <w:color w:val="005E85" w:themeColor="accent1"/>
          <w:sz w:val="28"/>
          <w:szCs w:val="28"/>
        </w:rPr>
      </w:pPr>
      <w:r w:rsidRPr="009509E9">
        <w:rPr>
          <w:color w:val="005E85" w:themeColor="accent1"/>
          <w:sz w:val="28"/>
          <w:szCs w:val="28"/>
        </w:rPr>
        <w:lastRenderedPageBreak/>
        <w:t>The</w:t>
      </w:r>
      <w:r w:rsidR="00441568" w:rsidRPr="009509E9">
        <w:rPr>
          <w:color w:val="005E85" w:themeColor="accent1"/>
          <w:sz w:val="28"/>
          <w:szCs w:val="28"/>
        </w:rPr>
        <w:t xml:space="preserve"> findings </w:t>
      </w:r>
      <w:bookmarkEnd w:id="0"/>
    </w:p>
    <w:p w14:paraId="2197E3CB" w14:textId="6237A1E8" w:rsidR="00441568" w:rsidRPr="009509E9" w:rsidRDefault="0008240F" w:rsidP="00825770">
      <w:pPr>
        <w:rPr>
          <w:rStyle w:val="normaltextrun"/>
          <w:rFonts w:cstheme="minorHAnsi"/>
          <w:b/>
          <w:bCs/>
          <w:sz w:val="24"/>
          <w:szCs w:val="24"/>
        </w:rPr>
      </w:pPr>
      <w:r w:rsidRPr="009509E9">
        <w:rPr>
          <w:rStyle w:val="normaltextrun"/>
          <w:rFonts w:cstheme="minorHAnsi"/>
          <w:b/>
          <w:bCs/>
          <w:sz w:val="24"/>
          <w:szCs w:val="24"/>
        </w:rPr>
        <w:t>O</w:t>
      </w:r>
      <w:r w:rsidR="00441568" w:rsidRPr="009509E9">
        <w:rPr>
          <w:rStyle w:val="normaltextrun"/>
          <w:rFonts w:cstheme="minorHAnsi"/>
          <w:b/>
          <w:bCs/>
          <w:sz w:val="24"/>
          <w:szCs w:val="24"/>
        </w:rPr>
        <w:t xml:space="preserve">lder people were generally doing better than other groups during the initial lockdown and elimination phase of the Government response to the COVID-19 pandemic. </w:t>
      </w:r>
    </w:p>
    <w:p w14:paraId="5B0AA3C8" w14:textId="0B4B1D86" w:rsidR="00441568" w:rsidRPr="009509E9" w:rsidRDefault="00BE5B4B" w:rsidP="00825770">
      <w:pPr>
        <w:rPr>
          <w:color w:val="000000"/>
          <w:sz w:val="24"/>
          <w:szCs w:val="24"/>
          <w:lang w:eastAsia="en-NZ"/>
        </w:rPr>
      </w:pPr>
      <w:r w:rsidRPr="009509E9">
        <w:rPr>
          <w:rStyle w:val="eop"/>
          <w:rFonts w:cstheme="minorHAnsi"/>
          <w:b/>
          <w:bCs/>
          <w:noProof/>
          <w:color w:val="005E85" w:themeColor="accent1"/>
          <w:sz w:val="24"/>
          <w:szCs w:val="24"/>
        </w:rPr>
        <mc:AlternateContent>
          <mc:Choice Requires="wps">
            <w:drawing>
              <wp:anchor distT="45720" distB="45720" distL="114300" distR="114300" simplePos="0" relativeHeight="251658243" behindDoc="1" locked="0" layoutInCell="1" allowOverlap="1" wp14:anchorId="146E68B9" wp14:editId="73A700F5">
                <wp:simplePos x="0" y="0"/>
                <wp:positionH relativeFrom="page">
                  <wp:posOffset>187773</wp:posOffset>
                </wp:positionH>
                <wp:positionV relativeFrom="paragraph">
                  <wp:posOffset>102348</wp:posOffset>
                </wp:positionV>
                <wp:extent cx="1572260" cy="1404620"/>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404620"/>
                        </a:xfrm>
                        <a:prstGeom prst="rect">
                          <a:avLst/>
                        </a:prstGeom>
                        <a:solidFill>
                          <a:srgbClr val="FFFFFF"/>
                        </a:solidFill>
                        <a:ln w="9525">
                          <a:noFill/>
                          <a:miter lim="800000"/>
                          <a:headEnd/>
                          <a:tailEnd/>
                        </a:ln>
                      </wps:spPr>
                      <wps:txbx>
                        <w:txbxContent>
                          <w:p w14:paraId="095DD3A1" w14:textId="77777777" w:rsidR="00EF22DE" w:rsidRPr="00A35E6E" w:rsidRDefault="00EC3936" w:rsidP="00A35E6E">
                            <w:pPr>
                              <w:spacing w:line="276" w:lineRule="auto"/>
                              <w:rPr>
                                <w:color w:val="005E85" w:themeColor="accent1"/>
                                <w:sz w:val="24"/>
                                <w:szCs w:val="24"/>
                              </w:rPr>
                            </w:pPr>
                            <w:r w:rsidRPr="00A35E6E">
                              <w:rPr>
                                <w:color w:val="005E85" w:themeColor="accent1"/>
                                <w:sz w:val="24"/>
                                <w:szCs w:val="24"/>
                              </w:rPr>
                              <w:t>Older people are an important and growing part of Aotearoa. When the COVID-19 pandemic began in 2020 there were 791,900 people aged 65 years and over,</w:t>
                            </w:r>
                            <w:r w:rsidRPr="00A35E6E" w:rsidDel="4098D1C8">
                              <w:rPr>
                                <w:color w:val="005E85" w:themeColor="accent1"/>
                                <w:sz w:val="24"/>
                                <w:szCs w:val="24"/>
                              </w:rPr>
                              <w:t xml:space="preserve"> </w:t>
                            </w:r>
                            <w:r w:rsidRPr="00A35E6E">
                              <w:rPr>
                                <w:color w:val="005E85" w:themeColor="accent1"/>
                                <w:sz w:val="24"/>
                                <w:szCs w:val="24"/>
                              </w:rPr>
                              <w:t xml:space="preserve">and there are likely to be 1 million older people by 2028.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E68B9" id="_x0000_t202" coordsize="21600,21600" o:spt="202" path="m,l,21600r21600,l21600,xe">
                <v:stroke joinstyle="miter"/>
                <v:path gradientshapeok="t" o:connecttype="rect"/>
              </v:shapetype>
              <v:shape id="Text Box 4" o:spid="_x0000_s1026" type="#_x0000_t202" style="position:absolute;margin-left:14.8pt;margin-top:8.05pt;width:123.8pt;height:110.6pt;z-index:-25165823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L9CwIAAPcDAAAOAAAAZHJzL2Uyb0RvYy54bWysU8Fu2zAMvQ/YPwi6L3aMJGuNOEWXLsOA&#10;rhvQ7QNkWY6FyaJGKbG7rx8lp2nQ3Yb5IJAm9Ug+Pq1vxt6wo0KvwVZ8Pss5U1ZCo+2+4j++795d&#10;ceaDsI0wYFXFn5TnN5u3b9aDK1UBHZhGISMQ68vBVbwLwZVZ5mWneuFn4JSlYAvYi0Au7rMGxUDo&#10;vcmKPF9lA2DjEKTynv7eTUG+Sfhtq2T42rZeBWYqTr2FdGI663hmm7Uo9yhcp+WpDfEPXfRCWyp6&#10;hroTQbAD6r+gei0RPLRhJqHPoG21VGkGmmaev5rmsRNOpVmIHO/ONPn/Bysfjo/uG7IwfoCRFpiG&#10;8O4e5E/PLGw7YffqFhGGTomGCs8jZdngfHm6Gqn2pY8g9fAFGlqyOARIQGOLfWSF5mSETgt4OpOu&#10;xsBkLLl8XxQrCkmKzRf5YlWktWSifL7u0IdPCnoWjYojbTXBi+O9D7EdUT6nxGoejG522pjk4L7e&#10;GmRHQQrYpS9N8CrNWDZU/HpZLBOyhXg/iaPXgRRqdF/xqzx+k2YiHR9tk1KC0GayqRNjT/xESiZy&#10;wliPlBh5qqF5IqYQJiXSyyGjA/zN2UAqrLj/dRCoODOfLbF9PV8somyTsyCmyMHLSH0ZEVYSVMUD&#10;Z5O5DUnqiQd3S1vZ6cTXSyenXkldicbTS4jyvfRT1st73fwBAAD//wMAUEsDBBQABgAIAAAAIQDp&#10;kAxK3gAAAAkBAAAPAAAAZHJzL2Rvd25yZXYueG1sTI/BTsMwEETvSPyDtUjcqNNUJBDiVBUVFw5I&#10;FCQ4urETR9hry3bT8PcsJ7jt7oxm37TbxVk265gmjwLWqwKYxt6rCUcB729PN3fAUpaopPWoBXzr&#10;BNvu8qKVjfJnfNXzIY+MQjA1UoDJOTScp95oJ9PKB42kDT46mWmNI1dRnincWV4WRcWdnJA+GBn0&#10;o9H91+HkBHw4M6l9fPkclJ33z8PuNiwxCHF9tewegGW95D8z/OITOnTEdPQnVIlZAeV9RU66V2tg&#10;pJd1XQI70rCpN8C7lv9v0P0AAAD//wMAUEsBAi0AFAAGAAgAAAAhALaDOJL+AAAA4QEAABMAAAAA&#10;AAAAAAAAAAAAAAAAAFtDb250ZW50X1R5cGVzXS54bWxQSwECLQAUAAYACAAAACEAOP0h/9YAAACU&#10;AQAACwAAAAAAAAAAAAAAAAAvAQAAX3JlbHMvLnJlbHNQSwECLQAUAAYACAAAACEA+SwS/QsCAAD3&#10;AwAADgAAAAAAAAAAAAAAAAAuAgAAZHJzL2Uyb0RvYy54bWxQSwECLQAUAAYACAAAACEA6ZAMSt4A&#10;AAAJAQAADwAAAAAAAAAAAAAAAABlBAAAZHJzL2Rvd25yZXYueG1sUEsFBgAAAAAEAAQA8wAAAHAF&#10;AAAAAA==&#10;" stroked="f">
                <v:textbox style="mso-fit-shape-to-text:t">
                  <w:txbxContent>
                    <w:p w14:paraId="095DD3A1" w14:textId="77777777" w:rsidR="00EF22DE" w:rsidRPr="00A35E6E" w:rsidRDefault="00EC3936" w:rsidP="00A35E6E">
                      <w:pPr>
                        <w:spacing w:line="276" w:lineRule="auto"/>
                        <w:rPr>
                          <w:color w:val="005E85" w:themeColor="accent1"/>
                          <w:sz w:val="24"/>
                          <w:szCs w:val="24"/>
                        </w:rPr>
                      </w:pPr>
                      <w:r w:rsidRPr="00A35E6E">
                        <w:rPr>
                          <w:color w:val="005E85" w:themeColor="accent1"/>
                          <w:sz w:val="24"/>
                          <w:szCs w:val="24"/>
                        </w:rPr>
                        <w:t>Older people are an important and growing part of Aotearoa. When the COVID-19 pandemic began in 2020 there were 791,900 people aged 65 years and over,</w:t>
                      </w:r>
                      <w:r w:rsidRPr="00A35E6E" w:rsidDel="4098D1C8">
                        <w:rPr>
                          <w:color w:val="005E85" w:themeColor="accent1"/>
                          <w:sz w:val="24"/>
                          <w:szCs w:val="24"/>
                        </w:rPr>
                        <w:t xml:space="preserve"> </w:t>
                      </w:r>
                      <w:r w:rsidRPr="00A35E6E">
                        <w:rPr>
                          <w:color w:val="005E85" w:themeColor="accent1"/>
                          <w:sz w:val="24"/>
                          <w:szCs w:val="24"/>
                        </w:rPr>
                        <w:t xml:space="preserve">and there are likely to be 1 million older people by 2028. </w:t>
                      </w:r>
                    </w:p>
                  </w:txbxContent>
                </v:textbox>
                <w10:wrap anchorx="page"/>
              </v:shape>
            </w:pict>
          </mc:Fallback>
        </mc:AlternateContent>
      </w:r>
      <w:r w:rsidR="00441568" w:rsidRPr="009509E9">
        <w:rPr>
          <w:sz w:val="24"/>
          <w:szCs w:val="24"/>
          <w:lang w:eastAsia="en-NZ"/>
        </w:rPr>
        <w:t xml:space="preserve">In 2021, older people were more likely to report greater wellbeing, social connectedness, a sense of belonging and life satisfaction, and less likely to report feelings of loneliness, psychological distress, </w:t>
      </w:r>
      <w:proofErr w:type="gramStart"/>
      <w:r w:rsidR="00441568" w:rsidRPr="009509E9">
        <w:rPr>
          <w:sz w:val="24"/>
          <w:szCs w:val="24"/>
          <w:lang w:eastAsia="en-NZ"/>
        </w:rPr>
        <w:t>discrimination</w:t>
      </w:r>
      <w:proofErr w:type="gramEnd"/>
      <w:r w:rsidR="00441568" w:rsidRPr="009509E9">
        <w:rPr>
          <w:sz w:val="24"/>
          <w:szCs w:val="24"/>
          <w:lang w:eastAsia="en-NZ"/>
        </w:rPr>
        <w:t xml:space="preserve"> and material hardship, than the total population. Older people continued to have trust in the Government</w:t>
      </w:r>
      <w:r w:rsidR="00E94655" w:rsidRPr="009509E9">
        <w:rPr>
          <w:sz w:val="24"/>
          <w:szCs w:val="24"/>
          <w:lang w:eastAsia="en-NZ"/>
        </w:rPr>
        <w:t>,</w:t>
      </w:r>
      <w:r w:rsidR="00441568" w:rsidRPr="009509E9">
        <w:rPr>
          <w:sz w:val="24"/>
          <w:szCs w:val="24"/>
          <w:lang w:eastAsia="en-NZ"/>
        </w:rPr>
        <w:t xml:space="preserve"> and many felt well supported and protected by the Government response to COVID-19. </w:t>
      </w:r>
    </w:p>
    <w:p w14:paraId="27B86615" w14:textId="5F66C7BE" w:rsidR="00971390" w:rsidRPr="009509E9" w:rsidRDefault="00971390" w:rsidP="00971390">
      <w:pPr>
        <w:rPr>
          <w:rStyle w:val="normaltextrun"/>
          <w:rFonts w:cstheme="minorHAnsi"/>
          <w:b/>
          <w:bCs/>
          <w:sz w:val="24"/>
          <w:szCs w:val="24"/>
        </w:rPr>
      </w:pPr>
      <w:r w:rsidRPr="009509E9">
        <w:rPr>
          <w:rStyle w:val="normaltextrun"/>
          <w:rFonts w:cstheme="minorHAnsi"/>
          <w:b/>
          <w:bCs/>
          <w:sz w:val="24"/>
          <w:szCs w:val="24"/>
        </w:rPr>
        <w:t>Māori older people played a key role in community resilience</w:t>
      </w:r>
      <w:r w:rsidR="00767F4E" w:rsidRPr="009509E9">
        <w:rPr>
          <w:rStyle w:val="normaltextrun"/>
          <w:rFonts w:cstheme="minorHAnsi"/>
          <w:b/>
          <w:bCs/>
          <w:sz w:val="24"/>
          <w:szCs w:val="24"/>
        </w:rPr>
        <w:t xml:space="preserve">, in the face of the challenges </w:t>
      </w:r>
      <w:proofErr w:type="gramStart"/>
      <w:r w:rsidR="00767F4E" w:rsidRPr="009509E9">
        <w:rPr>
          <w:rStyle w:val="normaltextrun"/>
          <w:rFonts w:cstheme="minorHAnsi"/>
          <w:b/>
          <w:bCs/>
          <w:sz w:val="24"/>
          <w:szCs w:val="24"/>
        </w:rPr>
        <w:t>presented</w:t>
      </w:r>
      <w:proofErr w:type="gramEnd"/>
    </w:p>
    <w:p w14:paraId="0FBC7BDF" w14:textId="77CFB77A" w:rsidR="00622B35" w:rsidRPr="009509E9" w:rsidRDefault="00971390" w:rsidP="00971390">
      <w:pPr>
        <w:spacing w:line="276" w:lineRule="auto"/>
        <w:rPr>
          <w:rFonts w:eastAsia="Times New Roman"/>
          <w:color w:val="000000" w:themeColor="text1"/>
          <w:sz w:val="24"/>
          <w:szCs w:val="24"/>
          <w:lang w:eastAsia="en-NZ"/>
        </w:rPr>
      </w:pPr>
      <w:r w:rsidRPr="009509E9">
        <w:rPr>
          <w:rFonts w:eastAsia="Times New Roman"/>
          <w:color w:val="000000" w:themeColor="text1"/>
          <w:sz w:val="24"/>
          <w:szCs w:val="24"/>
          <w:lang w:eastAsia="en-NZ"/>
        </w:rPr>
        <w:t xml:space="preserve">While the Government response was generally viewed positively, Māori leaders were critical of the ‘one size fits all’ approach that was taken. The health and wellbeing of </w:t>
      </w:r>
      <w:r w:rsidR="006075DE" w:rsidRPr="009509E9">
        <w:rPr>
          <w:rFonts w:eastAsia="Times New Roman"/>
          <w:color w:val="000000" w:themeColor="text1"/>
          <w:sz w:val="24"/>
          <w:szCs w:val="24"/>
          <w:lang w:eastAsia="en-NZ"/>
        </w:rPr>
        <w:t>kaumātua</w:t>
      </w:r>
      <w:r w:rsidRPr="009509E9">
        <w:rPr>
          <w:rFonts w:eastAsia="Times New Roman"/>
          <w:color w:val="000000" w:themeColor="text1"/>
          <w:sz w:val="24"/>
          <w:szCs w:val="24"/>
          <w:lang w:eastAsia="en-NZ"/>
        </w:rPr>
        <w:t xml:space="preserve"> was protected through hapū and iwi responses, which included kaumātua, and served to </w:t>
      </w:r>
      <w:proofErr w:type="gramStart"/>
      <w:r w:rsidRPr="009509E9">
        <w:rPr>
          <w:rFonts w:eastAsia="Times New Roman"/>
          <w:color w:val="000000" w:themeColor="text1"/>
          <w:sz w:val="24"/>
          <w:szCs w:val="24"/>
          <w:lang w:eastAsia="en-NZ"/>
        </w:rPr>
        <w:t>off-set</w:t>
      </w:r>
      <w:proofErr w:type="gramEnd"/>
      <w:r w:rsidRPr="009509E9">
        <w:rPr>
          <w:rFonts w:eastAsia="Times New Roman"/>
          <w:color w:val="000000" w:themeColor="text1"/>
          <w:sz w:val="24"/>
          <w:szCs w:val="24"/>
          <w:lang w:eastAsia="en-NZ"/>
        </w:rPr>
        <w:t xml:space="preserve"> some of the pre-existing inequities in support. </w:t>
      </w:r>
      <w:r w:rsidR="000B2908" w:rsidRPr="009509E9">
        <w:rPr>
          <w:sz w:val="24"/>
          <w:szCs w:val="24"/>
        </w:rPr>
        <w:t xml:space="preserve">Māori </w:t>
      </w:r>
      <w:proofErr w:type="spellStart"/>
      <w:r w:rsidR="000B2908" w:rsidRPr="009509E9">
        <w:rPr>
          <w:sz w:val="24"/>
          <w:szCs w:val="24"/>
        </w:rPr>
        <w:t>hauora</w:t>
      </w:r>
      <w:proofErr w:type="spellEnd"/>
      <w:r w:rsidR="000B2908" w:rsidRPr="009509E9">
        <w:rPr>
          <w:sz w:val="24"/>
          <w:szCs w:val="24"/>
        </w:rPr>
        <w:t xml:space="preserve"> (health) or social providers </w:t>
      </w:r>
      <w:proofErr w:type="spellStart"/>
      <w:r w:rsidR="000B2908" w:rsidRPr="009509E9">
        <w:rPr>
          <w:sz w:val="24"/>
          <w:szCs w:val="24"/>
        </w:rPr>
        <w:t>utilised</w:t>
      </w:r>
      <w:proofErr w:type="spellEnd"/>
      <w:r w:rsidR="000B2908" w:rsidRPr="009509E9">
        <w:rPr>
          <w:sz w:val="24"/>
          <w:szCs w:val="24"/>
        </w:rPr>
        <w:t xml:space="preserve"> marae to support Māori</w:t>
      </w:r>
      <w:r w:rsidR="000B2908" w:rsidRPr="009509E9">
        <w:rPr>
          <w:rStyle w:val="eop"/>
          <w:rFonts w:cstheme="minorHAnsi"/>
          <w:sz w:val="24"/>
          <w:szCs w:val="24"/>
        </w:rPr>
        <w:t>, and care packages for older people were prioritized.</w:t>
      </w:r>
    </w:p>
    <w:p w14:paraId="6830F3D7" w14:textId="76BEC89D" w:rsidR="00971390" w:rsidRPr="009509E9" w:rsidRDefault="00BE5B4B" w:rsidP="00971390">
      <w:pPr>
        <w:spacing w:line="276" w:lineRule="auto"/>
        <w:rPr>
          <w:rFonts w:eastAsia="Times New Roman" w:cs="Calibri"/>
          <w:color w:val="000000" w:themeColor="text1"/>
          <w:sz w:val="24"/>
          <w:szCs w:val="24"/>
          <w:lang w:eastAsia="en-NZ"/>
        </w:rPr>
      </w:pPr>
      <w:r w:rsidRPr="009509E9">
        <w:rPr>
          <w:rStyle w:val="Heading3Char"/>
          <w:rFonts w:cstheme="minorHAnsi"/>
          <w:b/>
          <w:bCs/>
          <w:noProof/>
        </w:rPr>
        <mc:AlternateContent>
          <mc:Choice Requires="wps">
            <w:drawing>
              <wp:anchor distT="45720" distB="45720" distL="114300" distR="114300" simplePos="0" relativeHeight="251658245" behindDoc="1" locked="0" layoutInCell="1" allowOverlap="1" wp14:anchorId="37370F5D" wp14:editId="282CFCB0">
                <wp:simplePos x="0" y="0"/>
                <wp:positionH relativeFrom="page">
                  <wp:posOffset>188110</wp:posOffset>
                </wp:positionH>
                <wp:positionV relativeFrom="paragraph">
                  <wp:posOffset>529926</wp:posOffset>
                </wp:positionV>
                <wp:extent cx="1583690" cy="1404620"/>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404620"/>
                        </a:xfrm>
                        <a:prstGeom prst="rect">
                          <a:avLst/>
                        </a:prstGeom>
                        <a:solidFill>
                          <a:srgbClr val="FFFFFF"/>
                        </a:solidFill>
                        <a:ln w="9525">
                          <a:noFill/>
                          <a:miter lim="800000"/>
                          <a:headEnd/>
                          <a:tailEnd/>
                        </a:ln>
                      </wps:spPr>
                      <wps:txbx>
                        <w:txbxContent>
                          <w:p w14:paraId="6D50D3A0" w14:textId="35E49F8F" w:rsidR="00980171" w:rsidRPr="00BE5B4B" w:rsidRDefault="00980171" w:rsidP="00BE5B4B">
                            <w:pPr>
                              <w:spacing w:line="276" w:lineRule="auto"/>
                              <w:rPr>
                                <w:color w:val="005E85" w:themeColor="accent1"/>
                                <w:sz w:val="24"/>
                                <w:szCs w:val="24"/>
                              </w:rPr>
                            </w:pPr>
                            <w:r w:rsidRPr="00BE5B4B">
                              <w:rPr>
                                <w:color w:val="005E85" w:themeColor="accent1"/>
                                <w:sz w:val="24"/>
                                <w:szCs w:val="24"/>
                                <w:lang w:eastAsia="en-NZ"/>
                              </w:rPr>
                              <w:t xml:space="preserve">Māori stories of the lockdown are ones of “action, leadership, </w:t>
                            </w:r>
                            <w:proofErr w:type="spellStart"/>
                            <w:r w:rsidRPr="00BE5B4B">
                              <w:rPr>
                                <w:color w:val="005E85" w:themeColor="accent1"/>
                                <w:sz w:val="24"/>
                                <w:szCs w:val="24"/>
                                <w:lang w:eastAsia="en-NZ"/>
                              </w:rPr>
                              <w:t>organising</w:t>
                            </w:r>
                            <w:proofErr w:type="spellEnd"/>
                            <w:r w:rsidRPr="00BE5B4B">
                              <w:rPr>
                                <w:color w:val="005E85" w:themeColor="accent1"/>
                                <w:sz w:val="24"/>
                                <w:szCs w:val="24"/>
                                <w:lang w:eastAsia="en-NZ"/>
                              </w:rPr>
                              <w:t xml:space="preserve">, and of a community coming together to support each other. They are stories of positivity and resilience, with kaumātua at the </w:t>
                            </w:r>
                            <w:proofErr w:type="spellStart"/>
                            <w:r w:rsidRPr="00BE5B4B">
                              <w:rPr>
                                <w:color w:val="005E85" w:themeColor="accent1"/>
                                <w:sz w:val="24"/>
                                <w:szCs w:val="24"/>
                                <w:lang w:eastAsia="en-NZ"/>
                              </w:rPr>
                              <w:t>centre</w:t>
                            </w:r>
                            <w:proofErr w:type="spellEnd"/>
                            <w:r w:rsidRPr="00BE5B4B">
                              <w:rPr>
                                <w:color w:val="005E85" w:themeColor="accent1"/>
                                <w:sz w:val="24"/>
                                <w:szCs w:val="24"/>
                                <w:lang w:eastAsia="en-NZ"/>
                              </w:rPr>
                              <w:t>” (Keelan et al, 2021, p.117)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70F5D" id="Text Box 2" o:spid="_x0000_s1027" type="#_x0000_t202" style="position:absolute;margin-left:14.8pt;margin-top:41.75pt;width:124.7pt;height:110.6pt;z-index:-25165823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i9EAIAAP4DAAAOAAAAZHJzL2Uyb0RvYy54bWysk92O2yAQhe8r9R0Q942dNEkTK85qm22q&#10;StsfadsHIBjHqJihA4m9ffoO2JuNtndVfYHAA4eZbw6bm7417KzQa7Aln05yzpSVUGl7LPmP7/s3&#10;K858ELYSBqwq+aPy/Gb7+tWmc4WaQQOmUshIxPqicyVvQnBFlnnZqFb4CThlKVgDtiLQEo9ZhaIj&#10;9dZkszxfZh1g5RCk8p7+3g1Bvk36da1k+FrXXgVmSk65hTRiGg9xzLYbURxRuEbLMQ3xD1m0Qlu6&#10;9CJ1J4JgJ9R/SbVaIniow0RCm0Fda6lSDVTNNH9RzUMjnEq1EBzvLpj8/5OVX84P7huy0L+HnhqY&#10;ivDuHuRPzyzsGmGP6hYRukaJii6eRmRZ53wxHo2ofeGjyKH7DBU1WZwCJKG+xjZSoToZqVMDHi/Q&#10;VR+YjFcuVm+XawpJik3n+Xw5S23JRPF03KEPHxW0LE5KjtTVJC/O9z7EdETxtCXe5sHoaq+NSQs8&#10;HnYG2VmQA/bpSxW82GYs60q+XswWSdlCPJ/M0epADjW6Lfkqj9/gmYjjg63SliC0GeaUibEjn4hk&#10;gBP6Q890NcKLuA5QPRIwhMGQ9IBo0gD+5qwjM5bc/zoJVJyZT5agr6fzeXRvWswX74gQw+vI4Toi&#10;rCSpkgfOhukuJMcnHO6WmrPXCdtzJmPKZLJEc3wQ0cXX67Tr+dlu/wAAAP//AwBQSwMEFAAGAAgA&#10;AAAhANfTFLPeAAAACQEAAA8AAABkcnMvZG93bnJldi54bWxMj8tOwzAURPdI/IN1kdhRh5S+Qm6q&#10;iooNCyQKEizd2Ikj/JLtpuHvuazocjSjmTP1drKGjSqmwTuE+1kBTLnWy8H1CB/vz3drYCkLJ4Xx&#10;TiH8qATb5vqqFpX0Z/emxkPuGZW4VAkEnXOoOE+tVlakmQ/Kkdf5aEUmGXsuozhTuTW8LIolt2Jw&#10;tKBFUE9atd+Hk0X4tHqQ+/j61Ukz7l+63SJMMSDe3ky7R2BZTfk/DH/4hA4NMR39ycnEDEK5WVIS&#10;YT1fACO/XG3o2xFhXjysgDc1v3zQ/AIAAP//AwBQSwECLQAUAAYACAAAACEAtoM4kv4AAADhAQAA&#10;EwAAAAAAAAAAAAAAAAAAAAAAW0NvbnRlbnRfVHlwZXNdLnhtbFBLAQItABQABgAIAAAAIQA4/SH/&#10;1gAAAJQBAAALAAAAAAAAAAAAAAAAAC8BAABfcmVscy8ucmVsc1BLAQItABQABgAIAAAAIQBj2ei9&#10;EAIAAP4DAAAOAAAAAAAAAAAAAAAAAC4CAABkcnMvZTJvRG9jLnhtbFBLAQItABQABgAIAAAAIQDX&#10;0xSz3gAAAAkBAAAPAAAAAAAAAAAAAAAAAGoEAABkcnMvZG93bnJldi54bWxQSwUGAAAAAAQABADz&#10;AAAAdQUAAAAA&#10;" stroked="f">
                <v:textbox style="mso-fit-shape-to-text:t">
                  <w:txbxContent>
                    <w:p w14:paraId="6D50D3A0" w14:textId="35E49F8F" w:rsidR="00980171" w:rsidRPr="00BE5B4B" w:rsidRDefault="00980171" w:rsidP="00BE5B4B">
                      <w:pPr>
                        <w:spacing w:line="276" w:lineRule="auto"/>
                        <w:rPr>
                          <w:color w:val="005E85" w:themeColor="accent1"/>
                          <w:sz w:val="24"/>
                          <w:szCs w:val="24"/>
                        </w:rPr>
                      </w:pPr>
                      <w:r w:rsidRPr="00BE5B4B">
                        <w:rPr>
                          <w:color w:val="005E85" w:themeColor="accent1"/>
                          <w:sz w:val="24"/>
                          <w:szCs w:val="24"/>
                          <w:lang w:eastAsia="en-NZ"/>
                        </w:rPr>
                        <w:t xml:space="preserve">Māori stories of the lockdown are ones of “action, leadership, </w:t>
                      </w:r>
                      <w:proofErr w:type="spellStart"/>
                      <w:r w:rsidRPr="00BE5B4B">
                        <w:rPr>
                          <w:color w:val="005E85" w:themeColor="accent1"/>
                          <w:sz w:val="24"/>
                          <w:szCs w:val="24"/>
                          <w:lang w:eastAsia="en-NZ"/>
                        </w:rPr>
                        <w:t>organising</w:t>
                      </w:r>
                      <w:proofErr w:type="spellEnd"/>
                      <w:r w:rsidRPr="00BE5B4B">
                        <w:rPr>
                          <w:color w:val="005E85" w:themeColor="accent1"/>
                          <w:sz w:val="24"/>
                          <w:szCs w:val="24"/>
                          <w:lang w:eastAsia="en-NZ"/>
                        </w:rPr>
                        <w:t xml:space="preserve">, and of a community coming together to support each other. They are stories of positivity and resilience, with kaumātua at the </w:t>
                      </w:r>
                      <w:proofErr w:type="spellStart"/>
                      <w:r w:rsidRPr="00BE5B4B">
                        <w:rPr>
                          <w:color w:val="005E85" w:themeColor="accent1"/>
                          <w:sz w:val="24"/>
                          <w:szCs w:val="24"/>
                          <w:lang w:eastAsia="en-NZ"/>
                        </w:rPr>
                        <w:t>centre</w:t>
                      </w:r>
                      <w:proofErr w:type="spellEnd"/>
                      <w:r w:rsidRPr="00BE5B4B">
                        <w:rPr>
                          <w:color w:val="005E85" w:themeColor="accent1"/>
                          <w:sz w:val="24"/>
                          <w:szCs w:val="24"/>
                          <w:lang w:eastAsia="en-NZ"/>
                        </w:rPr>
                        <w:t>” (Keelan et al, 2021, p.117)</w:t>
                      </w:r>
                    </w:p>
                  </w:txbxContent>
                </v:textbox>
                <w10:wrap anchorx="page"/>
              </v:shape>
            </w:pict>
          </mc:Fallback>
        </mc:AlternateContent>
      </w:r>
      <w:r w:rsidR="00622B35" w:rsidRPr="009509E9">
        <w:rPr>
          <w:rFonts w:eastAsia="Times New Roman"/>
          <w:color w:val="000000" w:themeColor="text1"/>
          <w:sz w:val="24"/>
          <w:szCs w:val="24"/>
          <w:lang w:eastAsia="en-NZ"/>
        </w:rPr>
        <w:t>Lockdowns presented significant challenges to tikanga Māori, including not being able to engage in formal activities on the marae or participate in tangihanga, and not having close contact with whānau. However, kaumātua collaborated with whānau to mitigate these and other impacts of COVID-</w:t>
      </w:r>
      <w:proofErr w:type="gramStart"/>
      <w:r w:rsidR="00622B35" w:rsidRPr="009509E9">
        <w:rPr>
          <w:rFonts w:eastAsia="Times New Roman"/>
          <w:color w:val="000000" w:themeColor="text1"/>
          <w:sz w:val="24"/>
          <w:szCs w:val="24"/>
          <w:lang w:eastAsia="en-NZ"/>
        </w:rPr>
        <w:t>19, and</w:t>
      </w:r>
      <w:proofErr w:type="gramEnd"/>
      <w:r w:rsidR="00622B35" w:rsidRPr="009509E9">
        <w:rPr>
          <w:rFonts w:eastAsia="Times New Roman"/>
          <w:color w:val="000000" w:themeColor="text1"/>
          <w:sz w:val="24"/>
          <w:szCs w:val="24"/>
          <w:lang w:eastAsia="en-NZ"/>
        </w:rPr>
        <w:t xml:space="preserve"> were at the </w:t>
      </w:r>
      <w:proofErr w:type="spellStart"/>
      <w:r w:rsidR="00622B35" w:rsidRPr="009509E9">
        <w:rPr>
          <w:rFonts w:eastAsia="Times New Roman"/>
          <w:color w:val="000000" w:themeColor="text1"/>
          <w:sz w:val="24"/>
          <w:szCs w:val="24"/>
          <w:lang w:eastAsia="en-NZ"/>
        </w:rPr>
        <w:t>centre</w:t>
      </w:r>
      <w:proofErr w:type="spellEnd"/>
      <w:r w:rsidR="00622B35" w:rsidRPr="009509E9">
        <w:rPr>
          <w:rFonts w:eastAsia="Times New Roman"/>
          <w:color w:val="000000" w:themeColor="text1"/>
          <w:sz w:val="24"/>
          <w:szCs w:val="24"/>
          <w:lang w:eastAsia="en-NZ"/>
        </w:rPr>
        <w:t xml:space="preserve"> of community resilience during lockdown. </w:t>
      </w:r>
      <w:r w:rsidR="00971390" w:rsidRPr="009509E9">
        <w:rPr>
          <w:sz w:val="24"/>
          <w:szCs w:val="24"/>
        </w:rPr>
        <w:t>Kaumātua had frontline and leadership roles in the pandemic response</w:t>
      </w:r>
      <w:r w:rsidR="00971390" w:rsidRPr="009509E9">
        <w:rPr>
          <w:rFonts w:eastAsia="Times New Roman"/>
          <w:color w:val="000000" w:themeColor="text1"/>
          <w:sz w:val="24"/>
          <w:szCs w:val="24"/>
          <w:lang w:eastAsia="en-NZ"/>
        </w:rPr>
        <w:t xml:space="preserve">, such as checkpoints intended to protect health of whole communities, </w:t>
      </w:r>
      <w:r w:rsidR="00153D2E" w:rsidRPr="009509E9">
        <w:rPr>
          <w:rStyle w:val="eop"/>
          <w:rFonts w:cstheme="minorHAnsi"/>
          <w:sz w:val="24"/>
          <w:szCs w:val="24"/>
        </w:rPr>
        <w:t>and kaumātua were active in creating and delivering kai and care packs to others</w:t>
      </w:r>
      <w:r w:rsidR="00971390" w:rsidRPr="009509E9">
        <w:rPr>
          <w:rFonts w:eastAsia="Times New Roman"/>
          <w:color w:val="000000" w:themeColor="text1"/>
          <w:sz w:val="24"/>
          <w:szCs w:val="24"/>
          <w:lang w:eastAsia="en-NZ"/>
        </w:rPr>
        <w:t>, and adapting tikanga.</w:t>
      </w:r>
      <w:r w:rsidR="00971390" w:rsidRPr="009509E9">
        <w:rPr>
          <w:rFonts w:ascii="Calibri" w:eastAsia="Times New Roman" w:hAnsi="Calibri" w:cs="Calibri"/>
          <w:color w:val="000000" w:themeColor="text1"/>
          <w:sz w:val="24"/>
          <w:szCs w:val="24"/>
          <w:lang w:eastAsia="en-NZ"/>
        </w:rPr>
        <w:t>  </w:t>
      </w:r>
    </w:p>
    <w:p w14:paraId="3D1E6DC2" w14:textId="11856CFD" w:rsidR="006C1800" w:rsidRPr="009509E9" w:rsidRDefault="006C1800" w:rsidP="00F6114A">
      <w:pPr>
        <w:spacing w:line="276" w:lineRule="auto"/>
        <w:rPr>
          <w:rStyle w:val="normaltextrun"/>
          <w:rFonts w:eastAsiaTheme="majorEastAsia" w:cstheme="minorHAnsi"/>
          <w:b/>
          <w:bCs/>
          <w:sz w:val="24"/>
          <w:szCs w:val="24"/>
        </w:rPr>
      </w:pPr>
      <w:r w:rsidRPr="009509E9">
        <w:rPr>
          <w:rStyle w:val="normaltextrun"/>
          <w:rFonts w:eastAsiaTheme="majorEastAsia" w:cstheme="minorHAnsi"/>
          <w:b/>
          <w:bCs/>
          <w:sz w:val="24"/>
          <w:szCs w:val="24"/>
        </w:rPr>
        <w:t>However, older people were not doing as well as they had prior to the pandemic…</w:t>
      </w:r>
    </w:p>
    <w:p w14:paraId="1F4DF79A" w14:textId="46B2D1E5" w:rsidR="003107FE" w:rsidRPr="009509E9" w:rsidRDefault="00441568" w:rsidP="00825770">
      <w:pPr>
        <w:rPr>
          <w:sz w:val="24"/>
          <w:szCs w:val="24"/>
        </w:rPr>
      </w:pPr>
      <w:r w:rsidRPr="009509E9" w:rsidDel="002E3530">
        <w:rPr>
          <w:sz w:val="24"/>
          <w:szCs w:val="24"/>
          <w:lang w:eastAsia="en-NZ"/>
        </w:rPr>
        <w:t>O</w:t>
      </w:r>
      <w:r w:rsidRPr="009509E9">
        <w:rPr>
          <w:sz w:val="24"/>
          <w:szCs w:val="24"/>
          <w:lang w:eastAsia="en-NZ"/>
        </w:rPr>
        <w:t xml:space="preserve">lder people were more likely to feel lonely in 2021 than they had prior to the pandemic starting and had less face-to-face contact with friends. </w:t>
      </w:r>
      <w:r w:rsidR="003107FE" w:rsidRPr="009509E9">
        <w:rPr>
          <w:sz w:val="24"/>
          <w:szCs w:val="24"/>
          <w:lang w:eastAsia="en-NZ"/>
        </w:rPr>
        <w:t xml:space="preserve">Some factors appear to exacerbate the likelihood of loneliness, including </w:t>
      </w:r>
      <w:r w:rsidR="003107FE" w:rsidRPr="009509E9">
        <w:rPr>
          <w:sz w:val="24"/>
          <w:szCs w:val="24"/>
        </w:rPr>
        <w:t xml:space="preserve">living alone, </w:t>
      </w:r>
      <w:proofErr w:type="gramStart"/>
      <w:r w:rsidR="003107FE" w:rsidRPr="009509E9">
        <w:rPr>
          <w:sz w:val="24"/>
          <w:szCs w:val="24"/>
        </w:rPr>
        <w:t>geographical</w:t>
      </w:r>
      <w:proofErr w:type="gramEnd"/>
      <w:r w:rsidR="003107FE" w:rsidRPr="009509E9">
        <w:rPr>
          <w:sz w:val="24"/>
          <w:szCs w:val="24"/>
        </w:rPr>
        <w:t xml:space="preserve"> and social isolation, and tension in family and whānau relationships.</w:t>
      </w:r>
    </w:p>
    <w:p w14:paraId="0A181F44" w14:textId="446E5A9C" w:rsidR="00A8439A" w:rsidRPr="009509E9" w:rsidRDefault="00A8439A" w:rsidP="00A8439A">
      <w:pPr>
        <w:rPr>
          <w:rStyle w:val="normaltextrun"/>
          <w:color w:val="000000" w:themeColor="text1"/>
          <w:sz w:val="24"/>
          <w:szCs w:val="24"/>
        </w:rPr>
      </w:pPr>
      <w:r w:rsidRPr="009509E9">
        <w:rPr>
          <w:rStyle w:val="normaltextrun"/>
          <w:color w:val="000000" w:themeColor="text1"/>
          <w:sz w:val="24"/>
          <w:szCs w:val="24"/>
        </w:rPr>
        <w:t xml:space="preserve">People aged 75 years and over experienced increases in anxiety, dissatisfaction with life and feeling that life is not worthwhile in September 2020 and March 2021. These months immediately follow those </w:t>
      </w:r>
      <w:r w:rsidR="00B66078" w:rsidRPr="009509E9">
        <w:rPr>
          <w:rStyle w:val="normaltextrun"/>
          <w:color w:val="000000" w:themeColor="text1"/>
          <w:sz w:val="24"/>
          <w:szCs w:val="24"/>
        </w:rPr>
        <w:t>when</w:t>
      </w:r>
      <w:r w:rsidRPr="009509E9">
        <w:rPr>
          <w:rStyle w:val="normaltextrun"/>
          <w:color w:val="000000" w:themeColor="text1"/>
          <w:sz w:val="24"/>
          <w:szCs w:val="24"/>
        </w:rPr>
        <w:t xml:space="preserve"> cases of COVID-19 were </w:t>
      </w:r>
      <w:r w:rsidR="00057204" w:rsidRPr="009509E9">
        <w:rPr>
          <w:rStyle w:val="eop"/>
          <w:rFonts w:cstheme="minorHAnsi"/>
          <w:b/>
          <w:bCs/>
          <w:noProof/>
          <w:sz w:val="24"/>
          <w:szCs w:val="24"/>
        </w:rPr>
        <w:lastRenderedPageBreak/>
        <mc:AlternateContent>
          <mc:Choice Requires="wps">
            <w:drawing>
              <wp:anchor distT="45720" distB="45720" distL="114300" distR="114300" simplePos="0" relativeHeight="251658241" behindDoc="1" locked="0" layoutInCell="1" allowOverlap="1" wp14:anchorId="322DF134" wp14:editId="47DC18DA">
                <wp:simplePos x="0" y="0"/>
                <wp:positionH relativeFrom="page">
                  <wp:posOffset>116541</wp:posOffset>
                </wp:positionH>
                <wp:positionV relativeFrom="paragraph">
                  <wp:posOffset>0</wp:posOffset>
                </wp:positionV>
                <wp:extent cx="1583690" cy="418211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182110"/>
                        </a:xfrm>
                        <a:prstGeom prst="rect">
                          <a:avLst/>
                        </a:prstGeom>
                        <a:solidFill>
                          <a:srgbClr val="FFFFFF"/>
                        </a:solidFill>
                        <a:ln w="9525">
                          <a:noFill/>
                          <a:miter lim="800000"/>
                          <a:headEnd/>
                          <a:tailEnd/>
                        </a:ln>
                      </wps:spPr>
                      <wps:txbx>
                        <w:txbxContent>
                          <w:p w14:paraId="2010FA7C" w14:textId="77777777" w:rsidR="004909B5" w:rsidRPr="00057204" w:rsidRDefault="004909B5" w:rsidP="00057204">
                            <w:pPr>
                              <w:spacing w:line="276" w:lineRule="auto"/>
                              <w:rPr>
                                <w:color w:val="005E85" w:themeColor="accent1"/>
                                <w:sz w:val="24"/>
                                <w:szCs w:val="24"/>
                              </w:rPr>
                            </w:pPr>
                            <w:r w:rsidRPr="00057204">
                              <w:rPr>
                                <w:color w:val="005E85" w:themeColor="accent1"/>
                                <w:sz w:val="24"/>
                                <w:szCs w:val="24"/>
                              </w:rPr>
                              <w:t>“The uncertainty of how many years Covid will affect social connectivity, job security, effects on those who catch Covid long-term, the fact that you’re always wary of visiting friends and family, relationships are no longer natural and spontaneous, and you tend to always be balancing the risks against having fun or activities. It does narrow your world and your life compared with pre-Covid . . .” (Survey respondent,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DF134" id="Text Box 11" o:spid="_x0000_s1028" type="#_x0000_t202" style="position:absolute;margin-left:9.2pt;margin-top:0;width:124.7pt;height:329.3pt;z-index:-25165823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smEQIAAP4DAAAOAAAAZHJzL2Uyb0RvYy54bWysU9tu2zAMfR+wfxD0vjjOki4x4hRdugwD&#10;ugvQ7QNkWY6FyaJGKbGzrx8lp2nQvQ3zgyCa5CF5eLS+HTrDjgq9BlvyfDLlTFkJtbb7kv/4vnuz&#10;5MwHYWthwKqSn5Tnt5vXr9a9K9QMWjC1QkYg1he9K3kbgiuyzMtWdcJPwClLzgawE4FM3Gc1ip7Q&#10;O5PNptObrAesHYJU3tPf+9HJNwm/aZQMX5vGq8BMyam3kE5MZxXPbLMWxR6Fa7U8tyH+oYtOaEtF&#10;L1D3Igh2QP0XVKclgocmTCR0GTSNlirNQNPk0xfTPLbCqTQLkePdhSb//2Dll+Oj+4YsDO9hoAWm&#10;Ibx7APnTMwvbVti9ukOEvlWipsJ5pCzrnS/OqZFqX/gIUvWfoaYli0OABDQ02EVWaE5G6LSA04V0&#10;NQQmY8nF8u3NilySfPN8OcvztJZMFE/pDn34qKBj8VJypK0meHF88CG2I4qnkFjNg9H1ThuTDNxX&#10;W4PsKEgBu/SlCV6EGcv6kq8Ws0VCthDzkzg6HUihRnclX07jN2om0vHB1ikkCG3GO3Vi7JmfSMlI&#10;Thiqgem65LOYG+mqoD4RYQijIOkB0aUF/M1ZT2Isuf91EKg4M58skb7K5/Oo3mTMF+9mZOC1p7r2&#10;CCsJquSBs/G6DUnxiQ53R8vZ6UTbcyfnlklkic3zg4gqvrZT1POz3fwBAAD//wMAUEsDBBQABgAI&#10;AAAAIQCg/vVI2wAAAAcBAAAPAAAAZHJzL2Rvd25yZXYueG1sTI9BS8QwFITvgv8hPMGbm7q4tdSm&#10;y+LixYPgKugx27w2xeSlJNlu/fc+T3ocZpj5ptku3okZYxoDKbhdFSCQumBGGhS8vz3dVCBS1mS0&#10;C4QKvjHBtr28aHRtwplecT7kQXAJpVorsDlPtZSps+h1WoUJib0+RK8zyzhIE/WZy72T66Iopdcj&#10;8YLVEz5a7L4OJ6/gw9vR7OPLZ2/cvH/ud5tpiZNS11fL7gFExiX/heEXn9GhZaZjOJFJwrGu7jip&#10;gA+xuy7v+chRQbmpSpBtI//ztz8AAAD//wMAUEsBAi0AFAAGAAgAAAAhALaDOJL+AAAA4QEAABMA&#10;AAAAAAAAAAAAAAAAAAAAAFtDb250ZW50X1R5cGVzXS54bWxQSwECLQAUAAYACAAAACEAOP0h/9YA&#10;AACUAQAACwAAAAAAAAAAAAAAAAAvAQAAX3JlbHMvLnJlbHNQSwECLQAUAAYACAAAACEAeaJLJhEC&#10;AAD+AwAADgAAAAAAAAAAAAAAAAAuAgAAZHJzL2Uyb0RvYy54bWxQSwECLQAUAAYACAAAACEAoP71&#10;SNsAAAAHAQAADwAAAAAAAAAAAAAAAABrBAAAZHJzL2Rvd25yZXYueG1sUEsFBgAAAAAEAAQA8wAA&#10;AHMFAAAAAA==&#10;" stroked="f">
                <v:textbox style="mso-fit-shape-to-text:t">
                  <w:txbxContent>
                    <w:p w14:paraId="2010FA7C" w14:textId="77777777" w:rsidR="004909B5" w:rsidRPr="00057204" w:rsidRDefault="004909B5" w:rsidP="00057204">
                      <w:pPr>
                        <w:spacing w:line="276" w:lineRule="auto"/>
                        <w:rPr>
                          <w:color w:val="005E85" w:themeColor="accent1"/>
                          <w:sz w:val="24"/>
                          <w:szCs w:val="24"/>
                        </w:rPr>
                      </w:pPr>
                      <w:r w:rsidRPr="00057204">
                        <w:rPr>
                          <w:color w:val="005E85" w:themeColor="accent1"/>
                          <w:sz w:val="24"/>
                          <w:szCs w:val="24"/>
                        </w:rPr>
                        <w:t>“The uncertainty of how many years Covid will affect social connectivity, job security, effects on those who catch Covid long-term, the fact that you’re always wary of visiting friends and family, relationships are no longer natural and spontaneous, and you tend to always be balancing the risks against having fun or activities. It does narrow your world and your life compared with pre-Covid . . .” (Survey respondent, 2022)</w:t>
                      </w:r>
                    </w:p>
                  </w:txbxContent>
                </v:textbox>
                <w10:wrap anchorx="page"/>
              </v:shape>
            </w:pict>
          </mc:Fallback>
        </mc:AlternateContent>
      </w:r>
      <w:r w:rsidRPr="009509E9">
        <w:rPr>
          <w:rStyle w:val="normaltextrun"/>
          <w:color w:val="000000" w:themeColor="text1"/>
          <w:sz w:val="24"/>
          <w:szCs w:val="24"/>
        </w:rPr>
        <w:t xml:space="preserve">recorded in the community and may, in part, reflect an increased worry on the part of older people about the implications of this. </w:t>
      </w:r>
    </w:p>
    <w:p w14:paraId="55447A3C" w14:textId="24078E51" w:rsidR="005B093C" w:rsidRDefault="00475B53" w:rsidP="00A8439A">
      <w:pPr>
        <w:rPr>
          <w:rStyle w:val="normaltextrun"/>
          <w:color w:val="000000" w:themeColor="text1"/>
          <w:sz w:val="24"/>
          <w:szCs w:val="24"/>
        </w:rPr>
      </w:pPr>
      <w:r w:rsidRPr="009509E9">
        <w:rPr>
          <w:rStyle w:val="normaltextrun"/>
          <w:color w:val="000000" w:themeColor="text1"/>
          <w:sz w:val="24"/>
          <w:szCs w:val="24"/>
        </w:rPr>
        <w:t>These concerns are reflected in the dramatic increase in calls from older people to Depression, 1737 Need to Talk, Gambling, and Alcohol and Drug Services telephone helplines at the start of the pandemic. While the number of calls has fluctuated since then, the number has not returned to the lower pre-pandemic rate</w:t>
      </w:r>
      <w:r w:rsidR="00AF1436">
        <w:rPr>
          <w:rStyle w:val="normaltextrun"/>
          <w:color w:val="000000" w:themeColor="text1"/>
          <w:sz w:val="24"/>
          <w:szCs w:val="24"/>
        </w:rPr>
        <w:t>.</w:t>
      </w:r>
    </w:p>
    <w:p w14:paraId="22A0061E" w14:textId="36CA71C9" w:rsidR="008301F1" w:rsidRPr="009509E9" w:rsidRDefault="008301F1" w:rsidP="00A8439A">
      <w:pPr>
        <w:rPr>
          <w:rStyle w:val="normaltextrun"/>
          <w:color w:val="000000" w:themeColor="text1"/>
          <w:sz w:val="24"/>
          <w:szCs w:val="24"/>
        </w:rPr>
      </w:pPr>
      <w:r>
        <w:rPr>
          <w:noProof/>
        </w:rPr>
        <w:drawing>
          <wp:inline distT="0" distB="0" distL="0" distR="0" wp14:anchorId="30B2E4F4" wp14:editId="15E2BF1D">
            <wp:extent cx="4759960" cy="3944620"/>
            <wp:effectExtent l="0" t="0" r="2540" b="0"/>
            <wp:docPr id="102437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9960" cy="3944620"/>
                    </a:xfrm>
                    <a:prstGeom prst="rect">
                      <a:avLst/>
                    </a:prstGeom>
                    <a:noFill/>
                    <a:ln>
                      <a:noFill/>
                    </a:ln>
                  </pic:spPr>
                </pic:pic>
              </a:graphicData>
            </a:graphic>
          </wp:inline>
        </w:drawing>
      </w:r>
    </w:p>
    <w:p w14:paraId="714E8E4A" w14:textId="3C002437" w:rsidR="003B62DF" w:rsidRPr="009509E9" w:rsidRDefault="00057204" w:rsidP="003B62DF">
      <w:pPr>
        <w:rPr>
          <w:rStyle w:val="normaltextrun"/>
          <w:rFonts w:cstheme="minorHAnsi"/>
          <w:sz w:val="24"/>
          <w:szCs w:val="24"/>
        </w:rPr>
      </w:pPr>
      <w:r w:rsidRPr="009509E9">
        <w:rPr>
          <w:rStyle w:val="eop"/>
          <w:rFonts w:cstheme="minorHAnsi"/>
          <w:b/>
          <w:bCs/>
          <w:noProof/>
          <w:sz w:val="24"/>
          <w:szCs w:val="24"/>
        </w:rPr>
        <mc:AlternateContent>
          <mc:Choice Requires="wps">
            <w:drawing>
              <wp:anchor distT="45720" distB="45720" distL="114300" distR="114300" simplePos="0" relativeHeight="251658240" behindDoc="1" locked="0" layoutInCell="1" allowOverlap="1" wp14:anchorId="3256FEA2" wp14:editId="3B7CAEE8">
                <wp:simplePos x="0" y="0"/>
                <wp:positionH relativeFrom="page">
                  <wp:posOffset>44450</wp:posOffset>
                </wp:positionH>
                <wp:positionV relativeFrom="paragraph">
                  <wp:posOffset>4250690</wp:posOffset>
                </wp:positionV>
                <wp:extent cx="1583690" cy="3458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458210"/>
                        </a:xfrm>
                        <a:prstGeom prst="rect">
                          <a:avLst/>
                        </a:prstGeom>
                        <a:solidFill>
                          <a:srgbClr val="FFFFFF"/>
                        </a:solidFill>
                        <a:ln w="9525">
                          <a:noFill/>
                          <a:miter lim="800000"/>
                          <a:headEnd/>
                          <a:tailEnd/>
                        </a:ln>
                      </wps:spPr>
                      <wps:txbx>
                        <w:txbxContent>
                          <w:p w14:paraId="7AE5FD1A" w14:textId="1FABDD23" w:rsidR="0058025D" w:rsidRPr="00057204" w:rsidRDefault="0058025D" w:rsidP="00057204">
                            <w:pPr>
                              <w:spacing w:line="276" w:lineRule="auto"/>
                              <w:rPr>
                                <w:color w:val="005E85" w:themeColor="accent1"/>
                                <w:sz w:val="24"/>
                                <w:szCs w:val="24"/>
                              </w:rPr>
                            </w:pPr>
                            <w:r w:rsidRPr="00057204">
                              <w:rPr>
                                <w:color w:val="005E85" w:themeColor="accent1"/>
                                <w:sz w:val="24"/>
                                <w:szCs w:val="24"/>
                              </w:rPr>
                              <w:t xml:space="preserve">“... vulnerability and resilience were not distributed evenly during the early phase of the pandemic due to the pre-existing social determinants of health and wellbeing” (Allen et al., 2022c, p.22)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6FEA2" id="Text Box 10" o:spid="_x0000_s1029" type="#_x0000_t202" style="position:absolute;margin-left:3.5pt;margin-top:334.7pt;width:124.7pt;height:272.3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1dEQIAAP4DAAAOAAAAZHJzL2Uyb0RvYy54bWysU9tu2zAMfR+wfxD0vjhJky4x4hRdugwD&#10;ugvQ7gNkWY6FyaJGKbGzry8lp2nQvg3zgyCa5CF5eLS66VvDDgq9BlvwyWjMmbISKm13Bf/1uP2w&#10;4MwHYSthwKqCH5XnN+v371ady9UUGjCVQkYg1uedK3gTgsuzzMtGtcKPwClLzhqwFYFM3GUVio7Q&#10;W5NNx+PrrAOsHIJU3tPfu8HJ1wm/rpUMP+raq8BMwam3kE5MZxnPbL0S+Q6Fa7Q8tSH+oYtWaEtF&#10;z1B3Igi2R/0GqtUSwUMdRhLaDOpaS5VmoGkm41fTPDTCqTQLkePdmSb//2Dl98OD+4ks9J+gpwWm&#10;Iby7B/nbMwubRtidukWErlGiosKTSFnWOZ+fUiPVPvcRpOy+QUVLFvsACaivsY2s0JyM0GkBxzPp&#10;qg9MxpLzxdX1klySfFez+WI6SWvJRP6c7tCHLwpaFi8FR9pqgheHex9iOyJ/DonVPBhdbbUxycBd&#10;uTHIDoIUsE1fmuBVmLGsK/hyPp0nZAsxP4mj1YEUanRb8MU4foNmIh2fbZVCgtBmuFMnxp74iZQM&#10;5IS+7JmuaLyYG+kqoToSYQiDIOkB0aUB/MtZR2IsuP+zF6g4M18tkb6czGZRvcmYzT9OycBLT3np&#10;EVYSVMEDZ8N1E5LiEx3ulpaz1Ym2l05OLZPIEpunBxFVfGmnqJdnu34CAAD//wMAUEsDBBQABgAI&#10;AAAAIQDs94zL3wAAAAoBAAAPAAAAZHJzL2Rvd25yZXYueG1sTI/NTsMwEITvSLyDtUjcqNOoDTTE&#10;qSoqLhyQKEj06MabOMJ/st00vD3LCW47mtHsN812toZNGNPonYDlogCGrvNqdIOAj/fnuwdgKUun&#10;pPEOBXxjgm17fdXIWvmLe8PpkAdGJS7VUoDOOdScp06jlWnhAzryeh+tzCTjwFWUFyq3hpdFUXEr&#10;R0cftAz4pLH7OpytgE+rR7WPr8demWn/0u/WYY5BiNubefcILOOc/8Lwi0/o0BLTyZ+dSswIuKcl&#10;WUBVbVbAyC/XFR0nCpbLVQG8bfj/Ce0PAAAA//8DAFBLAQItABQABgAIAAAAIQC2gziS/gAAAOEB&#10;AAATAAAAAAAAAAAAAAAAAAAAAABbQ29udGVudF9UeXBlc10ueG1sUEsBAi0AFAAGAAgAAAAhADj9&#10;If/WAAAAlAEAAAsAAAAAAAAAAAAAAAAALwEAAF9yZWxzLy5yZWxzUEsBAi0AFAAGAAgAAAAhAFjV&#10;HV0RAgAA/gMAAA4AAAAAAAAAAAAAAAAALgIAAGRycy9lMm9Eb2MueG1sUEsBAi0AFAAGAAgAAAAh&#10;AOz3jMvfAAAACgEAAA8AAAAAAAAAAAAAAAAAawQAAGRycy9kb3ducmV2LnhtbFBLBQYAAAAABAAE&#10;APMAAAB3BQAAAAA=&#10;" stroked="f">
                <v:textbox style="mso-fit-shape-to-text:t">
                  <w:txbxContent>
                    <w:p w14:paraId="7AE5FD1A" w14:textId="1FABDD23" w:rsidR="0058025D" w:rsidRPr="00057204" w:rsidRDefault="0058025D" w:rsidP="00057204">
                      <w:pPr>
                        <w:spacing w:line="276" w:lineRule="auto"/>
                        <w:rPr>
                          <w:color w:val="005E85" w:themeColor="accent1"/>
                          <w:sz w:val="24"/>
                          <w:szCs w:val="24"/>
                        </w:rPr>
                      </w:pPr>
                      <w:r w:rsidRPr="00057204">
                        <w:rPr>
                          <w:color w:val="005E85" w:themeColor="accent1"/>
                          <w:sz w:val="24"/>
                          <w:szCs w:val="24"/>
                        </w:rPr>
                        <w:t xml:space="preserve">“... vulnerability and resilience were not distributed evenly during the early phase of the pandemic due to the pre-existing social determinants of health and wellbeing” (Allen et al., 2022c, p.22) </w:t>
                      </w:r>
                    </w:p>
                  </w:txbxContent>
                </v:textbox>
                <w10:wrap anchorx="page"/>
              </v:shape>
            </w:pict>
          </mc:Fallback>
        </mc:AlternateContent>
      </w:r>
      <w:r w:rsidR="006C1800" w:rsidRPr="009509E9">
        <w:rPr>
          <w:rStyle w:val="normaltextrun"/>
          <w:rFonts w:cstheme="minorHAnsi"/>
          <w:b/>
          <w:bCs/>
          <w:sz w:val="24"/>
          <w:szCs w:val="24"/>
        </w:rPr>
        <w:t>… and i</w:t>
      </w:r>
      <w:r w:rsidR="003B62DF" w:rsidRPr="009509E9">
        <w:rPr>
          <w:rStyle w:val="normaltextrun"/>
          <w:rFonts w:cstheme="minorHAnsi"/>
          <w:b/>
          <w:bCs/>
          <w:sz w:val="24"/>
          <w:szCs w:val="24"/>
        </w:rPr>
        <w:t>n some respects, older people are doing less well now</w:t>
      </w:r>
      <w:r w:rsidR="003B62DF" w:rsidRPr="009509E9" w:rsidDel="006C1800">
        <w:rPr>
          <w:rStyle w:val="normaltextrun"/>
          <w:rFonts w:cstheme="minorHAnsi"/>
          <w:b/>
          <w:bCs/>
          <w:sz w:val="24"/>
          <w:szCs w:val="24"/>
        </w:rPr>
        <w:t xml:space="preserve">, </w:t>
      </w:r>
      <w:r w:rsidR="003B62DF" w:rsidRPr="009509E9">
        <w:rPr>
          <w:rStyle w:val="normaltextrun"/>
          <w:rFonts w:cstheme="minorHAnsi"/>
          <w:b/>
          <w:bCs/>
          <w:sz w:val="24"/>
          <w:szCs w:val="24"/>
        </w:rPr>
        <w:t>than they were earlier in the pandemic.</w:t>
      </w:r>
      <w:r w:rsidR="003B62DF" w:rsidRPr="009509E9">
        <w:rPr>
          <w:rStyle w:val="normaltextrun"/>
          <w:rFonts w:cstheme="minorHAnsi"/>
          <w:sz w:val="24"/>
          <w:szCs w:val="24"/>
        </w:rPr>
        <w:t xml:space="preserve"> </w:t>
      </w:r>
    </w:p>
    <w:p w14:paraId="5723486B" w14:textId="20390F4D" w:rsidR="006149F9" w:rsidRPr="009509E9" w:rsidRDefault="00D10933" w:rsidP="003B62DF">
      <w:pPr>
        <w:rPr>
          <w:rStyle w:val="normaltextrun"/>
          <w:sz w:val="24"/>
          <w:szCs w:val="24"/>
        </w:rPr>
      </w:pPr>
      <w:r w:rsidRPr="009509E9">
        <w:rPr>
          <w:rStyle w:val="normaltextrun"/>
          <w:sz w:val="24"/>
          <w:szCs w:val="24"/>
        </w:rPr>
        <w:t>C</w:t>
      </w:r>
      <w:r w:rsidR="003B62DF" w:rsidRPr="009509E9">
        <w:rPr>
          <w:rStyle w:val="normaltextrun"/>
          <w:sz w:val="24"/>
          <w:szCs w:val="24"/>
        </w:rPr>
        <w:t xml:space="preserve">ommunities and advocacy groups report that the freedom enjoyed by most people </w:t>
      </w:r>
      <w:r w:rsidR="008B5625" w:rsidRPr="009509E9">
        <w:rPr>
          <w:rStyle w:val="normaltextrun"/>
          <w:sz w:val="24"/>
          <w:szCs w:val="24"/>
        </w:rPr>
        <w:t>as safety measures have been removed</w:t>
      </w:r>
      <w:r w:rsidR="003B62DF" w:rsidRPr="009509E9">
        <w:rPr>
          <w:rStyle w:val="normaltextrun"/>
          <w:sz w:val="24"/>
          <w:szCs w:val="24"/>
        </w:rPr>
        <w:t xml:space="preserve"> is not experienced in the same way by older people.</w:t>
      </w:r>
      <w:r w:rsidR="003B62DF" w:rsidRPr="009509E9">
        <w:rPr>
          <w:sz w:val="24"/>
          <w:szCs w:val="24"/>
        </w:rPr>
        <w:t xml:space="preserve"> </w:t>
      </w:r>
      <w:r w:rsidR="006149F9" w:rsidRPr="009509E9">
        <w:rPr>
          <w:sz w:val="24"/>
          <w:szCs w:val="24"/>
        </w:rPr>
        <w:t>F</w:t>
      </w:r>
      <w:r w:rsidR="003B62DF" w:rsidRPr="009509E9">
        <w:rPr>
          <w:sz w:val="24"/>
          <w:szCs w:val="24"/>
        </w:rPr>
        <w:t>or a significant minority of older people there is a long tail of issues</w:t>
      </w:r>
      <w:r w:rsidR="006149F9" w:rsidRPr="009509E9">
        <w:rPr>
          <w:sz w:val="24"/>
          <w:szCs w:val="24"/>
        </w:rPr>
        <w:t>: f</w:t>
      </w:r>
      <w:r w:rsidR="003B62DF" w:rsidRPr="009509E9">
        <w:rPr>
          <w:sz w:val="24"/>
          <w:szCs w:val="24"/>
        </w:rPr>
        <w:t>eelings of anxiety and fear continue to be a challenge for older people</w:t>
      </w:r>
      <w:r w:rsidR="006149F9" w:rsidRPr="009509E9">
        <w:rPr>
          <w:sz w:val="24"/>
          <w:szCs w:val="24"/>
        </w:rPr>
        <w:t>; m</w:t>
      </w:r>
      <w:r w:rsidR="003B62DF" w:rsidRPr="009509E9">
        <w:rPr>
          <w:rStyle w:val="normaltextrun"/>
          <w:sz w:val="24"/>
          <w:szCs w:val="24"/>
        </w:rPr>
        <w:t xml:space="preserve">any are reporting anxiety about leaving the house, and a reluctance to </w:t>
      </w:r>
      <w:proofErr w:type="spellStart"/>
      <w:r w:rsidR="003B62DF" w:rsidRPr="009509E9">
        <w:rPr>
          <w:rStyle w:val="normaltextrun"/>
          <w:sz w:val="24"/>
          <w:szCs w:val="24"/>
        </w:rPr>
        <w:t>socialise</w:t>
      </w:r>
      <w:proofErr w:type="spellEnd"/>
      <w:r w:rsidR="003B62DF" w:rsidRPr="009509E9">
        <w:rPr>
          <w:rStyle w:val="normaltextrun"/>
          <w:sz w:val="24"/>
          <w:szCs w:val="24"/>
        </w:rPr>
        <w:t xml:space="preserve"> or be around others for fear of contracting COVID-19</w:t>
      </w:r>
      <w:r w:rsidR="006149F9" w:rsidRPr="009509E9">
        <w:rPr>
          <w:rStyle w:val="normaltextrun"/>
          <w:sz w:val="24"/>
          <w:szCs w:val="24"/>
        </w:rPr>
        <w:t>; s</w:t>
      </w:r>
      <w:r w:rsidR="003B62DF" w:rsidRPr="009509E9">
        <w:rPr>
          <w:rStyle w:val="normaltextrun"/>
          <w:sz w:val="24"/>
          <w:szCs w:val="24"/>
        </w:rPr>
        <w:t xml:space="preserve">ome older people are voluntarily self-isolating due to existing health conditions. </w:t>
      </w:r>
    </w:p>
    <w:p w14:paraId="6DB593C2" w14:textId="2DECCE76" w:rsidR="003B62DF" w:rsidRPr="009509E9" w:rsidRDefault="003B62DF" w:rsidP="003B62DF">
      <w:pPr>
        <w:rPr>
          <w:sz w:val="24"/>
          <w:szCs w:val="24"/>
        </w:rPr>
      </w:pPr>
      <w:r w:rsidRPr="009509E9">
        <w:rPr>
          <w:rStyle w:val="normaltextrun"/>
          <w:sz w:val="24"/>
          <w:szCs w:val="24"/>
        </w:rPr>
        <w:t xml:space="preserve">Advocacy groups report worries about older people’s wellbeing and mental health, </w:t>
      </w:r>
      <w:r w:rsidRPr="009509E9">
        <w:rPr>
          <w:sz w:val="24"/>
          <w:szCs w:val="24"/>
        </w:rPr>
        <w:t xml:space="preserve">with increased anxiety and fear of leaving their homes, and concerns about increased isolation, alcohol harm, addiction, and suicide. </w:t>
      </w:r>
    </w:p>
    <w:p w14:paraId="0864BD5E" w14:textId="0FF0F995" w:rsidR="007366EA" w:rsidRPr="009509E9" w:rsidRDefault="007366EA" w:rsidP="007366EA">
      <w:pPr>
        <w:rPr>
          <w:rStyle w:val="eop"/>
          <w:rFonts w:cstheme="minorHAnsi"/>
          <w:b/>
          <w:bCs/>
          <w:sz w:val="24"/>
          <w:szCs w:val="24"/>
        </w:rPr>
      </w:pPr>
      <w:r w:rsidRPr="009509E9">
        <w:rPr>
          <w:rStyle w:val="eop"/>
          <w:rFonts w:cstheme="minorHAnsi"/>
          <w:b/>
          <w:bCs/>
          <w:sz w:val="24"/>
          <w:szCs w:val="24"/>
        </w:rPr>
        <w:lastRenderedPageBreak/>
        <w:t xml:space="preserve">The pandemic has highlighted the resilience and contributions of older people, as they engaged in opportunities to improve wellbeing for themselves and others. </w:t>
      </w:r>
    </w:p>
    <w:p w14:paraId="1BC175B3" w14:textId="480CD251" w:rsidR="007366EA" w:rsidRPr="009509E9" w:rsidRDefault="00057204" w:rsidP="007366EA">
      <w:pPr>
        <w:rPr>
          <w:sz w:val="24"/>
          <w:szCs w:val="24"/>
        </w:rPr>
      </w:pPr>
      <w:r w:rsidRPr="009509E9">
        <w:rPr>
          <w:rStyle w:val="Heading3Char"/>
          <w:rFonts w:cstheme="minorHAnsi"/>
          <w:b/>
          <w:bCs/>
          <w:noProof/>
        </w:rPr>
        <mc:AlternateContent>
          <mc:Choice Requires="wps">
            <w:drawing>
              <wp:anchor distT="45720" distB="45720" distL="114300" distR="114300" simplePos="0" relativeHeight="251658246" behindDoc="1" locked="0" layoutInCell="1" allowOverlap="1" wp14:anchorId="660EA5C0" wp14:editId="2BE42138">
                <wp:simplePos x="0" y="0"/>
                <wp:positionH relativeFrom="page">
                  <wp:posOffset>133911</wp:posOffset>
                </wp:positionH>
                <wp:positionV relativeFrom="paragraph">
                  <wp:posOffset>131146</wp:posOffset>
                </wp:positionV>
                <wp:extent cx="1568450" cy="3469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69005"/>
                        </a:xfrm>
                        <a:prstGeom prst="rect">
                          <a:avLst/>
                        </a:prstGeom>
                        <a:solidFill>
                          <a:srgbClr val="FFFFFF"/>
                        </a:solidFill>
                        <a:ln w="9525">
                          <a:noFill/>
                          <a:miter lim="800000"/>
                          <a:headEnd/>
                          <a:tailEnd/>
                        </a:ln>
                      </wps:spPr>
                      <wps:txbx>
                        <w:txbxContent>
                          <w:p w14:paraId="17141879" w14:textId="06DD1557" w:rsidR="00A40481" w:rsidRPr="00057204" w:rsidRDefault="00A40481" w:rsidP="00057204">
                            <w:pPr>
                              <w:spacing w:line="276" w:lineRule="auto"/>
                              <w:rPr>
                                <w:color w:val="005E85" w:themeColor="accent1"/>
                                <w:sz w:val="24"/>
                                <w:szCs w:val="24"/>
                              </w:rPr>
                            </w:pPr>
                            <w:r w:rsidRPr="00057204">
                              <w:rPr>
                                <w:color w:val="005E85" w:themeColor="accent1"/>
                                <w:sz w:val="24"/>
                                <w:szCs w:val="24"/>
                              </w:rPr>
                              <w:t xml:space="preserve">“Fear and anxiety have driven the behaviour patterns of many seniors during the past two years. This fear and anxiety </w:t>
                            </w:r>
                            <w:proofErr w:type="gramStart"/>
                            <w:r w:rsidRPr="00057204">
                              <w:rPr>
                                <w:color w:val="005E85" w:themeColor="accent1"/>
                                <w:sz w:val="24"/>
                                <w:szCs w:val="24"/>
                              </w:rPr>
                              <w:t>is</w:t>
                            </w:r>
                            <w:proofErr w:type="gramEnd"/>
                            <w:r w:rsidRPr="00057204">
                              <w:rPr>
                                <w:color w:val="005E85" w:themeColor="accent1"/>
                                <w:sz w:val="24"/>
                                <w:szCs w:val="24"/>
                              </w:rPr>
                              <w:t xml:space="preserve"> still very present, with four in ten reporting to be more anxious now than at any other time during the pandemic” (Age Concern Wellington,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EA5C0" id="Text Box 7" o:spid="_x0000_s1030" type="#_x0000_t202" style="position:absolute;margin-left:10.55pt;margin-top:10.35pt;width:123.5pt;height:273.15pt;z-index:-25165823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2GEgIAAP4DAAAOAAAAZHJzL2Uyb0RvYy54bWysU9tu2zAMfR+wfxD0vtjJ7Cwx4hRdugwD&#10;ugvQ7gNkWY6FyaImKbGzrx8lu2m2vg3zgyCa5CF5eLS5GTpFTsI6Cbqk81lKidAcaqkPJf3+uH+z&#10;osR5pmumQIuSnoWjN9vXrza9KcQCWlC1sARBtCt6U9LWe1MkieOt6JibgREanQ3Yjnk07SGpLesR&#10;vVPJIk2XSQ+2Nha4cA7/3o1Ouo34TSO4/9o0TniiSoq9+XjaeFbhTLYbVhwsM63kUxvsH7romNRY&#10;9AJ1xzwjRytfQHWSW3DQ+BmHLoGmkVzEGXCaefrXNA8tMyLOguQ4c6HJ/T9Y/uX0YL5Z4of3MOAC&#10;4xDO3AP/4YiGXcv0QdxaC30rWI2F54GypDeumFID1a5wAaTqP0ONS2ZHDxFoaGwXWME5CaLjAs4X&#10;0sXgCQ8l8+Uqy9HF0fc2W67TNI81WPGUbqzzHwV0JFxKanGrEZ6d7p0P7bDiKSRUc6BkvZdKRcMe&#10;qp2y5MRQAfv4Teh/hClN+pKu80UekTWE/CiOTnpUqJJdSVdp+EbNBDo+6DqGeCbVeMdOlJ74CZSM&#10;5PihGoisS5qF3EBXBfUZCbMwChIfEF5asL8o6VGMJXU/j8wKStQnjaSv51kW1BuNLH+3QMNee6pr&#10;D9McoUrqKRmvOx8VH+jQcIvLaWSk7bmTqWUUWWRzehBBxdd2jHp+ttvfAAAA//8DAFBLAwQUAAYA&#10;CAAAACEAvZDQxN4AAAAJAQAADwAAAGRycy9kb3ducmV2LnhtbEyPzU7DMBCE70i8g7VIXBC1E9Gk&#10;hDgVIIG49ucBNvE2iYjtKHab9O1ZTnBa7c5o9ptyu9hBXGgKvXcakpUCQa7xpnethuPh43EDIkR0&#10;BgfvSMOVAmyr25sSC+Nnt6PLPraCQ1woUEMX41hIGZqOLIaVH8mxdvKTxcjr1Eoz4czhdpCpUpm0&#10;2Dv+0OFI7x013/uz1XD6mh/Wz3P9GY/57il7wz6v/VXr+7vl9QVEpCX+meEXn9GhYqban50JYtCQ&#10;Jgk7eaocBOtptuFDrWGd5QpkVcr/DaofAAAA//8DAFBLAQItABQABgAIAAAAIQC2gziS/gAAAOEB&#10;AAATAAAAAAAAAAAAAAAAAAAAAABbQ29udGVudF9UeXBlc10ueG1sUEsBAi0AFAAGAAgAAAAhADj9&#10;If/WAAAAlAEAAAsAAAAAAAAAAAAAAAAALwEAAF9yZWxzLy5yZWxzUEsBAi0AFAAGAAgAAAAhABtF&#10;XYYSAgAA/gMAAA4AAAAAAAAAAAAAAAAALgIAAGRycy9lMm9Eb2MueG1sUEsBAi0AFAAGAAgAAAAh&#10;AL2Q0MTeAAAACQEAAA8AAAAAAAAAAAAAAAAAbAQAAGRycy9kb3ducmV2LnhtbFBLBQYAAAAABAAE&#10;APMAAAB3BQAAAAA=&#10;" stroked="f">
                <v:textbox>
                  <w:txbxContent>
                    <w:p w14:paraId="17141879" w14:textId="06DD1557" w:rsidR="00A40481" w:rsidRPr="00057204" w:rsidRDefault="00A40481" w:rsidP="00057204">
                      <w:pPr>
                        <w:spacing w:line="276" w:lineRule="auto"/>
                        <w:rPr>
                          <w:color w:val="005E85" w:themeColor="accent1"/>
                          <w:sz w:val="24"/>
                          <w:szCs w:val="24"/>
                        </w:rPr>
                      </w:pPr>
                      <w:r w:rsidRPr="00057204">
                        <w:rPr>
                          <w:color w:val="005E85" w:themeColor="accent1"/>
                          <w:sz w:val="24"/>
                          <w:szCs w:val="24"/>
                        </w:rPr>
                        <w:t xml:space="preserve">“Fear and anxiety have driven the behaviour patterns of many seniors during the past two years. This fear and anxiety </w:t>
                      </w:r>
                      <w:proofErr w:type="gramStart"/>
                      <w:r w:rsidRPr="00057204">
                        <w:rPr>
                          <w:color w:val="005E85" w:themeColor="accent1"/>
                          <w:sz w:val="24"/>
                          <w:szCs w:val="24"/>
                        </w:rPr>
                        <w:t>is</w:t>
                      </w:r>
                      <w:proofErr w:type="gramEnd"/>
                      <w:r w:rsidRPr="00057204">
                        <w:rPr>
                          <w:color w:val="005E85" w:themeColor="accent1"/>
                          <w:sz w:val="24"/>
                          <w:szCs w:val="24"/>
                        </w:rPr>
                        <w:t xml:space="preserve"> still very present, with four in ten reporting to be more anxious now than at any other time during the pandemic” (Age Concern Wellington, 2022)</w:t>
                      </w:r>
                    </w:p>
                  </w:txbxContent>
                </v:textbox>
                <w10:wrap anchorx="page"/>
              </v:shape>
            </w:pict>
          </mc:Fallback>
        </mc:AlternateContent>
      </w:r>
      <w:r w:rsidR="007366EA" w:rsidRPr="009509E9">
        <w:rPr>
          <w:sz w:val="24"/>
          <w:szCs w:val="24"/>
        </w:rPr>
        <w:t xml:space="preserve">Older people were aware of </w:t>
      </w:r>
      <w:r w:rsidR="00A76711" w:rsidRPr="009509E9">
        <w:rPr>
          <w:sz w:val="24"/>
          <w:szCs w:val="24"/>
        </w:rPr>
        <w:t>the needs of others in their communities,</w:t>
      </w:r>
      <w:r w:rsidR="007366EA" w:rsidRPr="009509E9">
        <w:rPr>
          <w:sz w:val="24"/>
          <w:szCs w:val="24"/>
        </w:rPr>
        <w:t xml:space="preserve"> and redistributed supplies to support others who had financial hardship, </w:t>
      </w:r>
      <w:r w:rsidR="00DE4DED" w:rsidRPr="009509E9">
        <w:rPr>
          <w:sz w:val="24"/>
          <w:szCs w:val="24"/>
        </w:rPr>
        <w:t>such as</w:t>
      </w:r>
      <w:r w:rsidR="007366EA" w:rsidRPr="009509E9">
        <w:rPr>
          <w:sz w:val="24"/>
          <w:szCs w:val="24"/>
        </w:rPr>
        <w:t xml:space="preserve"> job loss due to lockdown restrictions.</w:t>
      </w:r>
    </w:p>
    <w:p w14:paraId="67CD107E" w14:textId="5DA2CD73" w:rsidR="007366EA" w:rsidRPr="009509E9" w:rsidRDefault="007366EA" w:rsidP="007366EA">
      <w:pPr>
        <w:rPr>
          <w:rFonts w:eastAsia="Times New Roman"/>
          <w:sz w:val="24"/>
          <w:szCs w:val="24"/>
          <w:lang w:eastAsia="en-NZ"/>
        </w:rPr>
      </w:pPr>
      <w:r w:rsidRPr="009509E9">
        <w:rPr>
          <w:rFonts w:eastAsia="Times New Roman"/>
          <w:color w:val="000000"/>
          <w:sz w:val="24"/>
          <w:szCs w:val="24"/>
          <w:lang w:eastAsia="en-NZ"/>
        </w:rPr>
        <w:t xml:space="preserve">Older people </w:t>
      </w:r>
      <w:r w:rsidRPr="009509E9">
        <w:rPr>
          <w:sz w:val="24"/>
          <w:szCs w:val="24"/>
          <w:shd w:val="clear" w:color="auto" w:fill="FFFFFF"/>
        </w:rPr>
        <w:t xml:space="preserve">worked hard to remain socially engaged, contributed to society’s efforts to get through the pandemic, and </w:t>
      </w:r>
      <w:r w:rsidRPr="009509E9">
        <w:rPr>
          <w:rFonts w:eastAsia="Times New Roman"/>
          <w:sz w:val="24"/>
          <w:szCs w:val="24"/>
          <w:lang w:eastAsia="en-NZ"/>
        </w:rPr>
        <w:t xml:space="preserve">defied ageist stereotypes that portray them as fragile, </w:t>
      </w:r>
      <w:proofErr w:type="gramStart"/>
      <w:r w:rsidRPr="009509E9">
        <w:rPr>
          <w:rFonts w:eastAsia="Times New Roman"/>
          <w:sz w:val="24"/>
          <w:szCs w:val="24"/>
          <w:lang w:eastAsia="en-NZ"/>
        </w:rPr>
        <w:t>vulnerable</w:t>
      </w:r>
      <w:proofErr w:type="gramEnd"/>
      <w:r w:rsidRPr="009509E9">
        <w:rPr>
          <w:rFonts w:eastAsia="Times New Roman"/>
          <w:sz w:val="24"/>
          <w:szCs w:val="24"/>
          <w:lang w:eastAsia="en-NZ"/>
        </w:rPr>
        <w:t xml:space="preserve"> and weak.</w:t>
      </w:r>
    </w:p>
    <w:p w14:paraId="039A510B" w14:textId="5D494F57" w:rsidR="007366EA" w:rsidRPr="009509E9" w:rsidRDefault="00EF22DE" w:rsidP="007366EA">
      <w:pPr>
        <w:rPr>
          <w:sz w:val="24"/>
          <w:szCs w:val="24"/>
        </w:rPr>
      </w:pPr>
      <w:r w:rsidRPr="009509E9">
        <w:rPr>
          <w:sz w:val="24"/>
          <w:szCs w:val="24"/>
        </w:rPr>
        <w:t xml:space="preserve">Older people in Pacific, Chinese and Korean communities had frontline and leadership roles in the pandemic response. </w:t>
      </w:r>
      <w:r w:rsidR="007366EA" w:rsidRPr="009509E9">
        <w:rPr>
          <w:sz w:val="24"/>
          <w:szCs w:val="24"/>
        </w:rPr>
        <w:t xml:space="preserve">Older people developed their own solutions and strategies, with many experiencing fewer disruptions and economic impacts from the pandemic than other age groups. Indeed, many older people reported enjoying the initial lockdown time. </w:t>
      </w:r>
    </w:p>
    <w:p w14:paraId="5223C173" w14:textId="0962A4D5" w:rsidR="007366EA" w:rsidRPr="009509E9" w:rsidRDefault="007366EA" w:rsidP="007366EA">
      <w:pPr>
        <w:rPr>
          <w:rStyle w:val="eop"/>
          <w:rFonts w:cstheme="minorHAnsi"/>
          <w:sz w:val="24"/>
          <w:szCs w:val="24"/>
        </w:rPr>
      </w:pPr>
      <w:r w:rsidRPr="009509E9">
        <w:rPr>
          <w:rStyle w:val="eop"/>
          <w:rFonts w:cstheme="minorHAnsi"/>
          <w:sz w:val="24"/>
          <w:szCs w:val="24"/>
        </w:rPr>
        <w:t xml:space="preserve">Most older </w:t>
      </w:r>
      <w:proofErr w:type="gramStart"/>
      <w:r w:rsidRPr="009509E9">
        <w:rPr>
          <w:rStyle w:val="eop"/>
          <w:rFonts w:cstheme="minorHAnsi"/>
          <w:sz w:val="24"/>
          <w:szCs w:val="24"/>
        </w:rPr>
        <w:t>people are</w:t>
      </w:r>
      <w:proofErr w:type="gramEnd"/>
      <w:r w:rsidRPr="009509E9">
        <w:rPr>
          <w:rStyle w:val="eop"/>
          <w:rFonts w:cstheme="minorHAnsi"/>
          <w:sz w:val="24"/>
          <w:szCs w:val="24"/>
        </w:rPr>
        <w:t xml:space="preserve"> successfully keeping in touch with family and friends through a range of means. Older people expressed a sense of connection and belonging through </w:t>
      </w:r>
      <w:proofErr w:type="spellStart"/>
      <w:r w:rsidRPr="009509E9">
        <w:rPr>
          <w:rStyle w:val="eop"/>
          <w:rFonts w:cstheme="minorHAnsi"/>
          <w:sz w:val="24"/>
          <w:szCs w:val="24"/>
        </w:rPr>
        <w:t>neighbourhood</w:t>
      </w:r>
      <w:proofErr w:type="spellEnd"/>
      <w:r w:rsidRPr="009509E9">
        <w:rPr>
          <w:rStyle w:val="eop"/>
          <w:rFonts w:cstheme="minorHAnsi"/>
          <w:sz w:val="24"/>
          <w:szCs w:val="24"/>
        </w:rPr>
        <w:t xml:space="preserve"> interactions and support from specific community groups, including</w:t>
      </w:r>
      <w:r w:rsidRPr="009509E9">
        <w:rPr>
          <w:sz w:val="24"/>
          <w:szCs w:val="24"/>
        </w:rPr>
        <w:t xml:space="preserve"> Pacific and Asian church groups.</w:t>
      </w:r>
      <w:r w:rsidRPr="009509E9">
        <w:rPr>
          <w:rStyle w:val="eop"/>
          <w:rFonts w:cstheme="minorHAnsi"/>
          <w:sz w:val="24"/>
          <w:szCs w:val="24"/>
        </w:rPr>
        <w:t xml:space="preserve"> </w:t>
      </w:r>
    </w:p>
    <w:p w14:paraId="65BF5A29" w14:textId="4621DBD9" w:rsidR="00441568" w:rsidRPr="009509E9" w:rsidRDefault="00057204" w:rsidP="00825770">
      <w:pPr>
        <w:rPr>
          <w:rStyle w:val="normaltextrun"/>
          <w:b/>
          <w:bCs/>
          <w:sz w:val="24"/>
          <w:szCs w:val="24"/>
        </w:rPr>
      </w:pPr>
      <w:r w:rsidRPr="009509E9">
        <w:rPr>
          <w:rStyle w:val="eop"/>
          <w:rFonts w:cstheme="minorHAnsi"/>
          <w:b/>
          <w:bCs/>
          <w:noProof/>
          <w:sz w:val="24"/>
          <w:szCs w:val="24"/>
        </w:rPr>
        <mc:AlternateContent>
          <mc:Choice Requires="wps">
            <w:drawing>
              <wp:anchor distT="45720" distB="45720" distL="114300" distR="114300" simplePos="0" relativeHeight="251658244" behindDoc="1" locked="0" layoutInCell="1" allowOverlap="1" wp14:anchorId="71BB64A6" wp14:editId="5F7989DC">
                <wp:simplePos x="0" y="0"/>
                <wp:positionH relativeFrom="page">
                  <wp:posOffset>139738</wp:posOffset>
                </wp:positionH>
                <wp:positionV relativeFrom="paragraph">
                  <wp:posOffset>168051</wp:posOffset>
                </wp:positionV>
                <wp:extent cx="1583690" cy="1404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404620"/>
                        </a:xfrm>
                        <a:prstGeom prst="rect">
                          <a:avLst/>
                        </a:prstGeom>
                        <a:solidFill>
                          <a:srgbClr val="FFFFFF"/>
                        </a:solidFill>
                        <a:ln w="9525">
                          <a:noFill/>
                          <a:miter lim="800000"/>
                          <a:headEnd/>
                          <a:tailEnd/>
                        </a:ln>
                      </wps:spPr>
                      <wps:txbx>
                        <w:txbxContent>
                          <w:p w14:paraId="58CB105A" w14:textId="59EE8C36" w:rsidR="00F24811" w:rsidRPr="00057204" w:rsidRDefault="00F24811" w:rsidP="00057204">
                            <w:pPr>
                              <w:spacing w:line="276" w:lineRule="auto"/>
                              <w:rPr>
                                <w:color w:val="005E85" w:themeColor="accent1"/>
                                <w:sz w:val="24"/>
                                <w:szCs w:val="24"/>
                              </w:rPr>
                            </w:pPr>
                            <w:r w:rsidRPr="00057204">
                              <w:rPr>
                                <w:color w:val="005E85" w:themeColor="accent1"/>
                                <w:sz w:val="24"/>
                                <w:szCs w:val="24"/>
                              </w:rPr>
                              <w:t>“I notice older people a lot more now, and I check consciously that they are okay, or if they need help. They are on my radar a lot more than before because I feel that their age has made them more vulnerable than most to COVID.” (</w:t>
                            </w:r>
                            <w:r w:rsidR="00714F42" w:rsidRPr="00057204">
                              <w:rPr>
                                <w:color w:val="005E85" w:themeColor="accent1"/>
                                <w:sz w:val="24"/>
                                <w:szCs w:val="24"/>
                              </w:rPr>
                              <w:t>S</w:t>
                            </w:r>
                            <w:r w:rsidR="00E72A98" w:rsidRPr="00057204">
                              <w:rPr>
                                <w:color w:val="005E85" w:themeColor="accent1"/>
                                <w:sz w:val="24"/>
                                <w:szCs w:val="24"/>
                              </w:rPr>
                              <w:t xml:space="preserve">urvey </w:t>
                            </w:r>
                            <w:r w:rsidRPr="00057204">
                              <w:rPr>
                                <w:color w:val="005E85" w:themeColor="accent1"/>
                                <w:sz w:val="24"/>
                                <w:szCs w:val="24"/>
                              </w:rPr>
                              <w:t>respondent,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B64A6" id="Text Box 6" o:spid="_x0000_s1031" type="#_x0000_t202" style="position:absolute;margin-left:11pt;margin-top:13.25pt;width:124.7pt;height:110.6pt;z-index:-2516582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DSEg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jFcuVm+XawpJik3n+Xw5S23JRPF03KEPHxV0LE5KjtTVJC9O9z7EdETxtCXe5sHoeq+NSQs8&#10;VDuD7CTIAfv0pQpebDOW9SVfL2aLpGwhnk/m6HQghxrdlXyVx2/0TMTxwdZpSxDajHPKxNgzn4hk&#10;hBOGamC6Lvkino24KqgfCRjCaEh6QDRpAX9z1pMZS+5/HQUqzswnS9DX0/k8ujct5ot3RIjhdaS6&#10;jggrSarkgbNxugvJ8QmHu6Xm7HXC9pzJOWUyWaJ5fhDRxdfrtOv52W7/AAAA//8DAFBLAwQUAAYA&#10;CAAAACEARQ70VN8AAAAJAQAADwAAAGRycy9kb3ducmV2LnhtbEyPwU7DMBBE70j8g7VI3KjTqG2q&#10;NE5VUXHhgERBgqMbO3GEvbZsNw1/z3KC0+5qRrNvmv3sLJt0TKNHActFAUxj59WIg4D3t6eHLbCU&#10;JSppPWoB3zrBvr29aWSt/BVf9XTKA6MQTLUUYHIONeepM9rJtPBBI2m9j05mOuPAVZRXCneWl0Wx&#10;4U6OSB+MDPrR6O7rdHECPpwZ1TG+fPbKTsfn/rAOcwxC3N/Nhx2wrOf8Z4ZffEKHlpjO/oIqMSug&#10;LKlKprlZAyO9rJYrYGdaVlUFvG34/wbtDwAAAP//AwBQSwECLQAUAAYACAAAACEAtoM4kv4AAADh&#10;AQAAEwAAAAAAAAAAAAAAAAAAAAAAW0NvbnRlbnRfVHlwZXNdLnhtbFBLAQItABQABgAIAAAAIQA4&#10;/SH/1gAAAJQBAAALAAAAAAAAAAAAAAAAAC8BAABfcmVscy8ucmVsc1BLAQItABQABgAIAAAAIQCp&#10;CrDSEgIAAP4DAAAOAAAAAAAAAAAAAAAAAC4CAABkcnMvZTJvRG9jLnhtbFBLAQItABQABgAIAAAA&#10;IQBFDvRU3wAAAAkBAAAPAAAAAAAAAAAAAAAAAGwEAABkcnMvZG93bnJldi54bWxQSwUGAAAAAAQA&#10;BADzAAAAeAUAAAAA&#10;" stroked="f">
                <v:textbox style="mso-fit-shape-to-text:t">
                  <w:txbxContent>
                    <w:p w14:paraId="58CB105A" w14:textId="59EE8C36" w:rsidR="00F24811" w:rsidRPr="00057204" w:rsidRDefault="00F24811" w:rsidP="00057204">
                      <w:pPr>
                        <w:spacing w:line="276" w:lineRule="auto"/>
                        <w:rPr>
                          <w:color w:val="005E85" w:themeColor="accent1"/>
                          <w:sz w:val="24"/>
                          <w:szCs w:val="24"/>
                        </w:rPr>
                      </w:pPr>
                      <w:r w:rsidRPr="00057204">
                        <w:rPr>
                          <w:color w:val="005E85" w:themeColor="accent1"/>
                          <w:sz w:val="24"/>
                          <w:szCs w:val="24"/>
                        </w:rPr>
                        <w:t>“I notice older people a lot more now, and I check consciously that they are okay, or if they need help. They are on my radar a lot more than before because I feel that their age has made them more vulnerable than most to COVID.” (</w:t>
                      </w:r>
                      <w:r w:rsidR="00714F42" w:rsidRPr="00057204">
                        <w:rPr>
                          <w:color w:val="005E85" w:themeColor="accent1"/>
                          <w:sz w:val="24"/>
                          <w:szCs w:val="24"/>
                        </w:rPr>
                        <w:t>S</w:t>
                      </w:r>
                      <w:r w:rsidR="00E72A98" w:rsidRPr="00057204">
                        <w:rPr>
                          <w:color w:val="005E85" w:themeColor="accent1"/>
                          <w:sz w:val="24"/>
                          <w:szCs w:val="24"/>
                        </w:rPr>
                        <w:t xml:space="preserve">urvey </w:t>
                      </w:r>
                      <w:r w:rsidRPr="00057204">
                        <w:rPr>
                          <w:color w:val="005E85" w:themeColor="accent1"/>
                          <w:sz w:val="24"/>
                          <w:szCs w:val="24"/>
                        </w:rPr>
                        <w:t>respondent, 2021)</w:t>
                      </w:r>
                    </w:p>
                  </w:txbxContent>
                </v:textbox>
                <w10:wrap anchorx="page"/>
              </v:shape>
            </w:pict>
          </mc:Fallback>
        </mc:AlternateContent>
      </w:r>
      <w:r w:rsidR="007366EA" w:rsidRPr="009509E9">
        <w:rPr>
          <w:b/>
          <w:sz w:val="24"/>
          <w:szCs w:val="24"/>
          <w:lang w:eastAsia="en-NZ"/>
        </w:rPr>
        <w:t xml:space="preserve">But </w:t>
      </w:r>
      <w:r w:rsidR="007366EA" w:rsidRPr="009509E9">
        <w:rPr>
          <w:b/>
          <w:bCs/>
          <w:sz w:val="24"/>
          <w:szCs w:val="24"/>
          <w:lang w:eastAsia="en-NZ"/>
        </w:rPr>
        <w:t>t</w:t>
      </w:r>
      <w:r w:rsidR="00441568" w:rsidRPr="009509E9">
        <w:rPr>
          <w:rStyle w:val="normaltextrun"/>
          <w:b/>
          <w:bCs/>
          <w:sz w:val="24"/>
          <w:szCs w:val="24"/>
        </w:rPr>
        <w:t xml:space="preserve">hose who had struggled before COVID-19 reached Aotearoa continued to struggle, and for some the struggle worsened. </w:t>
      </w:r>
    </w:p>
    <w:p w14:paraId="1A9A36B8" w14:textId="7CC7A75E" w:rsidR="003A5E0C" w:rsidRPr="009509E9" w:rsidRDefault="003A5E0C" w:rsidP="003A5E0C">
      <w:pPr>
        <w:rPr>
          <w:rStyle w:val="normaltextrun"/>
          <w:color w:val="000000"/>
          <w:sz w:val="24"/>
          <w:szCs w:val="24"/>
        </w:rPr>
      </w:pPr>
      <w:r w:rsidRPr="009509E9">
        <w:rPr>
          <w:sz w:val="24"/>
          <w:szCs w:val="24"/>
        </w:rPr>
        <w:t xml:space="preserve">Residents in aged residential care, for example, struggled with social isolation and loneliness, with visiting restrictions and the lack of contact with family. Older people living with material hardship had increased anxiety and depression. </w:t>
      </w:r>
    </w:p>
    <w:p w14:paraId="3ED83680" w14:textId="0F353DD4" w:rsidR="001E61A0" w:rsidRPr="009509E9" w:rsidRDefault="00441568" w:rsidP="00825770">
      <w:pPr>
        <w:rPr>
          <w:sz w:val="24"/>
          <w:szCs w:val="24"/>
        </w:rPr>
      </w:pPr>
      <w:r w:rsidRPr="009509E9">
        <w:rPr>
          <w:sz w:val="24"/>
          <w:szCs w:val="24"/>
        </w:rPr>
        <w:t xml:space="preserve">The impact of COVID-19 exacerbated existing inequities such as socioeconomic hardship in communities who were already struggling, including Māori and Pacific communities. </w:t>
      </w:r>
    </w:p>
    <w:p w14:paraId="78F2CFAD" w14:textId="241148C8" w:rsidR="00441568" w:rsidRPr="009509E9" w:rsidRDefault="00441568" w:rsidP="00825770">
      <w:pPr>
        <w:rPr>
          <w:sz w:val="24"/>
          <w:szCs w:val="24"/>
        </w:rPr>
      </w:pPr>
      <w:r w:rsidRPr="009509E9">
        <w:rPr>
          <w:sz w:val="24"/>
          <w:szCs w:val="24"/>
        </w:rPr>
        <w:t xml:space="preserve">A range of challenges were faced by older people to have what is needed, including accessing food and necessities, and support and health services. Home-based care services were disrupted during the lockdowns, exacerbating an already stretched system and placing a great deal of stress on older people. </w:t>
      </w:r>
    </w:p>
    <w:p w14:paraId="1616188F" w14:textId="7EA99171" w:rsidR="00441568" w:rsidRPr="009509E9" w:rsidRDefault="00441568" w:rsidP="00825770">
      <w:pPr>
        <w:rPr>
          <w:rStyle w:val="normaltextrun"/>
          <w:rFonts w:cstheme="minorHAnsi"/>
          <w:sz w:val="24"/>
          <w:szCs w:val="24"/>
        </w:rPr>
      </w:pPr>
      <w:r w:rsidRPr="009509E9">
        <w:rPr>
          <w:sz w:val="24"/>
          <w:szCs w:val="24"/>
        </w:rPr>
        <w:t xml:space="preserve">The support available to older people varied hugely, with community groups, family, </w:t>
      </w:r>
      <w:proofErr w:type="gramStart"/>
      <w:r w:rsidRPr="009509E9">
        <w:rPr>
          <w:sz w:val="24"/>
          <w:szCs w:val="24"/>
        </w:rPr>
        <w:t>friends</w:t>
      </w:r>
      <w:proofErr w:type="gramEnd"/>
      <w:r w:rsidRPr="009509E9">
        <w:rPr>
          <w:sz w:val="24"/>
          <w:szCs w:val="24"/>
        </w:rPr>
        <w:t xml:space="preserve"> and </w:t>
      </w:r>
      <w:proofErr w:type="spellStart"/>
      <w:r w:rsidRPr="009509E9">
        <w:rPr>
          <w:sz w:val="24"/>
          <w:szCs w:val="24"/>
        </w:rPr>
        <w:t>neighbours</w:t>
      </w:r>
      <w:proofErr w:type="spellEnd"/>
      <w:r w:rsidRPr="009509E9">
        <w:rPr>
          <w:sz w:val="24"/>
          <w:szCs w:val="24"/>
        </w:rPr>
        <w:t xml:space="preserve"> being important sources of support. Housing challenges that had existed prior to the COVID-19 pandemic continued, with additional pressure experienced as people </w:t>
      </w:r>
      <w:proofErr w:type="gramStart"/>
      <w:r w:rsidRPr="009509E9">
        <w:rPr>
          <w:sz w:val="24"/>
          <w:szCs w:val="24"/>
        </w:rPr>
        <w:t>entered into</w:t>
      </w:r>
      <w:proofErr w:type="gramEnd"/>
      <w:r w:rsidRPr="009509E9">
        <w:rPr>
          <w:sz w:val="24"/>
          <w:szCs w:val="24"/>
        </w:rPr>
        <w:t xml:space="preserve"> housing ‘bubbles’ through necessity and beyond their choice and control.  </w:t>
      </w:r>
    </w:p>
    <w:p w14:paraId="68B8F166" w14:textId="0926FD94" w:rsidR="00441568" w:rsidRPr="009509E9" w:rsidRDefault="00441568" w:rsidP="00825770">
      <w:pPr>
        <w:rPr>
          <w:rStyle w:val="normaltextrun"/>
          <w:rFonts w:cstheme="minorHAnsi"/>
          <w:sz w:val="24"/>
          <w:szCs w:val="24"/>
        </w:rPr>
      </w:pPr>
      <w:r w:rsidRPr="009509E9">
        <w:rPr>
          <w:rStyle w:val="normaltextrun"/>
          <w:rFonts w:cstheme="minorHAnsi"/>
          <w:sz w:val="24"/>
          <w:szCs w:val="24"/>
        </w:rPr>
        <w:lastRenderedPageBreak/>
        <w:t xml:space="preserve">Discrimination increased over the course of the pandemic, which impacted on older people, particularly members of </w:t>
      </w:r>
      <w:r w:rsidRPr="009509E9">
        <w:rPr>
          <w:sz w:val="24"/>
          <w:szCs w:val="24"/>
        </w:rPr>
        <w:t xml:space="preserve">Māori, Pacific, Asian and other ethnic communities. </w:t>
      </w:r>
      <w:r w:rsidRPr="009509E9">
        <w:rPr>
          <w:rStyle w:val="normaltextrun"/>
          <w:rFonts w:cstheme="minorHAnsi"/>
          <w:sz w:val="24"/>
          <w:szCs w:val="24"/>
        </w:rPr>
        <w:t xml:space="preserve">Asian migrants in particular experienced discrimination directly related to COVID-19 and social exclusion. </w:t>
      </w:r>
    </w:p>
    <w:p w14:paraId="18AE4885" w14:textId="3B21E993" w:rsidR="0016160B" w:rsidRPr="009509E9" w:rsidRDefault="00057204" w:rsidP="003B7BC3">
      <w:pPr>
        <w:rPr>
          <w:sz w:val="24"/>
          <w:szCs w:val="24"/>
        </w:rPr>
      </w:pPr>
      <w:r w:rsidRPr="009509E9">
        <w:rPr>
          <w:rStyle w:val="eop"/>
          <w:rFonts w:cstheme="minorHAnsi"/>
          <w:b/>
          <w:bCs/>
          <w:noProof/>
          <w:sz w:val="24"/>
          <w:szCs w:val="24"/>
        </w:rPr>
        <mc:AlternateContent>
          <mc:Choice Requires="wps">
            <w:drawing>
              <wp:anchor distT="45720" distB="45720" distL="114300" distR="114300" simplePos="0" relativeHeight="251658247" behindDoc="1" locked="0" layoutInCell="1" allowOverlap="1" wp14:anchorId="507B8C45" wp14:editId="156FA563">
                <wp:simplePos x="0" y="0"/>
                <wp:positionH relativeFrom="page">
                  <wp:posOffset>187960</wp:posOffset>
                </wp:positionH>
                <wp:positionV relativeFrom="paragraph">
                  <wp:posOffset>292174</wp:posOffset>
                </wp:positionV>
                <wp:extent cx="1584000" cy="1404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1404620"/>
                        </a:xfrm>
                        <a:prstGeom prst="rect">
                          <a:avLst/>
                        </a:prstGeom>
                        <a:solidFill>
                          <a:srgbClr val="FFFFFF"/>
                        </a:solidFill>
                        <a:ln w="9525">
                          <a:noFill/>
                          <a:miter lim="800000"/>
                          <a:headEnd/>
                          <a:tailEnd/>
                        </a:ln>
                      </wps:spPr>
                      <wps:txbx>
                        <w:txbxContent>
                          <w:p w14:paraId="3DF611C7" w14:textId="455C0130" w:rsidR="0057624D" w:rsidRPr="00057204" w:rsidRDefault="0057624D" w:rsidP="00057204">
                            <w:pPr>
                              <w:spacing w:line="276" w:lineRule="auto"/>
                              <w:rPr>
                                <w:color w:val="005E85" w:themeColor="accent1"/>
                                <w:sz w:val="24"/>
                                <w:szCs w:val="24"/>
                              </w:rPr>
                            </w:pPr>
                            <w:r w:rsidRPr="00057204">
                              <w:rPr>
                                <w:color w:val="005E85" w:themeColor="accent1"/>
                                <w:sz w:val="24"/>
                                <w:szCs w:val="24"/>
                              </w:rPr>
                              <w:t>“When asked themselves who they viewed as vulnerable due to the pandemic, older people offered a decisively intersectional understanding. Interwoven with age and ethnicity, participants felt that situational factors such as economic deprivation and social isolation exacerbated vulnerability in the COVID-19 context.” (Morgan et al., 2022, p.11)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B8C45" id="Text Box 8" o:spid="_x0000_s1032" type="#_x0000_t202" style="position:absolute;margin-left:14.8pt;margin-top:23pt;width:124.7pt;height:110.6pt;z-index:-25165823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L6EQIAAP4DAAAOAAAAZHJzL2Uyb0RvYy54bWysU8GO0zAQvSPxD5bvNGmVlm7UdLV0KUJa&#10;FqSFD3Acp7FwPGbsNilfz9jtdqvlhsjBmsnYz2/ePK9ux96wg0KvwVZ8Osk5U1ZCo+2u4j++b98t&#10;OfNB2EYYsKriR+X57frtm9XgSjWDDkyjkBGI9eXgKt6F4Mos87JTvfATcMpSsQXsRaAUd1mDYiD0&#10;3mSzPF9kA2DjEKTynv7en4p8nfDbVsnwtW29CsxUnLiFtGJa67hm65Uodyhcp+WZhvgHFr3Qli69&#10;QN2LINge9V9QvZYIHtowkdBn0LZaqtQDdTPNX3Xz1AmnUi8kjncXmfz/g5WPhyf3DVkYP8BIA0xN&#10;ePcA8qdnFjadsDt1hwhDp0RDF0+jZNngfHk+GqX2pY8g9fAFGhqy2AdIQGOLfVSF+mSETgM4XkRX&#10;Y2AyXjlfFnlOJUm1aZEXi1kaSybK5+MOffikoGcxqDjSVBO8ODz4EOmI8nlLvM2D0c1WG5MS3NUb&#10;g+wgyAHb9KUOXm0zlg0Vv5nP5gnZQjyfzNHrQA41uq/4kngS0/Q7yvHRNikOQptTTEyMPesTJTmJ&#10;E8Z6ZLqp+CKejXLV0BxJMISTIekBUdAB/uZsIDNW3P/aC1Scmc+WRL+ZFkV0b0qK+XtSiOF1pb6u&#10;CCsJquKBs1O4CcnxSQ53R8PZ6iTbC5MzZTJZUvP8IKKLr/O06+XZrv8AAAD//wMAUEsDBBQABgAI&#10;AAAAIQDGTDcD3QAAAAkBAAAPAAAAZHJzL2Rvd25yZXYueG1sTI/NTsMwEITvSLyDtUjcqEMEKU3j&#10;VBUVFw5IFCR6dONNHOE/2W4a3p7lRG+zmtHsN81mtoZNGNPonYD7RQEMXefV6AYBnx8vd0/AUpZO&#10;SeMdCvjBBJv2+qqRtfJn947TPg+MSlyqpQCdc6g5T51GK9PCB3Tk9T5amemMA1dRnqncGl4WRcWt&#10;HB190DLgs8bue3+yAr6sHtUuvh16Zabda799DHMMQtzezNs1sIxz/g/DHz6hQ0tMR39yKjEjoFxV&#10;lBTwUNEk8svlisSRRLUsgbcNv1zQ/gIAAP//AwBQSwECLQAUAAYACAAAACEAtoM4kv4AAADhAQAA&#10;EwAAAAAAAAAAAAAAAAAAAAAAW0NvbnRlbnRfVHlwZXNdLnhtbFBLAQItABQABgAIAAAAIQA4/SH/&#10;1gAAAJQBAAALAAAAAAAAAAAAAAAAAC8BAABfcmVscy8ucmVsc1BLAQItABQABgAIAAAAIQBEsLL6&#10;EQIAAP4DAAAOAAAAAAAAAAAAAAAAAC4CAABkcnMvZTJvRG9jLnhtbFBLAQItABQABgAIAAAAIQDG&#10;TDcD3QAAAAkBAAAPAAAAAAAAAAAAAAAAAGsEAABkcnMvZG93bnJldi54bWxQSwUGAAAAAAQABADz&#10;AAAAdQUAAAAA&#10;" stroked="f">
                <v:textbox style="mso-fit-shape-to-text:t">
                  <w:txbxContent>
                    <w:p w14:paraId="3DF611C7" w14:textId="455C0130" w:rsidR="0057624D" w:rsidRPr="00057204" w:rsidRDefault="0057624D" w:rsidP="00057204">
                      <w:pPr>
                        <w:spacing w:line="276" w:lineRule="auto"/>
                        <w:rPr>
                          <w:color w:val="005E85" w:themeColor="accent1"/>
                          <w:sz w:val="24"/>
                          <w:szCs w:val="24"/>
                        </w:rPr>
                      </w:pPr>
                      <w:r w:rsidRPr="00057204">
                        <w:rPr>
                          <w:color w:val="005E85" w:themeColor="accent1"/>
                          <w:sz w:val="24"/>
                          <w:szCs w:val="24"/>
                        </w:rPr>
                        <w:t>“When asked themselves who they viewed as vulnerable due to the pandemic, older people offered a decisively intersectional understanding. Interwoven with age and ethnicity, participants felt that situational factors such as economic deprivation and social isolation exacerbated vulnerability in the COVID-19 context.” (Morgan et al., 2022, p.11)</w:t>
                      </w:r>
                    </w:p>
                  </w:txbxContent>
                </v:textbox>
                <w10:wrap anchorx="page"/>
              </v:shape>
            </w:pict>
          </mc:Fallback>
        </mc:AlternateContent>
      </w:r>
      <w:r w:rsidR="00441568" w:rsidRPr="009509E9">
        <w:rPr>
          <w:sz w:val="24"/>
          <w:szCs w:val="24"/>
        </w:rPr>
        <w:t>The pandemic has increased ageism, with older people being largely framed in public discourse and the media as vulnerable, less adaptable and a burden on the rest of society. While older people appreciate the protective Government response, the framing as vulnerable and at risk has been a source of frustration for many</w:t>
      </w:r>
      <w:r w:rsidR="00861F83" w:rsidRPr="009509E9">
        <w:rPr>
          <w:rStyle w:val="eop"/>
          <w:rFonts w:cstheme="minorHAnsi"/>
          <w:b/>
          <w:bCs/>
          <w:noProof/>
          <w:sz w:val="24"/>
          <w:szCs w:val="24"/>
        </w:rPr>
        <w:t>, and</w:t>
      </w:r>
      <w:r w:rsidR="00441568" w:rsidRPr="009509E9">
        <w:rPr>
          <w:rStyle w:val="eop"/>
          <w:rFonts w:cstheme="minorHAnsi"/>
          <w:b/>
          <w:sz w:val="24"/>
          <w:szCs w:val="24"/>
        </w:rPr>
        <w:t xml:space="preserve"> </w:t>
      </w:r>
      <w:r w:rsidR="00441568" w:rsidRPr="009509E9">
        <w:rPr>
          <w:rStyle w:val="normaltextrun"/>
          <w:sz w:val="24"/>
          <w:szCs w:val="24"/>
        </w:rPr>
        <w:t xml:space="preserve">ageism often intersects with </w:t>
      </w:r>
      <w:r w:rsidR="00441568" w:rsidRPr="009509E9">
        <w:rPr>
          <w:rFonts w:eastAsia="Calibri" w:cs="Calibri"/>
          <w:sz w:val="24"/>
          <w:szCs w:val="24"/>
        </w:rPr>
        <w:t xml:space="preserve">other forms of stereotypes and prejudice, such as sexism, </w:t>
      </w:r>
      <w:proofErr w:type="gramStart"/>
      <w:r w:rsidR="00441568" w:rsidRPr="009509E9">
        <w:rPr>
          <w:rFonts w:eastAsia="Calibri" w:cs="Calibri"/>
          <w:sz w:val="24"/>
          <w:szCs w:val="24"/>
        </w:rPr>
        <w:t>racism</w:t>
      </w:r>
      <w:proofErr w:type="gramEnd"/>
      <w:r w:rsidR="00441568" w:rsidRPr="009509E9">
        <w:rPr>
          <w:rFonts w:eastAsia="Calibri" w:cs="Calibri"/>
          <w:sz w:val="24"/>
          <w:szCs w:val="24"/>
        </w:rPr>
        <w:t xml:space="preserve"> and ableism</w:t>
      </w:r>
      <w:r w:rsidR="0086295F" w:rsidRPr="009509E9">
        <w:rPr>
          <w:rFonts w:eastAsia="Calibri" w:cs="Calibri"/>
          <w:sz w:val="24"/>
          <w:szCs w:val="24"/>
        </w:rPr>
        <w:t>.</w:t>
      </w:r>
    </w:p>
    <w:p w14:paraId="06FB31A3" w14:textId="52562602" w:rsidR="008E5822" w:rsidRPr="00057204" w:rsidRDefault="00295F28" w:rsidP="00151D16">
      <w:pPr>
        <w:pStyle w:val="Heading1"/>
        <w:spacing w:after="240"/>
        <w:rPr>
          <w:color w:val="005E85" w:themeColor="accent1"/>
          <w:sz w:val="28"/>
          <w:szCs w:val="28"/>
        </w:rPr>
      </w:pPr>
      <w:r w:rsidRPr="00057204">
        <w:rPr>
          <w:color w:val="005E85" w:themeColor="accent1"/>
          <w:sz w:val="28"/>
          <w:szCs w:val="28"/>
        </w:rPr>
        <w:t>What this means</w:t>
      </w:r>
    </w:p>
    <w:p w14:paraId="3F4BB5BD" w14:textId="0CA978AD" w:rsidR="009F5133" w:rsidRPr="009509E9" w:rsidRDefault="009F5133" w:rsidP="009F5133">
      <w:pPr>
        <w:rPr>
          <w:sz w:val="24"/>
          <w:szCs w:val="24"/>
        </w:rPr>
      </w:pPr>
      <w:r w:rsidRPr="009509E9">
        <w:rPr>
          <w:rStyle w:val="eop"/>
          <w:sz w:val="24"/>
          <w:szCs w:val="24"/>
        </w:rPr>
        <w:t xml:space="preserve">The COVID-19 pandemic and </w:t>
      </w:r>
      <w:r w:rsidR="006C364B" w:rsidRPr="009509E9">
        <w:rPr>
          <w:rStyle w:val="eop"/>
          <w:sz w:val="24"/>
          <w:szCs w:val="24"/>
        </w:rPr>
        <w:t>our</w:t>
      </w:r>
      <w:r w:rsidRPr="009509E9">
        <w:rPr>
          <w:rStyle w:val="eop"/>
          <w:sz w:val="24"/>
          <w:szCs w:val="24"/>
        </w:rPr>
        <w:t xml:space="preserve"> response</w:t>
      </w:r>
      <w:r w:rsidR="006C364B" w:rsidRPr="009509E9">
        <w:rPr>
          <w:rStyle w:val="eop"/>
          <w:sz w:val="24"/>
          <w:szCs w:val="24"/>
        </w:rPr>
        <w:t>s to it</w:t>
      </w:r>
      <w:r w:rsidRPr="009509E9">
        <w:rPr>
          <w:rStyle w:val="eop"/>
          <w:sz w:val="24"/>
          <w:szCs w:val="24"/>
        </w:rPr>
        <w:t xml:space="preserve"> ha</w:t>
      </w:r>
      <w:r w:rsidR="006C364B" w:rsidRPr="009509E9">
        <w:rPr>
          <w:rStyle w:val="eop"/>
          <w:sz w:val="24"/>
          <w:szCs w:val="24"/>
        </w:rPr>
        <w:t>ve</w:t>
      </w:r>
      <w:r w:rsidRPr="009509E9">
        <w:rPr>
          <w:rStyle w:val="eop"/>
          <w:sz w:val="24"/>
          <w:szCs w:val="24"/>
        </w:rPr>
        <w:t xml:space="preserve"> shone a light on the lives and experiences of older people, raising their visibility, and bringing about both positive and negative changes in attitude towards ageing and older people. Older people, advocacy groups and stakeholders, supported by evidence, point to the inequities that existed prior to the pandemic and served to make things worse for many older people. They also point to the resilience and agency of older people and the contribution that many made to the wellbeing of older people themselves and the community more broadly. </w:t>
      </w:r>
    </w:p>
    <w:p w14:paraId="5687DBAA" w14:textId="078E9119" w:rsidR="009F5133" w:rsidRPr="009509E9" w:rsidRDefault="009F5133" w:rsidP="009F5133">
      <w:pPr>
        <w:rPr>
          <w:rStyle w:val="eop"/>
          <w:sz w:val="24"/>
          <w:szCs w:val="24"/>
        </w:rPr>
      </w:pPr>
      <w:r w:rsidRPr="009509E9">
        <w:rPr>
          <w:rStyle w:val="eop"/>
          <w:sz w:val="24"/>
          <w:szCs w:val="24"/>
        </w:rPr>
        <w:t xml:space="preserve">The resilience and creativity of older people and communities that support them does not lessen </w:t>
      </w:r>
      <w:r w:rsidR="006048E9" w:rsidRPr="009509E9">
        <w:rPr>
          <w:rStyle w:val="eop"/>
          <w:sz w:val="24"/>
          <w:szCs w:val="24"/>
        </w:rPr>
        <w:t xml:space="preserve">our collective </w:t>
      </w:r>
      <w:proofErr w:type="gramStart"/>
      <w:r w:rsidRPr="009509E9">
        <w:rPr>
          <w:rStyle w:val="eop"/>
          <w:sz w:val="24"/>
          <w:szCs w:val="24"/>
        </w:rPr>
        <w:t>responsibilities has</w:t>
      </w:r>
      <w:proofErr w:type="gramEnd"/>
      <w:r w:rsidRPr="009509E9">
        <w:rPr>
          <w:rStyle w:val="eop"/>
          <w:sz w:val="24"/>
          <w:szCs w:val="24"/>
        </w:rPr>
        <w:t xml:space="preserve"> to protect, </w:t>
      </w:r>
      <w:proofErr w:type="gramStart"/>
      <w:r w:rsidRPr="009509E9">
        <w:rPr>
          <w:rStyle w:val="eop"/>
          <w:sz w:val="24"/>
          <w:szCs w:val="24"/>
        </w:rPr>
        <w:t>respect</w:t>
      </w:r>
      <w:proofErr w:type="gramEnd"/>
      <w:r w:rsidRPr="009509E9">
        <w:rPr>
          <w:rStyle w:val="eop"/>
          <w:sz w:val="24"/>
          <w:szCs w:val="24"/>
        </w:rPr>
        <w:t xml:space="preserve"> and uphold the rights of older people. </w:t>
      </w:r>
      <w:r w:rsidR="003F7214" w:rsidRPr="009509E9">
        <w:rPr>
          <w:rStyle w:val="eop"/>
          <w:sz w:val="24"/>
          <w:szCs w:val="24"/>
        </w:rPr>
        <w:t>T</w:t>
      </w:r>
      <w:r w:rsidRPr="009509E9">
        <w:rPr>
          <w:rStyle w:val="eop"/>
          <w:sz w:val="24"/>
          <w:szCs w:val="24"/>
        </w:rPr>
        <w:t xml:space="preserve">he pandemic experiences give us an opportunity to consider how best to support those rights and reinforce such resilience and creativity.  </w:t>
      </w:r>
    </w:p>
    <w:p w14:paraId="2F9F6433" w14:textId="75A44CC4" w:rsidR="000368E3" w:rsidRPr="009509E9" w:rsidRDefault="004F20F6" w:rsidP="000368E3">
      <w:pPr>
        <w:rPr>
          <w:sz w:val="24"/>
          <w:szCs w:val="24"/>
          <w:lang w:eastAsia="en-NZ"/>
        </w:rPr>
      </w:pPr>
      <w:r w:rsidRPr="009509E9">
        <w:rPr>
          <w:rStyle w:val="eop"/>
          <w:sz w:val="24"/>
          <w:szCs w:val="24"/>
        </w:rPr>
        <w:t xml:space="preserve">The experiences </w:t>
      </w:r>
      <w:proofErr w:type="gramStart"/>
      <w:r w:rsidRPr="009509E9">
        <w:rPr>
          <w:rStyle w:val="eop"/>
          <w:sz w:val="24"/>
          <w:szCs w:val="24"/>
        </w:rPr>
        <w:t>over</w:t>
      </w:r>
      <w:proofErr w:type="gramEnd"/>
      <w:r w:rsidRPr="009509E9">
        <w:rPr>
          <w:rStyle w:val="eop"/>
          <w:sz w:val="24"/>
          <w:szCs w:val="24"/>
        </w:rPr>
        <w:t xml:space="preserve"> the pandemic show us that what is better for older people, is often better for everybody.</w:t>
      </w:r>
      <w:r w:rsidRPr="009509E9">
        <w:rPr>
          <w:rStyle w:val="eop"/>
          <w:b/>
          <w:bCs/>
          <w:sz w:val="24"/>
          <w:szCs w:val="24"/>
        </w:rPr>
        <w:t xml:space="preserve"> </w:t>
      </w:r>
      <w:r w:rsidR="009F5133" w:rsidRPr="009509E9" w:rsidDel="000368E3">
        <w:rPr>
          <w:sz w:val="24"/>
          <w:szCs w:val="24"/>
          <w:lang w:eastAsia="en-NZ"/>
        </w:rPr>
        <w:t xml:space="preserve">In short, we need to listen to older people and draw on their experiences and knowledge to improve not only their wellbeing, but the wellbeing of the wider </w:t>
      </w:r>
      <w:proofErr w:type="gramStart"/>
      <w:r w:rsidR="009F5133" w:rsidRPr="009509E9" w:rsidDel="000368E3">
        <w:rPr>
          <w:sz w:val="24"/>
          <w:szCs w:val="24"/>
          <w:lang w:eastAsia="en-NZ"/>
        </w:rPr>
        <w:t>community as a whole</w:t>
      </w:r>
      <w:proofErr w:type="gramEnd"/>
      <w:r w:rsidR="009F5133" w:rsidRPr="009509E9" w:rsidDel="000368E3">
        <w:rPr>
          <w:sz w:val="24"/>
          <w:szCs w:val="24"/>
          <w:lang w:eastAsia="en-NZ"/>
        </w:rPr>
        <w:t>.</w:t>
      </w:r>
    </w:p>
    <w:p w14:paraId="7AF23D99" w14:textId="54A174CC" w:rsidR="000368E3" w:rsidRPr="009509E9" w:rsidRDefault="000368E3" w:rsidP="00E87819">
      <w:pPr>
        <w:pStyle w:val="ListParagraph"/>
        <w:numPr>
          <w:ilvl w:val="0"/>
          <w:numId w:val="4"/>
        </w:numPr>
        <w:rPr>
          <w:rFonts w:eastAsiaTheme="minorEastAsia"/>
          <w:sz w:val="24"/>
          <w:szCs w:val="24"/>
        </w:rPr>
      </w:pPr>
      <w:r w:rsidRPr="009509E9">
        <w:rPr>
          <w:sz w:val="24"/>
          <w:szCs w:val="24"/>
        </w:rPr>
        <w:t>Future planning</w:t>
      </w:r>
      <w:r w:rsidR="00F10E58" w:rsidRPr="009509E9">
        <w:rPr>
          <w:sz w:val="24"/>
          <w:szCs w:val="24"/>
        </w:rPr>
        <w:t>, for the pandemic</w:t>
      </w:r>
      <w:r w:rsidRPr="009509E9">
        <w:rPr>
          <w:sz w:val="24"/>
          <w:szCs w:val="24"/>
        </w:rPr>
        <w:t xml:space="preserve"> </w:t>
      </w:r>
      <w:r w:rsidR="00F10E58" w:rsidRPr="009509E9">
        <w:rPr>
          <w:sz w:val="24"/>
          <w:szCs w:val="24"/>
        </w:rPr>
        <w:t xml:space="preserve">or any crisis, </w:t>
      </w:r>
      <w:r w:rsidRPr="009509E9">
        <w:rPr>
          <w:sz w:val="24"/>
          <w:szCs w:val="24"/>
        </w:rPr>
        <w:t xml:space="preserve">must ensure Māori can meaningfully participate and direct efforts from the base of their iwi and hapū, guided by tikanga and kawa. Given the role of kaumātua as guardians of tikanga, it is essential that they are involved in consultation and decision-making. </w:t>
      </w:r>
    </w:p>
    <w:p w14:paraId="5A0FA0D5" w14:textId="7F38B95E" w:rsidR="009F7C53" w:rsidRPr="009509E9" w:rsidRDefault="00F10E58" w:rsidP="00E87819">
      <w:pPr>
        <w:pStyle w:val="ListParagraph"/>
        <w:numPr>
          <w:ilvl w:val="0"/>
          <w:numId w:val="4"/>
        </w:numPr>
        <w:rPr>
          <w:rFonts w:eastAsiaTheme="minorEastAsia"/>
          <w:sz w:val="24"/>
          <w:szCs w:val="24"/>
        </w:rPr>
      </w:pPr>
      <w:r w:rsidRPr="009509E9">
        <w:rPr>
          <w:rStyle w:val="eop"/>
          <w:sz w:val="24"/>
          <w:szCs w:val="24"/>
        </w:rPr>
        <w:t>T</w:t>
      </w:r>
      <w:r w:rsidR="009F7C53" w:rsidRPr="009509E9">
        <w:rPr>
          <w:rStyle w:val="eop"/>
          <w:sz w:val="24"/>
          <w:szCs w:val="24"/>
        </w:rPr>
        <w:t xml:space="preserve">he diversity of </w:t>
      </w:r>
      <w:r w:rsidR="0057624D" w:rsidRPr="009509E9">
        <w:rPr>
          <w:rStyle w:val="eop"/>
          <w:sz w:val="24"/>
          <w:szCs w:val="24"/>
        </w:rPr>
        <w:t>older people</w:t>
      </w:r>
      <w:r w:rsidR="009F7C53" w:rsidRPr="009509E9">
        <w:rPr>
          <w:rStyle w:val="eop"/>
          <w:sz w:val="24"/>
          <w:szCs w:val="24"/>
        </w:rPr>
        <w:t xml:space="preserve"> in Aotearoa must be recognised and respected. This includes recogni</w:t>
      </w:r>
      <w:r w:rsidR="00223FCD" w:rsidRPr="009509E9">
        <w:rPr>
          <w:rStyle w:val="eop"/>
          <w:sz w:val="24"/>
          <w:szCs w:val="24"/>
        </w:rPr>
        <w:t>sing</w:t>
      </w:r>
      <w:r w:rsidR="009F7C53" w:rsidRPr="009509E9">
        <w:rPr>
          <w:rStyle w:val="eop"/>
          <w:sz w:val="24"/>
          <w:szCs w:val="24"/>
        </w:rPr>
        <w:t xml:space="preserve"> and consult</w:t>
      </w:r>
      <w:r w:rsidR="00223FCD" w:rsidRPr="009509E9">
        <w:rPr>
          <w:rStyle w:val="eop"/>
          <w:sz w:val="24"/>
          <w:szCs w:val="24"/>
        </w:rPr>
        <w:t>ing</w:t>
      </w:r>
      <w:r w:rsidR="009F7C53" w:rsidRPr="009509E9">
        <w:rPr>
          <w:rStyle w:val="eop"/>
          <w:sz w:val="24"/>
          <w:szCs w:val="24"/>
        </w:rPr>
        <w:t xml:space="preserve"> those groups who have poorer wellbeing </w:t>
      </w:r>
      <w:proofErr w:type="gramStart"/>
      <w:r w:rsidR="009F7C53" w:rsidRPr="009509E9">
        <w:rPr>
          <w:rStyle w:val="eop"/>
          <w:sz w:val="24"/>
          <w:szCs w:val="24"/>
        </w:rPr>
        <w:t>outcomes, and</w:t>
      </w:r>
      <w:proofErr w:type="gramEnd"/>
      <w:r w:rsidR="009F7C53" w:rsidRPr="009509E9">
        <w:rPr>
          <w:rStyle w:val="eop"/>
          <w:sz w:val="24"/>
          <w:szCs w:val="24"/>
        </w:rPr>
        <w:t xml:space="preserve"> inclu</w:t>
      </w:r>
      <w:r w:rsidR="00024384" w:rsidRPr="009509E9">
        <w:rPr>
          <w:rStyle w:val="eop"/>
          <w:sz w:val="24"/>
          <w:szCs w:val="24"/>
        </w:rPr>
        <w:t>ding</w:t>
      </w:r>
      <w:r w:rsidR="009F7C53" w:rsidRPr="009509E9">
        <w:rPr>
          <w:rStyle w:val="eop"/>
          <w:sz w:val="24"/>
          <w:szCs w:val="24"/>
        </w:rPr>
        <w:t xml:space="preserve"> their </w:t>
      </w:r>
      <w:r w:rsidR="009F7C53" w:rsidRPr="009509E9">
        <w:rPr>
          <w:sz w:val="24"/>
          <w:szCs w:val="24"/>
        </w:rPr>
        <w:t xml:space="preserve">community leaders and members in planning and decision-making. It also means looking at </w:t>
      </w:r>
      <w:r w:rsidR="009F7C53" w:rsidRPr="009509E9">
        <w:rPr>
          <w:sz w:val="24"/>
          <w:szCs w:val="24"/>
        </w:rPr>
        <w:lastRenderedPageBreak/>
        <w:t xml:space="preserve">the unique challenges experienced by older people in different </w:t>
      </w:r>
      <w:proofErr w:type="gramStart"/>
      <w:r w:rsidR="009F7C53" w:rsidRPr="009509E9">
        <w:rPr>
          <w:sz w:val="24"/>
          <w:szCs w:val="24"/>
        </w:rPr>
        <w:t xml:space="preserve">situations, </w:t>
      </w:r>
      <w:r w:rsidR="00AC7927" w:rsidRPr="009509E9">
        <w:rPr>
          <w:sz w:val="24"/>
          <w:szCs w:val="24"/>
        </w:rPr>
        <w:t>and</w:t>
      </w:r>
      <w:proofErr w:type="gramEnd"/>
      <w:r w:rsidR="00AC7927" w:rsidRPr="009509E9">
        <w:rPr>
          <w:sz w:val="24"/>
          <w:szCs w:val="24"/>
        </w:rPr>
        <w:t xml:space="preserve"> considering</w:t>
      </w:r>
      <w:r w:rsidR="009F7C53" w:rsidRPr="009509E9">
        <w:rPr>
          <w:sz w:val="24"/>
          <w:szCs w:val="24"/>
        </w:rPr>
        <w:t xml:space="preserve"> th</w:t>
      </w:r>
      <w:r w:rsidR="009F7C53" w:rsidRPr="009509E9">
        <w:rPr>
          <w:sz w:val="24"/>
          <w:szCs w:val="24"/>
          <w:lang w:eastAsia="en-NZ"/>
        </w:rPr>
        <w:t xml:space="preserve">e </w:t>
      </w:r>
      <w:r w:rsidR="00AC7927" w:rsidRPr="009509E9">
        <w:rPr>
          <w:sz w:val="24"/>
          <w:szCs w:val="24"/>
          <w:lang w:eastAsia="en-NZ"/>
        </w:rPr>
        <w:t>broader context of older people’s lives</w:t>
      </w:r>
      <w:r w:rsidR="009F7C53" w:rsidRPr="009509E9">
        <w:rPr>
          <w:sz w:val="24"/>
          <w:szCs w:val="24"/>
        </w:rPr>
        <w:t xml:space="preserve">. </w:t>
      </w:r>
    </w:p>
    <w:p w14:paraId="2C95C64E" w14:textId="518EA74D" w:rsidR="000368E3" w:rsidRPr="009509E9" w:rsidRDefault="00057204" w:rsidP="00E87819">
      <w:pPr>
        <w:pStyle w:val="ListParagraph"/>
        <w:numPr>
          <w:ilvl w:val="0"/>
          <w:numId w:val="4"/>
        </w:numPr>
        <w:rPr>
          <w:rFonts w:cstheme="minorEastAsia"/>
          <w:sz w:val="24"/>
          <w:szCs w:val="24"/>
        </w:rPr>
      </w:pPr>
      <w:r w:rsidRPr="009509E9">
        <w:rPr>
          <w:rStyle w:val="eop"/>
          <w:rFonts w:cstheme="minorHAnsi"/>
          <w:b/>
          <w:bCs/>
          <w:noProof/>
          <w:sz w:val="24"/>
          <w:szCs w:val="24"/>
        </w:rPr>
        <mc:AlternateContent>
          <mc:Choice Requires="wps">
            <w:drawing>
              <wp:anchor distT="45720" distB="45720" distL="114300" distR="114300" simplePos="0" relativeHeight="251658248" behindDoc="1" locked="0" layoutInCell="1" allowOverlap="1" wp14:anchorId="4E85780A" wp14:editId="3C05B89A">
                <wp:simplePos x="0" y="0"/>
                <wp:positionH relativeFrom="page">
                  <wp:posOffset>270473</wp:posOffset>
                </wp:positionH>
                <wp:positionV relativeFrom="paragraph">
                  <wp:posOffset>412489</wp:posOffset>
                </wp:positionV>
                <wp:extent cx="1572532" cy="1404620"/>
                <wp:effectExtent l="0" t="0" r="889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532" cy="1404620"/>
                        </a:xfrm>
                        <a:prstGeom prst="rect">
                          <a:avLst/>
                        </a:prstGeom>
                        <a:solidFill>
                          <a:srgbClr val="FFFFFF"/>
                        </a:solidFill>
                        <a:ln w="9525">
                          <a:noFill/>
                          <a:miter lim="800000"/>
                          <a:headEnd/>
                          <a:tailEnd/>
                        </a:ln>
                      </wps:spPr>
                      <wps:txbx>
                        <w:txbxContent>
                          <w:p w14:paraId="15748C49" w14:textId="0D8D7C39" w:rsidR="00EC3936" w:rsidRPr="00057204" w:rsidRDefault="00EC3936" w:rsidP="00057204">
                            <w:pPr>
                              <w:spacing w:line="276" w:lineRule="auto"/>
                              <w:rPr>
                                <w:color w:val="005E85" w:themeColor="accent1"/>
                                <w:sz w:val="24"/>
                                <w:szCs w:val="24"/>
                              </w:rPr>
                            </w:pPr>
                            <w:r w:rsidRPr="00057204">
                              <w:rPr>
                                <w:color w:val="005E85" w:themeColor="accent1"/>
                                <w:sz w:val="24"/>
                                <w:szCs w:val="24"/>
                                <w:shd w:val="clear" w:color="auto" w:fill="FFFFFF"/>
                              </w:rPr>
                              <w:t>“The health and wellbeing of marae and communities directly springs from the health and wellbeing of kaumatua” (Dawes et al., 2021, pS34)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5780A" id="Text Box 3" o:spid="_x0000_s1033" type="#_x0000_t202" style="position:absolute;left:0;text-align:left;margin-left:21.3pt;margin-top:32.5pt;width:123.8pt;height:110.6pt;z-index:-2516582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ciEQIAAP4DAAAOAAAAZHJzL2Uyb0RvYy54bWysU9tu2zAMfR+wfxD0vtjxkl6MOEWXLsOA&#10;7gJ0+wBZlmNhsqhRSuzu60vJaRp0b8P8IIgmeUgeHq1uxt6wg0KvwVZ8Pss5U1ZCo+2u4j9/bN9d&#10;ceaDsI0wYFXFH5XnN+u3b1aDK1UBHZhGISMQ68vBVbwLwZVZ5mWneuFn4JQlZwvYi0Am7rIGxUDo&#10;vcmKPL/IBsDGIUjlPf29m5x8nfDbVsnwrW29CsxUnHoL6cR01vHM1itR7lC4TstjG+IfuuiFtlT0&#10;BHUngmB71H9B9VoieGjDTEKfQdtqqdIMNM08fzXNQyecSrMQOd6daPL/D1Z+PTy478jC+AFGWmAa&#10;wrt7kL88s7DphN2pW0QYOiUaKjyPlGWD8+UxNVLtSx9B6uELNLRksQ+QgMYW+8gKzckInRbweCJd&#10;jYHJWHJ5WSzfF5xJ8s0X+eKiSGvJRPmc7tCHTwp6Fi8VR9pqgheHex9iO6J8DonVPBjdbLUxycBd&#10;vTHIDoIUsE1fmuBVmLFsqPj1slgmZAsxP4mj14EUanRf8as8fpNmIh0fbZNCgtBmulMnxh75iZRM&#10;5ISxHpluKn4ZcyNdNTSPRBjCJEh6QHTpAP9wNpAYK+5/7wUqzsxnS6RfzxeLqN5kLIgwMvDcU597&#10;hJUEVfHA2XTdhKT4RIe7peVsdaLtpZNjyySyxObxQUQVn9sp6uXZrp8AAAD//wMAUEsDBBQABgAI&#10;AAAAIQA4n3J+3QAAAAkBAAAPAAAAZHJzL2Rvd25yZXYueG1sTI/BTsMwEETvSPyDtUjcqINFoxLi&#10;VBUVFw5IFCQ4urETR9hry3bT8PcsJ7jtaEazb9rt4h2bTcpTQAm3qwqYwT7oCUcJ729PNxtguSjU&#10;ygU0Er5Nhm13edGqRoczvpr5UEZGJZgbJcGWEhvOc2+NV3kVokHyhpC8KiTTyHVSZyr3jouqqrlX&#10;E9IHq6J5tKb/Opy8hA9vJ71PL5+DdvP+edit45KilNdXy+4BWDFL+QvDLz6hQ0dMx3BCnZmTcCdq&#10;Skqo1zSJfHFfCWBHOja1AN61/P+C7gcAAP//AwBQSwECLQAUAAYACAAAACEAtoM4kv4AAADhAQAA&#10;EwAAAAAAAAAAAAAAAAAAAAAAW0NvbnRlbnRfVHlwZXNdLnhtbFBLAQItABQABgAIAAAAIQA4/SH/&#10;1gAAAJQBAAALAAAAAAAAAAAAAAAAAC8BAABfcmVscy8ucmVsc1BLAQItABQABgAIAAAAIQDJFFci&#10;EQIAAP4DAAAOAAAAAAAAAAAAAAAAAC4CAABkcnMvZTJvRG9jLnhtbFBLAQItABQABgAIAAAAIQA4&#10;n3J+3QAAAAkBAAAPAAAAAAAAAAAAAAAAAGsEAABkcnMvZG93bnJldi54bWxQSwUGAAAAAAQABADz&#10;AAAAdQUAAAAA&#10;" stroked="f">
                <v:textbox style="mso-fit-shape-to-text:t">
                  <w:txbxContent>
                    <w:p w14:paraId="15748C49" w14:textId="0D8D7C39" w:rsidR="00EC3936" w:rsidRPr="00057204" w:rsidRDefault="00EC3936" w:rsidP="00057204">
                      <w:pPr>
                        <w:spacing w:line="276" w:lineRule="auto"/>
                        <w:rPr>
                          <w:color w:val="005E85" w:themeColor="accent1"/>
                          <w:sz w:val="24"/>
                          <w:szCs w:val="24"/>
                        </w:rPr>
                      </w:pPr>
                      <w:r w:rsidRPr="00057204">
                        <w:rPr>
                          <w:color w:val="005E85" w:themeColor="accent1"/>
                          <w:sz w:val="24"/>
                          <w:szCs w:val="24"/>
                          <w:shd w:val="clear" w:color="auto" w:fill="FFFFFF"/>
                        </w:rPr>
                        <w:t>“The health and wellbeing of marae and communities directly springs from the health and wellbeing of kaumatua” (Dawes et al., 2021, pS34)</w:t>
                      </w:r>
                    </w:p>
                  </w:txbxContent>
                </v:textbox>
                <w10:wrap anchorx="page"/>
              </v:shape>
            </w:pict>
          </mc:Fallback>
        </mc:AlternateContent>
      </w:r>
      <w:r w:rsidR="000368E3" w:rsidRPr="009509E9">
        <w:rPr>
          <w:rStyle w:val="eop"/>
          <w:sz w:val="24"/>
          <w:szCs w:val="24"/>
        </w:rPr>
        <w:t>We need to move away from framing older people collectively and predominantly in terms of vuln</w:t>
      </w:r>
      <w:r w:rsidR="000368E3" w:rsidRPr="009509E9">
        <w:rPr>
          <w:rStyle w:val="eop"/>
          <w:rFonts w:eastAsiaTheme="minorEastAsia"/>
          <w:sz w:val="24"/>
          <w:szCs w:val="24"/>
        </w:rPr>
        <w:t xml:space="preserve">erability and risk, to recognise their capacities and agency. </w:t>
      </w:r>
      <w:r w:rsidR="000368E3" w:rsidRPr="009509E9">
        <w:rPr>
          <w:sz w:val="24"/>
          <w:szCs w:val="24"/>
        </w:rPr>
        <w:t>This should be acknowledged and supported</w:t>
      </w:r>
      <w:r w:rsidR="00AE2140" w:rsidRPr="009509E9">
        <w:rPr>
          <w:sz w:val="24"/>
          <w:szCs w:val="24"/>
        </w:rPr>
        <w:t>:</w:t>
      </w:r>
      <w:r w:rsidR="000368E3" w:rsidRPr="009509E9">
        <w:rPr>
          <w:sz w:val="24"/>
          <w:szCs w:val="24"/>
        </w:rPr>
        <w:t xml:space="preserve"> </w:t>
      </w:r>
      <w:r w:rsidR="00AE2140" w:rsidRPr="009509E9">
        <w:rPr>
          <w:rStyle w:val="eop"/>
          <w:rFonts w:eastAsiaTheme="minorEastAsia"/>
          <w:sz w:val="24"/>
          <w:szCs w:val="24"/>
        </w:rPr>
        <w:t>o</w:t>
      </w:r>
      <w:r w:rsidR="000368E3" w:rsidRPr="009509E9">
        <w:rPr>
          <w:sz w:val="24"/>
          <w:szCs w:val="24"/>
        </w:rPr>
        <w:t xml:space="preserve">lder people </w:t>
      </w:r>
      <w:r w:rsidR="00AE2140" w:rsidRPr="009509E9">
        <w:rPr>
          <w:sz w:val="24"/>
          <w:szCs w:val="24"/>
        </w:rPr>
        <w:t>can share</w:t>
      </w:r>
      <w:r w:rsidR="007A2641" w:rsidRPr="009509E9">
        <w:rPr>
          <w:sz w:val="24"/>
          <w:szCs w:val="24"/>
        </w:rPr>
        <w:t xml:space="preserve"> their</w:t>
      </w:r>
      <w:r w:rsidR="000368E3" w:rsidRPr="009509E9">
        <w:rPr>
          <w:sz w:val="24"/>
          <w:szCs w:val="24"/>
        </w:rPr>
        <w:t xml:space="preserve"> knowledge, </w:t>
      </w:r>
      <w:proofErr w:type="gramStart"/>
      <w:r w:rsidR="000368E3" w:rsidRPr="009509E9">
        <w:rPr>
          <w:sz w:val="24"/>
          <w:szCs w:val="24"/>
        </w:rPr>
        <w:t>networks</w:t>
      </w:r>
      <w:proofErr w:type="gramEnd"/>
      <w:r w:rsidR="000368E3" w:rsidRPr="009509E9">
        <w:rPr>
          <w:sz w:val="24"/>
          <w:szCs w:val="24"/>
        </w:rPr>
        <w:t xml:space="preserve"> and </w:t>
      </w:r>
      <w:r w:rsidR="007A2641" w:rsidRPr="009509E9">
        <w:rPr>
          <w:sz w:val="24"/>
          <w:szCs w:val="24"/>
        </w:rPr>
        <w:t>energy</w:t>
      </w:r>
      <w:r w:rsidR="000368E3" w:rsidRPr="009509E9">
        <w:rPr>
          <w:sz w:val="24"/>
          <w:szCs w:val="24"/>
        </w:rPr>
        <w:t xml:space="preserve"> to help support older people and others in the community.  </w:t>
      </w:r>
    </w:p>
    <w:p w14:paraId="664BA42F" w14:textId="739898D2" w:rsidR="001C20E7" w:rsidRPr="008301F1" w:rsidRDefault="000368E3" w:rsidP="001C20E7">
      <w:pPr>
        <w:pStyle w:val="ListParagraph"/>
        <w:numPr>
          <w:ilvl w:val="0"/>
          <w:numId w:val="4"/>
        </w:numPr>
        <w:rPr>
          <w:sz w:val="24"/>
          <w:szCs w:val="24"/>
        </w:rPr>
      </w:pPr>
      <w:r w:rsidRPr="009509E9">
        <w:rPr>
          <w:sz w:val="24"/>
          <w:szCs w:val="24"/>
        </w:rPr>
        <w:t xml:space="preserve">Given the significant and rapidly increasing older population, research to better understand the experiences of older people needs to be prioritised. It is critically important to develop greater understanding of how best to promote wellbeing and mental health, recognising and drawing on the diversity of identities and experiences amongst older people. The lack of disaggregated data about the impact of the pandemic on older people in </w:t>
      </w:r>
      <w:r w:rsidR="00ED2CF0" w:rsidRPr="009509E9">
        <w:rPr>
          <w:sz w:val="24"/>
          <w:szCs w:val="24"/>
        </w:rPr>
        <w:t xml:space="preserve">different </w:t>
      </w:r>
      <w:r w:rsidRPr="009509E9">
        <w:rPr>
          <w:sz w:val="24"/>
          <w:szCs w:val="24"/>
        </w:rPr>
        <w:t xml:space="preserve">communities </w:t>
      </w:r>
      <w:r w:rsidR="00ED2CF0" w:rsidRPr="009509E9">
        <w:rPr>
          <w:sz w:val="24"/>
          <w:szCs w:val="24"/>
        </w:rPr>
        <w:t>makes it hard to understand and support them</w:t>
      </w:r>
      <w:r w:rsidRPr="009509E9">
        <w:rPr>
          <w:sz w:val="24"/>
          <w:szCs w:val="24"/>
        </w:rPr>
        <w:t>.</w:t>
      </w:r>
    </w:p>
    <w:p w14:paraId="0B1FD0B3" w14:textId="77777777" w:rsidR="001C20E7" w:rsidRDefault="001C20E7" w:rsidP="001C20E7">
      <w:pPr>
        <w:rPr>
          <w:sz w:val="24"/>
          <w:szCs w:val="24"/>
        </w:rPr>
      </w:pPr>
    </w:p>
    <w:p w14:paraId="4D6D2AB7" w14:textId="77777777" w:rsidR="001C20E7" w:rsidRDefault="001C20E7" w:rsidP="001C20E7">
      <w:pPr>
        <w:shd w:val="clear" w:color="auto" w:fill="FFFFFF" w:themeFill="background2"/>
        <w:spacing w:after="120" w:line="276" w:lineRule="auto"/>
        <w:rPr>
          <w:rFonts w:cs="Calibri"/>
          <w:sz w:val="24"/>
          <w:szCs w:val="24"/>
        </w:rPr>
      </w:pPr>
    </w:p>
    <w:p w14:paraId="700C9AF9" w14:textId="77777777" w:rsidR="001C20E7" w:rsidRDefault="001C20E7" w:rsidP="001C20E7">
      <w:pPr>
        <w:shd w:val="clear" w:color="auto" w:fill="FFFFFF" w:themeFill="background2"/>
        <w:spacing w:after="120" w:line="276" w:lineRule="auto"/>
        <w:rPr>
          <w:color w:val="0070C0"/>
          <w:sz w:val="24"/>
          <w:szCs w:val="24"/>
        </w:rPr>
      </w:pPr>
      <w:r w:rsidRPr="000822E7">
        <w:rPr>
          <w:rStyle w:val="normaltextrun"/>
          <w:rFonts w:cs="Calibri"/>
          <w:color w:val="000000"/>
          <w:sz w:val="24"/>
          <w:szCs w:val="24"/>
        </w:rPr>
        <w:t>[1]</w:t>
      </w:r>
      <w:r>
        <w:rPr>
          <w:rStyle w:val="normaltextrun"/>
          <w:rFonts w:cs="Calibri"/>
          <w:color w:val="000000"/>
          <w:sz w:val="24"/>
          <w:szCs w:val="24"/>
        </w:rPr>
        <w:t xml:space="preserve"> </w:t>
      </w:r>
      <w:hyperlink r:id="rId13" w:history="1">
        <w:r w:rsidRPr="00941FAC">
          <w:rPr>
            <w:rStyle w:val="Hyperlink"/>
            <w:color w:val="0070C0"/>
            <w:sz w:val="24"/>
            <w:szCs w:val="24"/>
          </w:rPr>
          <w:t>https://www.mhwc.govt.nz/our-work/covid-19-insights/</w:t>
        </w:r>
      </w:hyperlink>
      <w:r w:rsidRPr="00941FAC">
        <w:rPr>
          <w:color w:val="0070C0"/>
          <w:sz w:val="24"/>
          <w:szCs w:val="24"/>
        </w:rPr>
        <w:t xml:space="preserve"> </w:t>
      </w:r>
    </w:p>
    <w:p w14:paraId="45A28425" w14:textId="49FF5482" w:rsidR="001C20E7" w:rsidRPr="00151D16" w:rsidRDefault="00151D16" w:rsidP="001C20E7">
      <w:pPr>
        <w:shd w:val="clear" w:color="auto" w:fill="FFFFFF" w:themeFill="background2"/>
        <w:spacing w:after="120" w:line="276" w:lineRule="auto"/>
        <w:rPr>
          <w:rFonts w:cs="Calibri"/>
          <w:color w:val="0070C0"/>
          <w:sz w:val="24"/>
          <w:szCs w:val="24"/>
        </w:rPr>
      </w:pPr>
      <w:r>
        <w:rPr>
          <w:color w:val="000000" w:themeColor="text1"/>
          <w:sz w:val="24"/>
          <w:szCs w:val="24"/>
        </w:rPr>
        <w:t xml:space="preserve">[2] </w:t>
      </w:r>
      <w:hyperlink r:id="rId14" w:history="1">
        <w:r w:rsidRPr="00151D16">
          <w:rPr>
            <w:rStyle w:val="Hyperlink"/>
            <w:color w:val="0070C0"/>
            <w:sz w:val="24"/>
            <w:szCs w:val="24"/>
          </w:rPr>
          <w:t>https://www.mhwc.govt.nz/our-work/covid-19-insights/</w:t>
        </w:r>
      </w:hyperlink>
      <w:r w:rsidRPr="00151D16">
        <w:rPr>
          <w:color w:val="0070C0"/>
          <w:sz w:val="24"/>
          <w:szCs w:val="24"/>
        </w:rPr>
        <w:t xml:space="preserve"> </w:t>
      </w:r>
    </w:p>
    <w:p w14:paraId="3D85B492" w14:textId="77777777" w:rsidR="001C20E7" w:rsidRPr="001C20E7" w:rsidRDefault="001C20E7" w:rsidP="001C20E7">
      <w:pPr>
        <w:rPr>
          <w:sz w:val="24"/>
          <w:szCs w:val="24"/>
        </w:rPr>
      </w:pPr>
    </w:p>
    <w:sectPr w:rsidR="001C20E7" w:rsidRPr="001C20E7" w:rsidSect="00A35E6E">
      <w:headerReference w:type="even" r:id="rId15"/>
      <w:headerReference w:type="default" r:id="rId16"/>
      <w:footerReference w:type="even" r:id="rId17"/>
      <w:footerReference w:type="default" r:id="rId18"/>
      <w:headerReference w:type="first" r:id="rId19"/>
      <w:footerReference w:type="first" r:id="rId20"/>
      <w:pgSz w:w="12240" w:h="15840" w:code="1"/>
      <w:pgMar w:top="1440" w:right="964" w:bottom="1440"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0B14" w14:textId="77777777" w:rsidR="00D132F5" w:rsidRDefault="00D132F5" w:rsidP="005F69F6">
      <w:r>
        <w:separator/>
      </w:r>
    </w:p>
  </w:endnote>
  <w:endnote w:type="continuationSeparator" w:id="0">
    <w:p w14:paraId="08DCC344" w14:textId="77777777" w:rsidR="00D132F5" w:rsidRDefault="00D132F5" w:rsidP="005F69F6">
      <w:r>
        <w:continuationSeparator/>
      </w:r>
    </w:p>
  </w:endnote>
  <w:endnote w:type="continuationNotice" w:id="1">
    <w:p w14:paraId="469FA459" w14:textId="77777777" w:rsidR="00D132F5" w:rsidRDefault="00D13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Sans">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37FC" w14:textId="77777777" w:rsidR="00685002" w:rsidRDefault="0068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945611"/>
      <w:docPartObj>
        <w:docPartGallery w:val="Page Numbers (Bottom of Page)"/>
        <w:docPartUnique/>
      </w:docPartObj>
    </w:sdtPr>
    <w:sdtEndPr>
      <w:rPr>
        <w:noProof/>
      </w:rPr>
    </w:sdtEndPr>
    <w:sdtContent>
      <w:p w14:paraId="6B45405A" w14:textId="6394ADC5" w:rsidR="008106BE" w:rsidDel="00E34956" w:rsidRDefault="008106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3AD7" w14:textId="77777777" w:rsidR="00685002" w:rsidRDefault="0068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2A5F" w14:textId="77777777" w:rsidR="00D132F5" w:rsidRDefault="00D132F5" w:rsidP="005F69F6">
      <w:r>
        <w:separator/>
      </w:r>
    </w:p>
  </w:footnote>
  <w:footnote w:type="continuationSeparator" w:id="0">
    <w:p w14:paraId="5EDCA59B" w14:textId="77777777" w:rsidR="00D132F5" w:rsidRDefault="00D132F5" w:rsidP="005F69F6">
      <w:r>
        <w:continuationSeparator/>
      </w:r>
    </w:p>
  </w:footnote>
  <w:footnote w:type="continuationNotice" w:id="1">
    <w:p w14:paraId="512E1234" w14:textId="77777777" w:rsidR="00D132F5" w:rsidRDefault="00D13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42A" w14:textId="77777777" w:rsidR="00685002" w:rsidRDefault="0068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315B" w14:textId="77777777" w:rsidR="00685002" w:rsidRDefault="00685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3FF9" w14:textId="77777777" w:rsidR="00685002" w:rsidRDefault="00685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84E6"/>
    <w:multiLevelType w:val="hybridMultilevel"/>
    <w:tmpl w:val="05886C44"/>
    <w:lvl w:ilvl="0" w:tplc="FFFFFFFF">
      <w:start w:val="1"/>
      <w:numFmt w:val="decimal"/>
      <w:lvlText w:val="%1."/>
      <w:lvlJc w:val="left"/>
      <w:pPr>
        <w:ind w:left="720" w:hanging="360"/>
      </w:pPr>
    </w:lvl>
    <w:lvl w:ilvl="1" w:tplc="0C7686BA">
      <w:start w:val="1"/>
      <w:numFmt w:val="lowerLetter"/>
      <w:lvlText w:val="%2."/>
      <w:lvlJc w:val="left"/>
      <w:pPr>
        <w:ind w:left="1440" w:hanging="360"/>
      </w:pPr>
    </w:lvl>
    <w:lvl w:ilvl="2" w:tplc="1EC24D64">
      <w:start w:val="1"/>
      <w:numFmt w:val="lowerRoman"/>
      <w:lvlText w:val="%3."/>
      <w:lvlJc w:val="right"/>
      <w:pPr>
        <w:ind w:left="2160" w:hanging="180"/>
      </w:pPr>
    </w:lvl>
    <w:lvl w:ilvl="3" w:tplc="4B4AB7C0">
      <w:start w:val="1"/>
      <w:numFmt w:val="decimal"/>
      <w:lvlText w:val="%4."/>
      <w:lvlJc w:val="left"/>
      <w:pPr>
        <w:ind w:left="2880" w:hanging="360"/>
      </w:pPr>
    </w:lvl>
    <w:lvl w:ilvl="4" w:tplc="F4FE5D68">
      <w:start w:val="1"/>
      <w:numFmt w:val="lowerLetter"/>
      <w:lvlText w:val="%5."/>
      <w:lvlJc w:val="left"/>
      <w:pPr>
        <w:ind w:left="3600" w:hanging="360"/>
      </w:pPr>
    </w:lvl>
    <w:lvl w:ilvl="5" w:tplc="B9B0030E">
      <w:start w:val="1"/>
      <w:numFmt w:val="lowerRoman"/>
      <w:lvlText w:val="%6."/>
      <w:lvlJc w:val="right"/>
      <w:pPr>
        <w:ind w:left="4320" w:hanging="180"/>
      </w:pPr>
    </w:lvl>
    <w:lvl w:ilvl="6" w:tplc="74AC48E8">
      <w:start w:val="1"/>
      <w:numFmt w:val="decimal"/>
      <w:lvlText w:val="%7."/>
      <w:lvlJc w:val="left"/>
      <w:pPr>
        <w:ind w:left="5040" w:hanging="360"/>
      </w:pPr>
    </w:lvl>
    <w:lvl w:ilvl="7" w:tplc="45B6AA10">
      <w:start w:val="1"/>
      <w:numFmt w:val="lowerLetter"/>
      <w:lvlText w:val="%8."/>
      <w:lvlJc w:val="left"/>
      <w:pPr>
        <w:ind w:left="5760" w:hanging="360"/>
      </w:pPr>
    </w:lvl>
    <w:lvl w:ilvl="8" w:tplc="C8668E28">
      <w:start w:val="1"/>
      <w:numFmt w:val="lowerRoman"/>
      <w:lvlText w:val="%9."/>
      <w:lvlJc w:val="right"/>
      <w:pPr>
        <w:ind w:left="6480" w:hanging="180"/>
      </w:pPr>
    </w:lvl>
  </w:abstractNum>
  <w:abstractNum w:abstractNumId="1" w15:restartNumberingAfterBreak="0">
    <w:nsid w:val="30C86D83"/>
    <w:multiLevelType w:val="hybridMultilevel"/>
    <w:tmpl w:val="F552D122"/>
    <w:lvl w:ilvl="0" w:tplc="9E7EC5C6">
      <w:start w:val="1"/>
      <w:numFmt w:val="bullet"/>
      <w:lvlText w:val=""/>
      <w:lvlJc w:val="left"/>
      <w:pPr>
        <w:ind w:left="720" w:hanging="360"/>
      </w:pPr>
      <w:rPr>
        <w:rFonts w:ascii="Symbol" w:hAnsi="Symbol" w:hint="default"/>
      </w:rPr>
    </w:lvl>
    <w:lvl w:ilvl="1" w:tplc="D6F889F6">
      <w:start w:val="1"/>
      <w:numFmt w:val="bullet"/>
      <w:lvlText w:val="o"/>
      <w:lvlJc w:val="left"/>
      <w:pPr>
        <w:ind w:left="1440" w:hanging="360"/>
      </w:pPr>
      <w:rPr>
        <w:rFonts w:ascii="Courier New" w:hAnsi="Courier New" w:hint="default"/>
      </w:rPr>
    </w:lvl>
    <w:lvl w:ilvl="2" w:tplc="12803F6C">
      <w:start w:val="1"/>
      <w:numFmt w:val="bullet"/>
      <w:lvlText w:val=""/>
      <w:lvlJc w:val="left"/>
      <w:pPr>
        <w:ind w:left="2160" w:hanging="360"/>
      </w:pPr>
      <w:rPr>
        <w:rFonts w:ascii="Wingdings" w:hAnsi="Wingdings" w:hint="default"/>
      </w:rPr>
    </w:lvl>
    <w:lvl w:ilvl="3" w:tplc="9CD63A12">
      <w:start w:val="1"/>
      <w:numFmt w:val="bullet"/>
      <w:lvlText w:val=""/>
      <w:lvlJc w:val="left"/>
      <w:pPr>
        <w:ind w:left="2880" w:hanging="360"/>
      </w:pPr>
      <w:rPr>
        <w:rFonts w:ascii="Symbol" w:hAnsi="Symbol" w:hint="default"/>
      </w:rPr>
    </w:lvl>
    <w:lvl w:ilvl="4" w:tplc="1AB01EAC">
      <w:start w:val="1"/>
      <w:numFmt w:val="bullet"/>
      <w:lvlText w:val="o"/>
      <w:lvlJc w:val="left"/>
      <w:pPr>
        <w:ind w:left="3600" w:hanging="360"/>
      </w:pPr>
      <w:rPr>
        <w:rFonts w:ascii="Courier New" w:hAnsi="Courier New" w:hint="default"/>
      </w:rPr>
    </w:lvl>
    <w:lvl w:ilvl="5" w:tplc="0E622572">
      <w:start w:val="1"/>
      <w:numFmt w:val="bullet"/>
      <w:lvlText w:val=""/>
      <w:lvlJc w:val="left"/>
      <w:pPr>
        <w:ind w:left="4320" w:hanging="360"/>
      </w:pPr>
      <w:rPr>
        <w:rFonts w:ascii="Wingdings" w:hAnsi="Wingdings" w:hint="default"/>
      </w:rPr>
    </w:lvl>
    <w:lvl w:ilvl="6" w:tplc="08C605D2">
      <w:start w:val="1"/>
      <w:numFmt w:val="bullet"/>
      <w:lvlText w:val=""/>
      <w:lvlJc w:val="left"/>
      <w:pPr>
        <w:ind w:left="5040" w:hanging="360"/>
      </w:pPr>
      <w:rPr>
        <w:rFonts w:ascii="Symbol" w:hAnsi="Symbol" w:hint="default"/>
      </w:rPr>
    </w:lvl>
    <w:lvl w:ilvl="7" w:tplc="BEE0085C">
      <w:start w:val="1"/>
      <w:numFmt w:val="bullet"/>
      <w:lvlText w:val="o"/>
      <w:lvlJc w:val="left"/>
      <w:pPr>
        <w:ind w:left="5760" w:hanging="360"/>
      </w:pPr>
      <w:rPr>
        <w:rFonts w:ascii="Courier New" w:hAnsi="Courier New" w:hint="default"/>
      </w:rPr>
    </w:lvl>
    <w:lvl w:ilvl="8" w:tplc="1594155C">
      <w:start w:val="1"/>
      <w:numFmt w:val="bullet"/>
      <w:lvlText w:val=""/>
      <w:lvlJc w:val="left"/>
      <w:pPr>
        <w:ind w:left="6480" w:hanging="360"/>
      </w:pPr>
      <w:rPr>
        <w:rFonts w:ascii="Wingdings" w:hAnsi="Wingdings" w:hint="default"/>
      </w:rPr>
    </w:lvl>
  </w:abstractNum>
  <w:abstractNum w:abstractNumId="2" w15:restartNumberingAfterBreak="0">
    <w:nsid w:val="4BF65256"/>
    <w:multiLevelType w:val="hybridMultilevel"/>
    <w:tmpl w:val="FAD67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718556"/>
    <w:multiLevelType w:val="hybridMultilevel"/>
    <w:tmpl w:val="7884BA46"/>
    <w:lvl w:ilvl="0" w:tplc="868C26C4">
      <w:start w:val="1"/>
      <w:numFmt w:val="decimal"/>
      <w:lvlText w:val="%1."/>
      <w:lvlJc w:val="left"/>
      <w:pPr>
        <w:ind w:left="720" w:hanging="360"/>
      </w:pPr>
    </w:lvl>
    <w:lvl w:ilvl="1" w:tplc="81307016">
      <w:start w:val="1"/>
      <w:numFmt w:val="lowerLetter"/>
      <w:lvlText w:val="%2."/>
      <w:lvlJc w:val="left"/>
      <w:pPr>
        <w:ind w:left="1440" w:hanging="360"/>
      </w:pPr>
    </w:lvl>
    <w:lvl w:ilvl="2" w:tplc="5E4AB99C">
      <w:start w:val="1"/>
      <w:numFmt w:val="lowerRoman"/>
      <w:lvlText w:val="%3."/>
      <w:lvlJc w:val="right"/>
      <w:pPr>
        <w:ind w:left="2160" w:hanging="180"/>
      </w:pPr>
    </w:lvl>
    <w:lvl w:ilvl="3" w:tplc="4DB2FDB4">
      <w:start w:val="1"/>
      <w:numFmt w:val="decimal"/>
      <w:lvlText w:val="%4."/>
      <w:lvlJc w:val="left"/>
      <w:pPr>
        <w:ind w:left="2880" w:hanging="360"/>
      </w:pPr>
    </w:lvl>
    <w:lvl w:ilvl="4" w:tplc="ABF437FA">
      <w:start w:val="1"/>
      <w:numFmt w:val="lowerLetter"/>
      <w:lvlText w:val="%5."/>
      <w:lvlJc w:val="left"/>
      <w:pPr>
        <w:ind w:left="3600" w:hanging="360"/>
      </w:pPr>
    </w:lvl>
    <w:lvl w:ilvl="5" w:tplc="DFAEC1D2">
      <w:start w:val="1"/>
      <w:numFmt w:val="lowerRoman"/>
      <w:lvlText w:val="%6."/>
      <w:lvlJc w:val="right"/>
      <w:pPr>
        <w:ind w:left="4320" w:hanging="180"/>
      </w:pPr>
    </w:lvl>
    <w:lvl w:ilvl="6" w:tplc="24D4416A">
      <w:start w:val="1"/>
      <w:numFmt w:val="decimal"/>
      <w:lvlText w:val="%7."/>
      <w:lvlJc w:val="left"/>
      <w:pPr>
        <w:ind w:left="5040" w:hanging="360"/>
      </w:pPr>
    </w:lvl>
    <w:lvl w:ilvl="7" w:tplc="DECCE936">
      <w:start w:val="1"/>
      <w:numFmt w:val="lowerLetter"/>
      <w:lvlText w:val="%8."/>
      <w:lvlJc w:val="left"/>
      <w:pPr>
        <w:ind w:left="5760" w:hanging="360"/>
      </w:pPr>
    </w:lvl>
    <w:lvl w:ilvl="8" w:tplc="5E02E2B6">
      <w:start w:val="1"/>
      <w:numFmt w:val="lowerRoman"/>
      <w:lvlText w:val="%9."/>
      <w:lvlJc w:val="right"/>
      <w:pPr>
        <w:ind w:left="6480" w:hanging="180"/>
      </w:pPr>
    </w:lvl>
  </w:abstractNum>
  <w:num w:numId="1" w16cid:durableId="1686130261">
    <w:abstractNumId w:val="0"/>
  </w:num>
  <w:num w:numId="2" w16cid:durableId="7486303">
    <w:abstractNumId w:val="3"/>
  </w:num>
  <w:num w:numId="3" w16cid:durableId="1797987102">
    <w:abstractNumId w:val="1"/>
  </w:num>
  <w:num w:numId="4" w16cid:durableId="63603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87053"/>
    <w:rsid w:val="00005098"/>
    <w:rsid w:val="00006869"/>
    <w:rsid w:val="000124EC"/>
    <w:rsid w:val="00013479"/>
    <w:rsid w:val="00024384"/>
    <w:rsid w:val="00031CE9"/>
    <w:rsid w:val="00034800"/>
    <w:rsid w:val="000368E3"/>
    <w:rsid w:val="00057204"/>
    <w:rsid w:val="00057DD0"/>
    <w:rsid w:val="00061C33"/>
    <w:rsid w:val="00064FCF"/>
    <w:rsid w:val="000663DD"/>
    <w:rsid w:val="00072EB2"/>
    <w:rsid w:val="0007381D"/>
    <w:rsid w:val="0008240F"/>
    <w:rsid w:val="000B2908"/>
    <w:rsid w:val="000C1F83"/>
    <w:rsid w:val="000D052A"/>
    <w:rsid w:val="000F005A"/>
    <w:rsid w:val="000F7742"/>
    <w:rsid w:val="00104313"/>
    <w:rsid w:val="00107B44"/>
    <w:rsid w:val="001375A2"/>
    <w:rsid w:val="001428F8"/>
    <w:rsid w:val="0014718D"/>
    <w:rsid w:val="00151D16"/>
    <w:rsid w:val="00153D2E"/>
    <w:rsid w:val="0016160B"/>
    <w:rsid w:val="00186C04"/>
    <w:rsid w:val="001C20E7"/>
    <w:rsid w:val="001D33DA"/>
    <w:rsid w:val="001D4366"/>
    <w:rsid w:val="001D7DE8"/>
    <w:rsid w:val="001E50C2"/>
    <w:rsid w:val="001E61A0"/>
    <w:rsid w:val="00211072"/>
    <w:rsid w:val="00223FCD"/>
    <w:rsid w:val="00230796"/>
    <w:rsid w:val="00244BD2"/>
    <w:rsid w:val="00255C82"/>
    <w:rsid w:val="002610F2"/>
    <w:rsid w:val="0028181F"/>
    <w:rsid w:val="00291996"/>
    <w:rsid w:val="00294351"/>
    <w:rsid w:val="00295888"/>
    <w:rsid w:val="00295F28"/>
    <w:rsid w:val="0029679B"/>
    <w:rsid w:val="002C2B9E"/>
    <w:rsid w:val="002D4640"/>
    <w:rsid w:val="002E3530"/>
    <w:rsid w:val="002E465A"/>
    <w:rsid w:val="002F359D"/>
    <w:rsid w:val="002F58B1"/>
    <w:rsid w:val="003057E9"/>
    <w:rsid w:val="00305F71"/>
    <w:rsid w:val="003107FE"/>
    <w:rsid w:val="00311BF6"/>
    <w:rsid w:val="00314C88"/>
    <w:rsid w:val="00317A2A"/>
    <w:rsid w:val="003505CC"/>
    <w:rsid w:val="00377C7B"/>
    <w:rsid w:val="00395370"/>
    <w:rsid w:val="003A5E0C"/>
    <w:rsid w:val="003A622E"/>
    <w:rsid w:val="003B62DF"/>
    <w:rsid w:val="003B772D"/>
    <w:rsid w:val="003B7BC3"/>
    <w:rsid w:val="003C0D2F"/>
    <w:rsid w:val="003E1CE5"/>
    <w:rsid w:val="003E3129"/>
    <w:rsid w:val="003F365E"/>
    <w:rsid w:val="003F44F8"/>
    <w:rsid w:val="003F7214"/>
    <w:rsid w:val="00402E97"/>
    <w:rsid w:val="004212BC"/>
    <w:rsid w:val="00425ABF"/>
    <w:rsid w:val="00426307"/>
    <w:rsid w:val="00433758"/>
    <w:rsid w:val="00437F44"/>
    <w:rsid w:val="004412D4"/>
    <w:rsid w:val="00441568"/>
    <w:rsid w:val="00442C7A"/>
    <w:rsid w:val="00475B53"/>
    <w:rsid w:val="00477998"/>
    <w:rsid w:val="004804CE"/>
    <w:rsid w:val="004909B5"/>
    <w:rsid w:val="004D05D8"/>
    <w:rsid w:val="004F15DE"/>
    <w:rsid w:val="004F20F6"/>
    <w:rsid w:val="005201F7"/>
    <w:rsid w:val="00536084"/>
    <w:rsid w:val="00542557"/>
    <w:rsid w:val="005533FD"/>
    <w:rsid w:val="0055783E"/>
    <w:rsid w:val="00567D11"/>
    <w:rsid w:val="005714ED"/>
    <w:rsid w:val="0057624D"/>
    <w:rsid w:val="0058025D"/>
    <w:rsid w:val="0058457C"/>
    <w:rsid w:val="00586941"/>
    <w:rsid w:val="00597A62"/>
    <w:rsid w:val="005B093C"/>
    <w:rsid w:val="005B1E47"/>
    <w:rsid w:val="005B23B7"/>
    <w:rsid w:val="005D0549"/>
    <w:rsid w:val="005D08BB"/>
    <w:rsid w:val="005D5600"/>
    <w:rsid w:val="005F136D"/>
    <w:rsid w:val="005F69F6"/>
    <w:rsid w:val="006048E9"/>
    <w:rsid w:val="00605A9E"/>
    <w:rsid w:val="006075DE"/>
    <w:rsid w:val="0061280A"/>
    <w:rsid w:val="006149F9"/>
    <w:rsid w:val="00615774"/>
    <w:rsid w:val="00622B35"/>
    <w:rsid w:val="0063662E"/>
    <w:rsid w:val="006634F4"/>
    <w:rsid w:val="00676999"/>
    <w:rsid w:val="00685002"/>
    <w:rsid w:val="0069132C"/>
    <w:rsid w:val="00696703"/>
    <w:rsid w:val="006B5114"/>
    <w:rsid w:val="006C0393"/>
    <w:rsid w:val="006C1800"/>
    <w:rsid w:val="006C364B"/>
    <w:rsid w:val="006C5041"/>
    <w:rsid w:val="006C5A6E"/>
    <w:rsid w:val="006E55A4"/>
    <w:rsid w:val="006F3E3F"/>
    <w:rsid w:val="007051D4"/>
    <w:rsid w:val="00714F42"/>
    <w:rsid w:val="00715F26"/>
    <w:rsid w:val="00722453"/>
    <w:rsid w:val="007366EA"/>
    <w:rsid w:val="007602CB"/>
    <w:rsid w:val="00763C39"/>
    <w:rsid w:val="00767F4E"/>
    <w:rsid w:val="00791775"/>
    <w:rsid w:val="007A2641"/>
    <w:rsid w:val="008106BE"/>
    <w:rsid w:val="00821F95"/>
    <w:rsid w:val="00825770"/>
    <w:rsid w:val="008301F1"/>
    <w:rsid w:val="00843F31"/>
    <w:rsid w:val="008523FF"/>
    <w:rsid w:val="00861F83"/>
    <w:rsid w:val="008620E9"/>
    <w:rsid w:val="0086295F"/>
    <w:rsid w:val="008631A5"/>
    <w:rsid w:val="00872BBC"/>
    <w:rsid w:val="008818F6"/>
    <w:rsid w:val="008B06B5"/>
    <w:rsid w:val="008B5625"/>
    <w:rsid w:val="008B58EA"/>
    <w:rsid w:val="008D18F9"/>
    <w:rsid w:val="008D36FB"/>
    <w:rsid w:val="008D7AC6"/>
    <w:rsid w:val="008E420B"/>
    <w:rsid w:val="008E5822"/>
    <w:rsid w:val="0091090B"/>
    <w:rsid w:val="00911887"/>
    <w:rsid w:val="00924EB9"/>
    <w:rsid w:val="00927A6B"/>
    <w:rsid w:val="00942347"/>
    <w:rsid w:val="009457E2"/>
    <w:rsid w:val="009509E9"/>
    <w:rsid w:val="00971390"/>
    <w:rsid w:val="00977D48"/>
    <w:rsid w:val="00980171"/>
    <w:rsid w:val="00991FE2"/>
    <w:rsid w:val="009A4EFF"/>
    <w:rsid w:val="009B3C09"/>
    <w:rsid w:val="009B5152"/>
    <w:rsid w:val="009C4554"/>
    <w:rsid w:val="009D2970"/>
    <w:rsid w:val="009D5A7E"/>
    <w:rsid w:val="009E4228"/>
    <w:rsid w:val="009F5133"/>
    <w:rsid w:val="009F7C53"/>
    <w:rsid w:val="00A127EF"/>
    <w:rsid w:val="00A14C13"/>
    <w:rsid w:val="00A35E6E"/>
    <w:rsid w:val="00A37BA0"/>
    <w:rsid w:val="00A37F99"/>
    <w:rsid w:val="00A40481"/>
    <w:rsid w:val="00A50A10"/>
    <w:rsid w:val="00A60995"/>
    <w:rsid w:val="00A61C80"/>
    <w:rsid w:val="00A719B7"/>
    <w:rsid w:val="00A76711"/>
    <w:rsid w:val="00A8439A"/>
    <w:rsid w:val="00A93DA0"/>
    <w:rsid w:val="00AA2479"/>
    <w:rsid w:val="00AC2392"/>
    <w:rsid w:val="00AC7927"/>
    <w:rsid w:val="00AD5610"/>
    <w:rsid w:val="00AE2140"/>
    <w:rsid w:val="00AE3B7D"/>
    <w:rsid w:val="00AF1436"/>
    <w:rsid w:val="00AF398B"/>
    <w:rsid w:val="00AF7A0C"/>
    <w:rsid w:val="00B21E87"/>
    <w:rsid w:val="00B2503D"/>
    <w:rsid w:val="00B34CE1"/>
    <w:rsid w:val="00B470D5"/>
    <w:rsid w:val="00B66078"/>
    <w:rsid w:val="00B76EB3"/>
    <w:rsid w:val="00B84075"/>
    <w:rsid w:val="00B85849"/>
    <w:rsid w:val="00B95D33"/>
    <w:rsid w:val="00BA2C74"/>
    <w:rsid w:val="00BB0B83"/>
    <w:rsid w:val="00BD2EF7"/>
    <w:rsid w:val="00BD720F"/>
    <w:rsid w:val="00BE5B4B"/>
    <w:rsid w:val="00C12B2E"/>
    <w:rsid w:val="00C17D4A"/>
    <w:rsid w:val="00C239D2"/>
    <w:rsid w:val="00C41069"/>
    <w:rsid w:val="00C777F3"/>
    <w:rsid w:val="00C81092"/>
    <w:rsid w:val="00C8396F"/>
    <w:rsid w:val="00C926A5"/>
    <w:rsid w:val="00CA6ECB"/>
    <w:rsid w:val="00CB0264"/>
    <w:rsid w:val="00CD7CBE"/>
    <w:rsid w:val="00CE088F"/>
    <w:rsid w:val="00CE1CE4"/>
    <w:rsid w:val="00CF6AB7"/>
    <w:rsid w:val="00D10933"/>
    <w:rsid w:val="00D11E27"/>
    <w:rsid w:val="00D132F5"/>
    <w:rsid w:val="00D3136E"/>
    <w:rsid w:val="00D33D11"/>
    <w:rsid w:val="00D47755"/>
    <w:rsid w:val="00D50DC0"/>
    <w:rsid w:val="00D535AE"/>
    <w:rsid w:val="00D6394F"/>
    <w:rsid w:val="00D65930"/>
    <w:rsid w:val="00D668FD"/>
    <w:rsid w:val="00D84B5D"/>
    <w:rsid w:val="00DA5588"/>
    <w:rsid w:val="00DD3F51"/>
    <w:rsid w:val="00DD490B"/>
    <w:rsid w:val="00DE3603"/>
    <w:rsid w:val="00DE4967"/>
    <w:rsid w:val="00DE4DED"/>
    <w:rsid w:val="00E0196A"/>
    <w:rsid w:val="00E05B66"/>
    <w:rsid w:val="00E10044"/>
    <w:rsid w:val="00E1400F"/>
    <w:rsid w:val="00E34956"/>
    <w:rsid w:val="00E402CF"/>
    <w:rsid w:val="00E4464D"/>
    <w:rsid w:val="00E47C80"/>
    <w:rsid w:val="00E72A98"/>
    <w:rsid w:val="00E81906"/>
    <w:rsid w:val="00E86A6F"/>
    <w:rsid w:val="00E87819"/>
    <w:rsid w:val="00E94655"/>
    <w:rsid w:val="00EC3936"/>
    <w:rsid w:val="00ED250F"/>
    <w:rsid w:val="00ED2CF0"/>
    <w:rsid w:val="00EE2740"/>
    <w:rsid w:val="00EE32D7"/>
    <w:rsid w:val="00EE5D91"/>
    <w:rsid w:val="00EF22DE"/>
    <w:rsid w:val="00F00012"/>
    <w:rsid w:val="00F10E58"/>
    <w:rsid w:val="00F12503"/>
    <w:rsid w:val="00F24811"/>
    <w:rsid w:val="00F25DE7"/>
    <w:rsid w:val="00F42D0C"/>
    <w:rsid w:val="00F6114A"/>
    <w:rsid w:val="00F65200"/>
    <w:rsid w:val="00F725FB"/>
    <w:rsid w:val="00F72837"/>
    <w:rsid w:val="00F75F24"/>
    <w:rsid w:val="00F94D35"/>
    <w:rsid w:val="00F97B6C"/>
    <w:rsid w:val="00FC1564"/>
    <w:rsid w:val="00FC7852"/>
    <w:rsid w:val="00FE522E"/>
    <w:rsid w:val="00FE7488"/>
    <w:rsid w:val="09D8F577"/>
    <w:rsid w:val="2B1F4B47"/>
    <w:rsid w:val="3194A544"/>
    <w:rsid w:val="52F7194C"/>
    <w:rsid w:val="57A12F9A"/>
    <w:rsid w:val="6338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C30C"/>
  <w15:chartTrackingRefBased/>
  <w15:docId w15:val="{708026B4-E80E-4264-8BFB-25A01799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F6"/>
    <w:rPr>
      <w:rFonts w:ascii="Basic Sans Light" w:hAnsi="Basic Sans Light"/>
    </w:rPr>
  </w:style>
  <w:style w:type="paragraph" w:styleId="Heading1">
    <w:name w:val="heading 1"/>
    <w:basedOn w:val="Normal"/>
    <w:next w:val="Normal"/>
    <w:link w:val="Heading1Char"/>
    <w:uiPriority w:val="9"/>
    <w:qFormat/>
    <w:rsid w:val="005F69F6"/>
    <w:pPr>
      <w:keepNext/>
      <w:keepLines/>
      <w:spacing w:before="240" w:after="0"/>
      <w:outlineLvl w:val="0"/>
    </w:pPr>
    <w:rPr>
      <w:rFonts w:ascii="Basic Sans" w:eastAsiaTheme="majorEastAsia" w:hAnsi="Basic Sans" w:cstheme="majorBidi"/>
      <w:color w:val="004663" w:themeColor="accent1" w:themeShade="BF"/>
      <w:sz w:val="32"/>
      <w:szCs w:val="32"/>
    </w:rPr>
  </w:style>
  <w:style w:type="paragraph" w:styleId="Heading2">
    <w:name w:val="heading 2"/>
    <w:basedOn w:val="Normal"/>
    <w:next w:val="Normal"/>
    <w:link w:val="Heading2Char"/>
    <w:uiPriority w:val="9"/>
    <w:unhideWhenUsed/>
    <w:qFormat/>
    <w:rsid w:val="005F69F6"/>
    <w:pPr>
      <w:keepNext/>
      <w:keepLines/>
      <w:spacing w:before="40" w:after="0"/>
      <w:outlineLvl w:val="1"/>
    </w:pPr>
    <w:rPr>
      <w:rFonts w:ascii="Basic Sans" w:eastAsiaTheme="majorEastAsia" w:hAnsi="Basic Sans" w:cstheme="majorBidi"/>
      <w:color w:val="004663" w:themeColor="accent1" w:themeShade="BF"/>
      <w:sz w:val="26"/>
      <w:szCs w:val="26"/>
      <w:lang w:val="en-NZ"/>
    </w:rPr>
  </w:style>
  <w:style w:type="paragraph" w:styleId="Heading3">
    <w:name w:val="heading 3"/>
    <w:basedOn w:val="Normal"/>
    <w:next w:val="Normal"/>
    <w:link w:val="Heading3Char"/>
    <w:uiPriority w:val="9"/>
    <w:semiHidden/>
    <w:unhideWhenUsed/>
    <w:qFormat/>
    <w:rsid w:val="00442C7A"/>
    <w:pPr>
      <w:keepNext/>
      <w:keepLines/>
      <w:spacing w:before="40" w:after="0"/>
      <w:outlineLvl w:val="2"/>
    </w:pPr>
    <w:rPr>
      <w:rFonts w:asciiTheme="majorHAnsi" w:eastAsiaTheme="majorEastAsia" w:hAnsiTheme="majorHAnsi" w:cstheme="majorBidi"/>
      <w:color w:val="002E4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9F6"/>
    <w:rPr>
      <w:rFonts w:ascii="Basic Sans" w:eastAsiaTheme="majorEastAsia" w:hAnsi="Basic Sans" w:cstheme="majorBidi"/>
      <w:color w:val="004663" w:themeColor="accent1" w:themeShade="BF"/>
      <w:sz w:val="26"/>
      <w:szCs w:val="26"/>
      <w:lang w:val="en-NZ"/>
    </w:rPr>
  </w:style>
  <w:style w:type="paragraph" w:styleId="FootnoteText">
    <w:name w:val="footnote text"/>
    <w:basedOn w:val="Normal"/>
    <w:link w:val="FootnoteTextChar"/>
    <w:uiPriority w:val="99"/>
    <w:unhideWhenUsed/>
    <w:rsid w:val="00441568"/>
    <w:pPr>
      <w:spacing w:after="0" w:line="240" w:lineRule="auto"/>
    </w:pPr>
    <w:rPr>
      <w:sz w:val="20"/>
      <w:szCs w:val="20"/>
      <w:lang w:val="en-NZ"/>
    </w:rPr>
  </w:style>
  <w:style w:type="character" w:customStyle="1" w:styleId="FootnoteTextChar">
    <w:name w:val="Footnote Text Char"/>
    <w:basedOn w:val="DefaultParagraphFont"/>
    <w:link w:val="FootnoteText"/>
    <w:uiPriority w:val="99"/>
    <w:rsid w:val="00441568"/>
    <w:rPr>
      <w:sz w:val="20"/>
      <w:szCs w:val="20"/>
      <w:lang w:val="en-NZ"/>
    </w:rPr>
  </w:style>
  <w:style w:type="character" w:styleId="FootnoteReference">
    <w:name w:val="footnote reference"/>
    <w:basedOn w:val="DefaultParagraphFont"/>
    <w:uiPriority w:val="99"/>
    <w:semiHidden/>
    <w:unhideWhenUsed/>
    <w:rsid w:val="00441568"/>
    <w:rPr>
      <w:vertAlign w:val="superscript"/>
    </w:rPr>
  </w:style>
  <w:style w:type="character" w:styleId="CommentReference">
    <w:name w:val="annotation reference"/>
    <w:basedOn w:val="DefaultParagraphFont"/>
    <w:uiPriority w:val="99"/>
    <w:semiHidden/>
    <w:unhideWhenUsed/>
    <w:rsid w:val="00441568"/>
    <w:rPr>
      <w:sz w:val="16"/>
      <w:szCs w:val="16"/>
    </w:rPr>
  </w:style>
  <w:style w:type="paragraph" w:styleId="CommentText">
    <w:name w:val="annotation text"/>
    <w:basedOn w:val="Normal"/>
    <w:link w:val="CommentTextChar"/>
    <w:uiPriority w:val="99"/>
    <w:unhideWhenUsed/>
    <w:rsid w:val="00441568"/>
    <w:pPr>
      <w:spacing w:line="240" w:lineRule="auto"/>
    </w:pPr>
    <w:rPr>
      <w:sz w:val="20"/>
      <w:szCs w:val="20"/>
      <w:lang w:val="en-NZ"/>
    </w:rPr>
  </w:style>
  <w:style w:type="character" w:customStyle="1" w:styleId="CommentTextChar">
    <w:name w:val="Comment Text Char"/>
    <w:basedOn w:val="DefaultParagraphFont"/>
    <w:link w:val="CommentText"/>
    <w:uiPriority w:val="99"/>
    <w:rsid w:val="00441568"/>
    <w:rPr>
      <w:sz w:val="20"/>
      <w:szCs w:val="20"/>
      <w:lang w:val="en-NZ"/>
    </w:rPr>
  </w:style>
  <w:style w:type="paragraph" w:styleId="ListParagraph">
    <w:name w:val="List Paragraph"/>
    <w:basedOn w:val="Normal"/>
    <w:uiPriority w:val="34"/>
    <w:qFormat/>
    <w:rsid w:val="00441568"/>
    <w:pPr>
      <w:ind w:left="720"/>
      <w:contextualSpacing/>
    </w:pPr>
    <w:rPr>
      <w:lang w:val="en-NZ"/>
    </w:rPr>
  </w:style>
  <w:style w:type="character" w:customStyle="1" w:styleId="normaltextrun">
    <w:name w:val="normaltextrun"/>
    <w:basedOn w:val="DefaultParagraphFont"/>
    <w:rsid w:val="00441568"/>
  </w:style>
  <w:style w:type="character" w:customStyle="1" w:styleId="eop">
    <w:name w:val="eop"/>
    <w:basedOn w:val="DefaultParagraphFont"/>
    <w:rsid w:val="00441568"/>
  </w:style>
  <w:style w:type="paragraph" w:customStyle="1" w:styleId="paragraph">
    <w:name w:val="paragraph"/>
    <w:basedOn w:val="Normal"/>
    <w:rsid w:val="00441568"/>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unhideWhenUsed/>
    <w:rsid w:val="00441568"/>
    <w:rPr>
      <w:color w:val="7F7F7F" w:themeColor="hyperlink"/>
      <w:u w:val="single"/>
    </w:rPr>
  </w:style>
  <w:style w:type="character" w:styleId="Mention">
    <w:name w:val="Mention"/>
    <w:basedOn w:val="DefaultParagraphFont"/>
    <w:uiPriority w:val="99"/>
    <w:unhideWhenUsed/>
    <w:rsid w:val="00441568"/>
    <w:rPr>
      <w:color w:val="2B579A"/>
      <w:shd w:val="clear" w:color="auto" w:fill="E1DFDD"/>
    </w:rPr>
  </w:style>
  <w:style w:type="character" w:customStyle="1" w:styleId="Heading1Char">
    <w:name w:val="Heading 1 Char"/>
    <w:basedOn w:val="DefaultParagraphFont"/>
    <w:link w:val="Heading1"/>
    <w:uiPriority w:val="9"/>
    <w:rsid w:val="005F69F6"/>
    <w:rPr>
      <w:rFonts w:ascii="Basic Sans" w:eastAsiaTheme="majorEastAsia" w:hAnsi="Basic Sans" w:cstheme="majorBidi"/>
      <w:color w:val="004663" w:themeColor="accent1" w:themeShade="BF"/>
      <w:sz w:val="32"/>
      <w:szCs w:val="32"/>
    </w:rPr>
  </w:style>
  <w:style w:type="paragraph" w:styleId="Title">
    <w:name w:val="Title"/>
    <w:basedOn w:val="Normal"/>
    <w:next w:val="Normal"/>
    <w:link w:val="TitleChar"/>
    <w:uiPriority w:val="10"/>
    <w:qFormat/>
    <w:rsid w:val="003E1CE5"/>
    <w:pPr>
      <w:spacing w:after="120" w:line="240" w:lineRule="auto"/>
    </w:pPr>
    <w:rPr>
      <w:rFonts w:ascii="Basic Sans" w:eastAsiaTheme="majorEastAsia" w:hAnsi="Basic Sans" w:cstheme="majorBidi"/>
      <w:color w:val="2B5262" w:themeColor="accent3"/>
      <w:spacing w:val="-10"/>
      <w:kern w:val="28"/>
      <w:sz w:val="52"/>
      <w:szCs w:val="52"/>
      <w:lang w:val="mi-NZ"/>
    </w:rPr>
  </w:style>
  <w:style w:type="character" w:customStyle="1" w:styleId="TitleChar">
    <w:name w:val="Title Char"/>
    <w:basedOn w:val="DefaultParagraphFont"/>
    <w:link w:val="Title"/>
    <w:uiPriority w:val="10"/>
    <w:rsid w:val="003E1CE5"/>
    <w:rPr>
      <w:rFonts w:ascii="Basic Sans" w:eastAsiaTheme="majorEastAsia" w:hAnsi="Basic Sans" w:cstheme="majorBidi"/>
      <w:color w:val="2B5262" w:themeColor="accent3"/>
      <w:spacing w:val="-10"/>
      <w:kern w:val="28"/>
      <w:sz w:val="52"/>
      <w:szCs w:val="52"/>
      <w:lang w:val="mi-NZ"/>
    </w:rPr>
  </w:style>
  <w:style w:type="paragraph" w:styleId="Header">
    <w:name w:val="header"/>
    <w:basedOn w:val="Normal"/>
    <w:link w:val="HeaderChar"/>
    <w:uiPriority w:val="99"/>
    <w:unhideWhenUsed/>
    <w:rsid w:val="0081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6BE"/>
    <w:rPr>
      <w:rFonts w:ascii="Basic Sans Light" w:hAnsi="Basic Sans Light"/>
    </w:rPr>
  </w:style>
  <w:style w:type="paragraph" w:styleId="Footer">
    <w:name w:val="footer"/>
    <w:basedOn w:val="Normal"/>
    <w:link w:val="FooterChar"/>
    <w:uiPriority w:val="99"/>
    <w:unhideWhenUsed/>
    <w:rsid w:val="0081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6BE"/>
    <w:rPr>
      <w:rFonts w:ascii="Basic Sans Light" w:hAnsi="Basic Sans Light"/>
    </w:rPr>
  </w:style>
  <w:style w:type="paragraph" w:styleId="Revision">
    <w:name w:val="Revision"/>
    <w:hidden/>
    <w:uiPriority w:val="99"/>
    <w:semiHidden/>
    <w:rsid w:val="0008240F"/>
    <w:pPr>
      <w:spacing w:after="0" w:line="240" w:lineRule="auto"/>
    </w:pPr>
    <w:rPr>
      <w:rFonts w:ascii="Basic Sans Light" w:hAnsi="Basic Sans Light"/>
    </w:rPr>
  </w:style>
  <w:style w:type="paragraph" w:customStyle="1" w:styleId="font8">
    <w:name w:val="font_8"/>
    <w:basedOn w:val="Normal"/>
    <w:rsid w:val="00D84B5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3Char">
    <w:name w:val="Heading 3 Char"/>
    <w:basedOn w:val="DefaultParagraphFont"/>
    <w:link w:val="Heading3"/>
    <w:uiPriority w:val="9"/>
    <w:rsid w:val="00442C7A"/>
    <w:rPr>
      <w:rFonts w:asciiTheme="majorHAnsi" w:eastAsiaTheme="majorEastAsia" w:hAnsiTheme="majorHAnsi" w:cstheme="majorBidi"/>
      <w:color w:val="002E42" w:themeColor="accent1" w:themeShade="7F"/>
      <w:sz w:val="24"/>
      <w:szCs w:val="24"/>
    </w:rPr>
  </w:style>
  <w:style w:type="character" w:styleId="UnresolvedMention">
    <w:name w:val="Unresolved Mention"/>
    <w:basedOn w:val="DefaultParagraphFont"/>
    <w:uiPriority w:val="99"/>
    <w:semiHidden/>
    <w:unhideWhenUsed/>
    <w:rsid w:val="00442C7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D7CBE"/>
    <w:rPr>
      <w:b/>
      <w:bCs/>
      <w:lang w:val="en-US"/>
    </w:rPr>
  </w:style>
  <w:style w:type="character" w:customStyle="1" w:styleId="CommentSubjectChar">
    <w:name w:val="Comment Subject Char"/>
    <w:basedOn w:val="CommentTextChar"/>
    <w:link w:val="CommentSubject"/>
    <w:uiPriority w:val="99"/>
    <w:semiHidden/>
    <w:rsid w:val="00CD7CBE"/>
    <w:rPr>
      <w:rFonts w:ascii="Basic Sans Light" w:hAnsi="Basic Sans Light"/>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wc.govt.nz/our-work/covid-19-insigh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our-work/covid-19-insigh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c5c092ee17e4228b15983ce58453ee6 xmlns="bd74e8db-9588-4046-9f22-b81f23249a13">
      <Terms xmlns="http://schemas.microsoft.com/office/infopath/2007/PartnerControls"/>
    </cc5c092ee17e4228b15983ce58453ee6>
    <BusinessActivity xmlns="bd74e8db-9588-4046-9f22-b81f23249a13" xsi:nil="true"/>
    <TaxCatchAll xmlns="bd74e8db-9588-4046-9f22-b81f23249a13" xsi:nil="true"/>
    <FinancialYear xmlns="bb0bd7a6-c265-44d5-b39f-e5b415113992">2020 - 2021</FinancialYear>
    <MaoriData xmlns="bb0bd7a6-c265-44d5-b39f-e5b415113992">No</MaoriData>
    <DocumentType xmlns="bb0bd7a6-c265-44d5-b39f-e5b415113992" xsi:nil="true"/>
    <_dlc_DocId xmlns="bd74e8db-9588-4046-9f22-b81f23249a13">DOCS-2118466571-3866</_dlc_DocId>
    <_dlc_DocIdUrl xmlns="bd74e8db-9588-4046-9f22-b81f23249a13">
      <Url>https://mhwcnz.sharepoint.com/sites/operations/_layouts/15/DocIdRedir.aspx?ID=DOCS-2118466571-3866</Url>
      <Description>DOCS-2118466571-3866</Description>
    </_dlc_DocIdUrl>
    <lcf76f155ced4ddcb4097134ff3c332f xmlns="f6ff877f-2c4e-420e-ae14-681b0ea7e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D73EE-422A-41B3-83C1-AE6A737A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0AAF7-8AA1-40FF-88E6-7C6ED7953DFC}">
  <ds:schemaRefs>
    <ds:schemaRef ds:uri="http://schemas.microsoft.com/sharepoint/v3/contenttype/forms"/>
  </ds:schemaRefs>
</ds:datastoreItem>
</file>

<file path=customXml/itemProps3.xml><?xml version="1.0" encoding="utf-8"?>
<ds:datastoreItem xmlns:ds="http://schemas.openxmlformats.org/officeDocument/2006/customXml" ds:itemID="{A3C7A192-EAD2-4C26-A753-4813A092561B}">
  <ds:schemaRefs>
    <ds:schemaRef ds:uri="http://schemas.microsoft.com/sharepoint/events"/>
  </ds:schemaRefs>
</ds:datastoreItem>
</file>

<file path=customXml/itemProps4.xml><?xml version="1.0" encoding="utf-8"?>
<ds:datastoreItem xmlns:ds="http://schemas.openxmlformats.org/officeDocument/2006/customXml" ds:itemID="{288AFBA1-8DC7-4C4A-8A45-A99D6721B77E}">
  <ds:schemaRefs>
    <ds:schemaRef ds:uri="http://schemas.openxmlformats.org/officeDocument/2006/bibliography"/>
  </ds:schemaRefs>
</ds:datastoreItem>
</file>

<file path=customXml/itemProps5.xml><?xml version="1.0" encoding="utf-8"?>
<ds:datastoreItem xmlns:ds="http://schemas.openxmlformats.org/officeDocument/2006/customXml" ds:itemID="{80A900E3-4EB5-4BCA-98D5-B380DBE8BC1C}">
  <ds:schemaRefs>
    <ds:schemaRef ds:uri="http://schemas.microsoft.com/office/2006/metadata/properties"/>
    <ds:schemaRef ds:uri="http://schemas.microsoft.com/office/infopath/2007/PartnerControls"/>
    <ds:schemaRef ds:uri="bd74e8db-9588-4046-9f22-b81f23249a13"/>
    <ds:schemaRef ds:uri="bb0bd7a6-c265-44d5-b39f-e5b415113992"/>
    <ds:schemaRef ds:uri="f6ff877f-2c4e-420e-ae14-681b0ea7e1b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Bloomer</dc:creator>
  <cp:keywords/>
  <dc:description/>
  <cp:lastModifiedBy>Bryanna Lingley</cp:lastModifiedBy>
  <cp:revision>18</cp:revision>
  <dcterms:created xsi:type="dcterms:W3CDTF">2023-04-13T04:27:00Z</dcterms:created>
  <dcterms:modified xsi:type="dcterms:W3CDTF">2023-04-13T05:27:00Z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FinancialYear">
    <vt:lpwstr>2020 - 2021</vt:lpwstr>
  </property>
  <property fmtid="{D5CDD505-2E9C-101B-9397-08002B2CF9AE}" pid="4" name="MaoriData">
    <vt:lpwstr>No</vt:lpwstr>
  </property>
  <property fmtid="{D5CDD505-2E9C-101B-9397-08002B2CF9AE}" pid="5" name="BusinessFunction">
    <vt:lpwstr/>
  </property>
  <property fmtid="{D5CDD505-2E9C-101B-9397-08002B2CF9AE}" pid="6" name="_dlc_DocIdItemGuid">
    <vt:lpwstr>8d26f4d3-c23d-4f9c-883c-c59fd2efa25f</vt:lpwstr>
  </property>
  <property fmtid="{D5CDD505-2E9C-101B-9397-08002B2CF9AE}" pid="7" name="MediaServiceImageTags">
    <vt:lpwstr/>
  </property>
</Properties>
</file>