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CC41" w14:textId="07391FFC" w:rsidR="00466460" w:rsidRDefault="00B1104A" w:rsidP="00466460">
      <w:pPr>
        <w:pStyle w:val="Heading1"/>
        <w:numPr>
          <w:ilvl w:val="0"/>
          <w:numId w:val="0"/>
        </w:numPr>
        <w:spacing w:line="194" w:lineRule="auto"/>
        <w:ind w:right="2246"/>
        <w:rPr>
          <w:color w:val="005F86"/>
          <w:sz w:val="52"/>
          <w:szCs w:val="48"/>
        </w:rPr>
      </w:pPr>
      <w:r>
        <w:rPr>
          <w:rFonts w:ascii="Demos Next Pro Heavy" w:hAnsi="Demos Next Pro Heavy"/>
          <w:noProof/>
          <w:color w:val="525252"/>
          <w:sz w:val="20"/>
          <w:szCs w:val="18"/>
        </w:rPr>
        <w:drawing>
          <wp:inline distT="0" distB="0" distL="0" distR="0" wp14:anchorId="6032E6B9" wp14:editId="4F31880D">
            <wp:extent cx="3050126" cy="585627"/>
            <wp:effectExtent l="0" t="0" r="0" b="5080"/>
            <wp:docPr id="1294718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718176" name="Picture 129471817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09834" cy="597091"/>
                    </a:xfrm>
                    <a:prstGeom prst="rect">
                      <a:avLst/>
                    </a:prstGeom>
                  </pic:spPr>
                </pic:pic>
              </a:graphicData>
            </a:graphic>
          </wp:inline>
        </w:drawing>
      </w:r>
      <w:r w:rsidR="00466460" w:rsidRPr="00466460">
        <w:rPr>
          <w:color w:val="005F86"/>
          <w:sz w:val="52"/>
          <w:szCs w:val="48"/>
        </w:rPr>
        <w:t xml:space="preserve"> </w:t>
      </w:r>
    </w:p>
    <w:p w14:paraId="5E4E3D59" w14:textId="77777777" w:rsidR="00466460" w:rsidRDefault="00466460" w:rsidP="00466460">
      <w:pPr>
        <w:pStyle w:val="Heading1"/>
        <w:numPr>
          <w:ilvl w:val="0"/>
          <w:numId w:val="0"/>
        </w:numPr>
        <w:spacing w:line="194" w:lineRule="auto"/>
        <w:ind w:right="2246"/>
        <w:rPr>
          <w:color w:val="005F86"/>
          <w:sz w:val="52"/>
          <w:szCs w:val="48"/>
        </w:rPr>
      </w:pPr>
    </w:p>
    <w:p w14:paraId="45B66CBC" w14:textId="4C1BBCB3" w:rsidR="00466460" w:rsidRPr="00466460" w:rsidRDefault="00A75F14" w:rsidP="00515215">
      <w:pPr>
        <w:pStyle w:val="Heading1"/>
        <w:numPr>
          <w:ilvl w:val="0"/>
          <w:numId w:val="0"/>
        </w:numPr>
        <w:spacing w:line="194" w:lineRule="auto"/>
        <w:ind w:right="2246"/>
        <w:rPr>
          <w:rFonts w:ascii="Demos Next Pro Heavy" w:hAnsi="Demos Next Pro Heavy"/>
          <w:sz w:val="52"/>
          <w:szCs w:val="48"/>
        </w:rPr>
      </w:pPr>
      <w:r>
        <w:rPr>
          <w:rFonts w:ascii="Demos Next Pro Heavy" w:hAnsi="Demos Next Pro Heavy"/>
          <w:color w:val="005F86"/>
          <w:sz w:val="52"/>
          <w:szCs w:val="48"/>
        </w:rPr>
        <w:t xml:space="preserve">Working paper: </w:t>
      </w:r>
      <w:r w:rsidR="00515215" w:rsidRPr="00515215">
        <w:rPr>
          <w:rFonts w:ascii="Demos Next Pro Heavy" w:hAnsi="Demos Next Pro Heavy"/>
          <w:color w:val="005F86"/>
          <w:sz w:val="52"/>
          <w:szCs w:val="48"/>
        </w:rPr>
        <w:t xml:space="preserve">Review of suicide and self-harm monitoring indicators </w:t>
      </w:r>
    </w:p>
    <w:p w14:paraId="027633FB" w14:textId="24B759B9" w:rsidR="00466460" w:rsidRDefault="00515215" w:rsidP="00466460">
      <w:pPr>
        <w:spacing w:before="332"/>
        <w:rPr>
          <w:rFonts w:ascii="Demos Next Pro Heavy"/>
          <w:b/>
          <w:sz w:val="32"/>
        </w:rPr>
      </w:pPr>
      <w:r>
        <w:rPr>
          <w:rFonts w:ascii="Demos Next Pro Heavy"/>
          <w:b/>
          <w:color w:val="2B5162"/>
          <w:sz w:val="32"/>
        </w:rPr>
        <w:t xml:space="preserve">October </w:t>
      </w:r>
      <w:r w:rsidR="00466460">
        <w:rPr>
          <w:rFonts w:ascii="Demos Next Pro Heavy"/>
          <w:b/>
          <w:color w:val="2B5162"/>
          <w:spacing w:val="-4"/>
          <w:sz w:val="32"/>
        </w:rPr>
        <w:t>2025</w:t>
      </w:r>
    </w:p>
    <w:p w14:paraId="2AC534AD" w14:textId="2FDFFE1E" w:rsidR="00BE2002" w:rsidRPr="00C447BD" w:rsidRDefault="00B05A18">
      <w:pPr>
        <w:rPr>
          <w:rFonts w:ascii="Basic Sans" w:hAnsi="Basic Sans"/>
          <w:b/>
          <w:bCs/>
          <w:color w:val="156082" w:themeColor="accent1"/>
          <w:sz w:val="80"/>
          <w:szCs w:val="80"/>
        </w:rPr>
      </w:pPr>
      <w:r>
        <w:rPr>
          <w:rFonts w:ascii="Demos Next Pro Heavy"/>
          <w:b/>
          <w:noProof/>
          <w:sz w:val="32"/>
        </w:rPr>
        <mc:AlternateContent>
          <mc:Choice Requires="wps">
            <w:drawing>
              <wp:anchor distT="0" distB="0" distL="0" distR="0" simplePos="0" relativeHeight="251658240" behindDoc="0" locked="0" layoutInCell="1" allowOverlap="1" wp14:anchorId="72C36FFC" wp14:editId="4DF4250A">
                <wp:simplePos x="0" y="0"/>
                <wp:positionH relativeFrom="page">
                  <wp:posOffset>3507105</wp:posOffset>
                </wp:positionH>
                <wp:positionV relativeFrom="paragraph">
                  <wp:posOffset>2493124</wp:posOffset>
                </wp:positionV>
                <wp:extent cx="4217035" cy="41402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7035" cy="4140200"/>
                        </a:xfrm>
                        <a:custGeom>
                          <a:avLst/>
                          <a:gdLst/>
                          <a:ahLst/>
                          <a:cxnLst/>
                          <a:rect l="l" t="t" r="r" b="b"/>
                          <a:pathLst>
                            <a:path w="4217035" h="4140200">
                              <a:moveTo>
                                <a:pt x="2277008" y="3501250"/>
                              </a:moveTo>
                              <a:lnTo>
                                <a:pt x="2270239" y="3452342"/>
                              </a:lnTo>
                              <a:lnTo>
                                <a:pt x="2253996" y="3404514"/>
                              </a:lnTo>
                              <a:lnTo>
                                <a:pt x="2225002" y="3355657"/>
                              </a:lnTo>
                              <a:lnTo>
                                <a:pt x="2188197" y="3317481"/>
                              </a:lnTo>
                              <a:lnTo>
                                <a:pt x="2145004" y="3288982"/>
                              </a:lnTo>
                              <a:lnTo>
                                <a:pt x="2096820" y="3269208"/>
                              </a:lnTo>
                              <a:lnTo>
                                <a:pt x="2052904" y="3258997"/>
                              </a:lnTo>
                              <a:lnTo>
                                <a:pt x="2045093" y="3257169"/>
                              </a:lnTo>
                              <a:lnTo>
                                <a:pt x="2010117" y="3253067"/>
                              </a:lnTo>
                              <a:lnTo>
                                <a:pt x="1974634" y="3251568"/>
                              </a:lnTo>
                              <a:lnTo>
                                <a:pt x="1939036" y="3252393"/>
                              </a:lnTo>
                              <a:lnTo>
                                <a:pt x="1855533" y="3258858"/>
                              </a:lnTo>
                              <a:lnTo>
                                <a:pt x="1807311" y="3258997"/>
                              </a:lnTo>
                              <a:lnTo>
                                <a:pt x="1759229" y="3255784"/>
                              </a:lnTo>
                              <a:lnTo>
                                <a:pt x="1711464" y="3249320"/>
                              </a:lnTo>
                              <a:lnTo>
                                <a:pt x="1664208" y="3239681"/>
                              </a:lnTo>
                              <a:lnTo>
                                <a:pt x="1617649" y="3226981"/>
                              </a:lnTo>
                              <a:lnTo>
                                <a:pt x="1571967" y="3211296"/>
                              </a:lnTo>
                              <a:lnTo>
                                <a:pt x="1527365" y="3192703"/>
                              </a:lnTo>
                              <a:lnTo>
                                <a:pt x="1484033" y="3171317"/>
                              </a:lnTo>
                              <a:lnTo>
                                <a:pt x="1442148" y="3147212"/>
                              </a:lnTo>
                              <a:lnTo>
                                <a:pt x="1401914" y="3120491"/>
                              </a:lnTo>
                              <a:lnTo>
                                <a:pt x="1363522" y="3091218"/>
                              </a:lnTo>
                              <a:lnTo>
                                <a:pt x="1308023" y="3041040"/>
                              </a:lnTo>
                              <a:lnTo>
                                <a:pt x="1258176" y="2985427"/>
                              </a:lnTo>
                              <a:lnTo>
                                <a:pt x="1228788" y="2946082"/>
                              </a:lnTo>
                              <a:lnTo>
                                <a:pt x="1192301" y="2887726"/>
                              </a:lnTo>
                              <a:lnTo>
                                <a:pt x="1167879" y="2841752"/>
                              </a:lnTo>
                              <a:lnTo>
                                <a:pt x="1146213" y="2794609"/>
                              </a:lnTo>
                              <a:lnTo>
                                <a:pt x="1127112" y="2746451"/>
                              </a:lnTo>
                              <a:lnTo>
                                <a:pt x="1110411" y="2697378"/>
                              </a:lnTo>
                              <a:lnTo>
                                <a:pt x="1095959" y="2647505"/>
                              </a:lnTo>
                              <a:lnTo>
                                <a:pt x="1083551" y="2596972"/>
                              </a:lnTo>
                              <a:lnTo>
                                <a:pt x="1073048" y="2545854"/>
                              </a:lnTo>
                              <a:lnTo>
                                <a:pt x="1064272" y="2494318"/>
                              </a:lnTo>
                              <a:lnTo>
                                <a:pt x="1057033" y="2442438"/>
                              </a:lnTo>
                              <a:lnTo>
                                <a:pt x="1051191" y="2390356"/>
                              </a:lnTo>
                              <a:lnTo>
                                <a:pt x="1046556" y="2338184"/>
                              </a:lnTo>
                              <a:lnTo>
                                <a:pt x="1043152" y="2289975"/>
                              </a:lnTo>
                              <a:lnTo>
                                <a:pt x="1040511" y="2241880"/>
                              </a:lnTo>
                              <a:lnTo>
                                <a:pt x="1038479" y="2194014"/>
                              </a:lnTo>
                              <a:lnTo>
                                <a:pt x="1036955" y="2146465"/>
                              </a:lnTo>
                              <a:lnTo>
                                <a:pt x="1036231" y="2099487"/>
                              </a:lnTo>
                              <a:lnTo>
                                <a:pt x="1036447" y="2050973"/>
                              </a:lnTo>
                              <a:lnTo>
                                <a:pt x="1037247" y="2002396"/>
                              </a:lnTo>
                              <a:lnTo>
                                <a:pt x="1038212" y="1954580"/>
                              </a:lnTo>
                              <a:lnTo>
                                <a:pt x="1039177" y="1898904"/>
                              </a:lnTo>
                              <a:lnTo>
                                <a:pt x="1039469" y="1858162"/>
                              </a:lnTo>
                              <a:lnTo>
                                <a:pt x="1039025" y="1794802"/>
                              </a:lnTo>
                              <a:lnTo>
                                <a:pt x="1037259" y="1742744"/>
                              </a:lnTo>
                              <a:lnTo>
                                <a:pt x="1033868" y="1691055"/>
                              </a:lnTo>
                              <a:lnTo>
                                <a:pt x="1028496" y="1640001"/>
                              </a:lnTo>
                              <a:lnTo>
                                <a:pt x="1020775" y="1589836"/>
                              </a:lnTo>
                              <a:lnTo>
                                <a:pt x="1009510" y="1537601"/>
                              </a:lnTo>
                              <a:lnTo>
                                <a:pt x="994765" y="1487119"/>
                              </a:lnTo>
                              <a:lnTo>
                                <a:pt x="976033" y="1438630"/>
                              </a:lnTo>
                              <a:lnTo>
                                <a:pt x="952881" y="1392453"/>
                              </a:lnTo>
                              <a:lnTo>
                                <a:pt x="924877" y="1348892"/>
                              </a:lnTo>
                              <a:lnTo>
                                <a:pt x="891717" y="1307477"/>
                              </a:lnTo>
                              <a:lnTo>
                                <a:pt x="855586" y="1270101"/>
                              </a:lnTo>
                              <a:lnTo>
                                <a:pt x="816838" y="1236827"/>
                              </a:lnTo>
                              <a:lnTo>
                                <a:pt x="775804" y="1207719"/>
                              </a:lnTo>
                              <a:lnTo>
                                <a:pt x="732840" y="1182814"/>
                              </a:lnTo>
                              <a:lnTo>
                                <a:pt x="688289" y="1162177"/>
                              </a:lnTo>
                              <a:lnTo>
                                <a:pt x="642505" y="1145870"/>
                              </a:lnTo>
                              <a:lnTo>
                                <a:pt x="595820" y="1133919"/>
                              </a:lnTo>
                              <a:lnTo>
                                <a:pt x="548576" y="1126401"/>
                              </a:lnTo>
                              <a:lnTo>
                                <a:pt x="501142" y="1123365"/>
                              </a:lnTo>
                              <a:lnTo>
                                <a:pt x="453847" y="1124851"/>
                              </a:lnTo>
                              <a:lnTo>
                                <a:pt x="407047" y="1130935"/>
                              </a:lnTo>
                              <a:lnTo>
                                <a:pt x="361073" y="1141641"/>
                              </a:lnTo>
                              <a:lnTo>
                                <a:pt x="311277" y="1159103"/>
                              </a:lnTo>
                              <a:lnTo>
                                <a:pt x="263423" y="1182458"/>
                              </a:lnTo>
                              <a:lnTo>
                                <a:pt x="217995" y="1211795"/>
                              </a:lnTo>
                              <a:lnTo>
                                <a:pt x="175475" y="1247190"/>
                              </a:lnTo>
                              <a:lnTo>
                                <a:pt x="141338" y="1282319"/>
                              </a:lnTo>
                              <a:lnTo>
                                <a:pt x="111455" y="1319339"/>
                              </a:lnTo>
                              <a:lnTo>
                                <a:pt x="85636" y="1358112"/>
                              </a:lnTo>
                              <a:lnTo>
                                <a:pt x="63652" y="1398498"/>
                              </a:lnTo>
                              <a:lnTo>
                                <a:pt x="45313" y="1440332"/>
                              </a:lnTo>
                              <a:lnTo>
                                <a:pt x="30416" y="1483487"/>
                              </a:lnTo>
                              <a:lnTo>
                                <a:pt x="18719" y="1527810"/>
                              </a:lnTo>
                              <a:lnTo>
                                <a:pt x="10045" y="1573136"/>
                              </a:lnTo>
                              <a:lnTo>
                                <a:pt x="4178" y="1619338"/>
                              </a:lnTo>
                              <a:lnTo>
                                <a:pt x="901" y="1666252"/>
                              </a:lnTo>
                              <a:lnTo>
                                <a:pt x="0" y="1713738"/>
                              </a:lnTo>
                              <a:lnTo>
                                <a:pt x="1295" y="1761655"/>
                              </a:lnTo>
                              <a:lnTo>
                                <a:pt x="4546" y="1809838"/>
                              </a:lnTo>
                              <a:lnTo>
                                <a:pt x="9563" y="1858162"/>
                              </a:lnTo>
                              <a:lnTo>
                                <a:pt x="16129" y="1906460"/>
                              </a:lnTo>
                              <a:lnTo>
                                <a:pt x="24041" y="1954580"/>
                              </a:lnTo>
                              <a:lnTo>
                                <a:pt x="33083" y="2002396"/>
                              </a:lnTo>
                              <a:lnTo>
                                <a:pt x="43053" y="2049754"/>
                              </a:lnTo>
                              <a:lnTo>
                                <a:pt x="53746" y="2096490"/>
                              </a:lnTo>
                              <a:lnTo>
                                <a:pt x="64935" y="2142464"/>
                              </a:lnTo>
                              <a:lnTo>
                                <a:pt x="76441" y="2187537"/>
                              </a:lnTo>
                              <a:lnTo>
                                <a:pt x="88023" y="2231555"/>
                              </a:lnTo>
                              <a:lnTo>
                                <a:pt x="99491" y="2274379"/>
                              </a:lnTo>
                              <a:lnTo>
                                <a:pt x="110642" y="2315832"/>
                              </a:lnTo>
                              <a:lnTo>
                                <a:pt x="123342" y="2362085"/>
                              </a:lnTo>
                              <a:lnTo>
                                <a:pt x="136677" y="2408212"/>
                              </a:lnTo>
                              <a:lnTo>
                                <a:pt x="150672" y="2454186"/>
                              </a:lnTo>
                              <a:lnTo>
                                <a:pt x="165341" y="2499982"/>
                              </a:lnTo>
                              <a:lnTo>
                                <a:pt x="180708" y="2545550"/>
                              </a:lnTo>
                              <a:lnTo>
                                <a:pt x="196786" y="2590876"/>
                              </a:lnTo>
                              <a:lnTo>
                                <a:pt x="213588" y="2635923"/>
                              </a:lnTo>
                              <a:lnTo>
                                <a:pt x="231140" y="2680652"/>
                              </a:lnTo>
                              <a:lnTo>
                                <a:pt x="250456" y="2727287"/>
                              </a:lnTo>
                              <a:lnTo>
                                <a:pt x="270573" y="2773502"/>
                              </a:lnTo>
                              <a:lnTo>
                                <a:pt x="291579" y="2819285"/>
                              </a:lnTo>
                              <a:lnTo>
                                <a:pt x="313486" y="2864612"/>
                              </a:lnTo>
                              <a:lnTo>
                                <a:pt x="336346" y="2909430"/>
                              </a:lnTo>
                              <a:lnTo>
                                <a:pt x="360172" y="2953715"/>
                              </a:lnTo>
                              <a:lnTo>
                                <a:pt x="384962" y="2997428"/>
                              </a:lnTo>
                              <a:lnTo>
                                <a:pt x="410768" y="3040545"/>
                              </a:lnTo>
                              <a:lnTo>
                                <a:pt x="437603" y="3083026"/>
                              </a:lnTo>
                              <a:lnTo>
                                <a:pt x="465480" y="3124835"/>
                              </a:lnTo>
                              <a:lnTo>
                                <a:pt x="494423" y="3165945"/>
                              </a:lnTo>
                              <a:lnTo>
                                <a:pt x="524471" y="3206305"/>
                              </a:lnTo>
                              <a:lnTo>
                                <a:pt x="555625" y="3245904"/>
                              </a:lnTo>
                              <a:lnTo>
                                <a:pt x="587908" y="3284690"/>
                              </a:lnTo>
                              <a:lnTo>
                                <a:pt x="621360" y="3322650"/>
                              </a:lnTo>
                              <a:lnTo>
                                <a:pt x="655993" y="3359721"/>
                              </a:lnTo>
                              <a:lnTo>
                                <a:pt x="689698" y="3393681"/>
                              </a:lnTo>
                              <a:lnTo>
                                <a:pt x="724509" y="3426587"/>
                              </a:lnTo>
                              <a:lnTo>
                                <a:pt x="760387" y="3458400"/>
                              </a:lnTo>
                              <a:lnTo>
                                <a:pt x="797280" y="3489096"/>
                              </a:lnTo>
                              <a:lnTo>
                                <a:pt x="835139" y="3518649"/>
                              </a:lnTo>
                              <a:lnTo>
                                <a:pt x="873925" y="3547033"/>
                              </a:lnTo>
                              <a:lnTo>
                                <a:pt x="913587" y="3574211"/>
                              </a:lnTo>
                              <a:lnTo>
                                <a:pt x="954074" y="3600145"/>
                              </a:lnTo>
                              <a:lnTo>
                                <a:pt x="995362" y="3624821"/>
                              </a:lnTo>
                              <a:lnTo>
                                <a:pt x="1037374" y="3648214"/>
                              </a:lnTo>
                              <a:lnTo>
                                <a:pt x="1080096" y="3670274"/>
                              </a:lnTo>
                              <a:lnTo>
                                <a:pt x="1123467" y="3690988"/>
                              </a:lnTo>
                              <a:lnTo>
                                <a:pt x="1167434" y="3710317"/>
                              </a:lnTo>
                              <a:lnTo>
                                <a:pt x="1211961" y="3728237"/>
                              </a:lnTo>
                              <a:lnTo>
                                <a:pt x="1257007" y="3744709"/>
                              </a:lnTo>
                              <a:lnTo>
                                <a:pt x="1302512" y="3759720"/>
                              </a:lnTo>
                              <a:lnTo>
                                <a:pt x="1348435" y="3773233"/>
                              </a:lnTo>
                              <a:lnTo>
                                <a:pt x="1394752" y="3785209"/>
                              </a:lnTo>
                              <a:lnTo>
                                <a:pt x="1441386" y="3795636"/>
                              </a:lnTo>
                              <a:lnTo>
                                <a:pt x="1488300" y="3804475"/>
                              </a:lnTo>
                              <a:lnTo>
                                <a:pt x="1535455" y="3811701"/>
                              </a:lnTo>
                              <a:lnTo>
                                <a:pt x="1582801" y="3817264"/>
                              </a:lnTo>
                              <a:lnTo>
                                <a:pt x="1630299" y="3821163"/>
                              </a:lnTo>
                              <a:lnTo>
                                <a:pt x="1677898" y="3823360"/>
                              </a:lnTo>
                              <a:lnTo>
                                <a:pt x="1725549" y="3823817"/>
                              </a:lnTo>
                              <a:lnTo>
                                <a:pt x="1773212" y="3822509"/>
                              </a:lnTo>
                              <a:lnTo>
                                <a:pt x="1820849" y="3819410"/>
                              </a:lnTo>
                              <a:lnTo>
                                <a:pt x="1868385" y="3814495"/>
                              </a:lnTo>
                              <a:lnTo>
                                <a:pt x="1915807" y="3807714"/>
                              </a:lnTo>
                              <a:lnTo>
                                <a:pt x="1963051" y="3799065"/>
                              </a:lnTo>
                              <a:lnTo>
                                <a:pt x="2010079" y="3788499"/>
                              </a:lnTo>
                              <a:lnTo>
                                <a:pt x="2056841" y="3775989"/>
                              </a:lnTo>
                              <a:lnTo>
                                <a:pt x="2103297" y="3761498"/>
                              </a:lnTo>
                              <a:lnTo>
                                <a:pt x="2148052" y="3741445"/>
                              </a:lnTo>
                              <a:lnTo>
                                <a:pt x="2186813" y="3713950"/>
                              </a:lnTo>
                              <a:lnTo>
                                <a:pt x="2219198" y="3680193"/>
                              </a:lnTo>
                              <a:lnTo>
                                <a:pt x="2244801" y="3641369"/>
                              </a:lnTo>
                              <a:lnTo>
                                <a:pt x="2263851" y="3597071"/>
                              </a:lnTo>
                              <a:lnTo>
                                <a:pt x="2274722" y="3549929"/>
                              </a:lnTo>
                              <a:lnTo>
                                <a:pt x="2277008" y="3501250"/>
                              </a:lnTo>
                              <a:close/>
                            </a:path>
                            <a:path w="4217035" h="4140200">
                              <a:moveTo>
                                <a:pt x="3144177" y="996899"/>
                              </a:moveTo>
                              <a:lnTo>
                                <a:pt x="3142589" y="947013"/>
                              </a:lnTo>
                              <a:lnTo>
                                <a:pt x="3137243" y="897293"/>
                              </a:lnTo>
                              <a:lnTo>
                                <a:pt x="3128492" y="847953"/>
                              </a:lnTo>
                              <a:lnTo>
                                <a:pt x="3116605" y="799261"/>
                              </a:lnTo>
                              <a:lnTo>
                                <a:pt x="3101924" y="751459"/>
                              </a:lnTo>
                              <a:lnTo>
                                <a:pt x="3084753" y="704773"/>
                              </a:lnTo>
                              <a:lnTo>
                                <a:pt x="3065399" y="659447"/>
                              </a:lnTo>
                              <a:lnTo>
                                <a:pt x="3044177" y="615721"/>
                              </a:lnTo>
                              <a:lnTo>
                                <a:pt x="3021393" y="573849"/>
                              </a:lnTo>
                              <a:lnTo>
                                <a:pt x="2997365" y="534060"/>
                              </a:lnTo>
                              <a:lnTo>
                                <a:pt x="2972397" y="496608"/>
                              </a:lnTo>
                              <a:lnTo>
                                <a:pt x="2946806" y="461733"/>
                              </a:lnTo>
                              <a:lnTo>
                                <a:pt x="2920911" y="429666"/>
                              </a:lnTo>
                              <a:lnTo>
                                <a:pt x="2891574" y="396887"/>
                              </a:lnTo>
                              <a:lnTo>
                                <a:pt x="2860154" y="365264"/>
                              </a:lnTo>
                              <a:lnTo>
                                <a:pt x="2826804" y="334886"/>
                              </a:lnTo>
                              <a:lnTo>
                                <a:pt x="2791637" y="305866"/>
                              </a:lnTo>
                              <a:lnTo>
                                <a:pt x="2754795" y="278295"/>
                              </a:lnTo>
                              <a:lnTo>
                                <a:pt x="2716403" y="252260"/>
                              </a:lnTo>
                              <a:lnTo>
                                <a:pt x="2676588" y="227863"/>
                              </a:lnTo>
                              <a:lnTo>
                                <a:pt x="2635478" y="205206"/>
                              </a:lnTo>
                              <a:lnTo>
                                <a:pt x="2593213" y="184378"/>
                              </a:lnTo>
                              <a:lnTo>
                                <a:pt x="2549918" y="165481"/>
                              </a:lnTo>
                              <a:lnTo>
                                <a:pt x="2505722" y="148602"/>
                              </a:lnTo>
                              <a:lnTo>
                                <a:pt x="2460752" y="133845"/>
                              </a:lnTo>
                              <a:lnTo>
                                <a:pt x="2415146" y="121310"/>
                              </a:lnTo>
                              <a:lnTo>
                                <a:pt x="2369020" y="111086"/>
                              </a:lnTo>
                              <a:lnTo>
                                <a:pt x="2322512" y="103263"/>
                              </a:lnTo>
                              <a:lnTo>
                                <a:pt x="2275763" y="97955"/>
                              </a:lnTo>
                              <a:lnTo>
                                <a:pt x="2228888" y="95250"/>
                              </a:lnTo>
                              <a:lnTo>
                                <a:pt x="2182012" y="95250"/>
                              </a:lnTo>
                              <a:lnTo>
                                <a:pt x="2135289" y="98031"/>
                              </a:lnTo>
                              <a:lnTo>
                                <a:pt x="2088819" y="103720"/>
                              </a:lnTo>
                              <a:lnTo>
                                <a:pt x="2042756" y="112382"/>
                              </a:lnTo>
                              <a:lnTo>
                                <a:pt x="1997214" y="124142"/>
                              </a:lnTo>
                              <a:lnTo>
                                <a:pt x="1952345" y="139077"/>
                              </a:lnTo>
                              <a:lnTo>
                                <a:pt x="1908251" y="157289"/>
                              </a:lnTo>
                              <a:lnTo>
                                <a:pt x="1865071" y="178879"/>
                              </a:lnTo>
                              <a:lnTo>
                                <a:pt x="1822945" y="203949"/>
                              </a:lnTo>
                              <a:lnTo>
                                <a:pt x="1785086" y="230606"/>
                              </a:lnTo>
                              <a:lnTo>
                                <a:pt x="1749577" y="259867"/>
                              </a:lnTo>
                              <a:lnTo>
                                <a:pt x="1716493" y="291528"/>
                              </a:lnTo>
                              <a:lnTo>
                                <a:pt x="1685899" y="325399"/>
                              </a:lnTo>
                              <a:lnTo>
                                <a:pt x="1657896" y="361302"/>
                              </a:lnTo>
                              <a:lnTo>
                                <a:pt x="1632534" y="399046"/>
                              </a:lnTo>
                              <a:lnTo>
                                <a:pt x="1609890" y="438454"/>
                              </a:lnTo>
                              <a:lnTo>
                                <a:pt x="1590065" y="479336"/>
                              </a:lnTo>
                              <a:lnTo>
                                <a:pt x="1573098" y="521500"/>
                              </a:lnTo>
                              <a:lnTo>
                                <a:pt x="1559102" y="564769"/>
                              </a:lnTo>
                              <a:lnTo>
                                <a:pt x="1548130" y="608952"/>
                              </a:lnTo>
                              <a:lnTo>
                                <a:pt x="1540256" y="653872"/>
                              </a:lnTo>
                              <a:lnTo>
                                <a:pt x="1535557" y="699325"/>
                              </a:lnTo>
                              <a:lnTo>
                                <a:pt x="1534121" y="745147"/>
                              </a:lnTo>
                              <a:lnTo>
                                <a:pt x="1536014" y="791133"/>
                              </a:lnTo>
                              <a:lnTo>
                                <a:pt x="1541310" y="837095"/>
                              </a:lnTo>
                              <a:lnTo>
                                <a:pt x="1550098" y="882865"/>
                              </a:lnTo>
                              <a:lnTo>
                                <a:pt x="1562430" y="928255"/>
                              </a:lnTo>
                              <a:lnTo>
                                <a:pt x="1578406" y="973074"/>
                              </a:lnTo>
                              <a:lnTo>
                                <a:pt x="1598091" y="1017130"/>
                              </a:lnTo>
                              <a:lnTo>
                                <a:pt x="1621548" y="1060246"/>
                              </a:lnTo>
                              <a:lnTo>
                                <a:pt x="1650352" y="1106195"/>
                              </a:lnTo>
                              <a:lnTo>
                                <a:pt x="1680794" y="1149769"/>
                              </a:lnTo>
                              <a:lnTo>
                                <a:pt x="1712772" y="1190955"/>
                              </a:lnTo>
                              <a:lnTo>
                                <a:pt x="1746148" y="1229804"/>
                              </a:lnTo>
                              <a:lnTo>
                                <a:pt x="1780819" y="1266329"/>
                              </a:lnTo>
                              <a:lnTo>
                                <a:pt x="1816671" y="1300530"/>
                              </a:lnTo>
                              <a:lnTo>
                                <a:pt x="1853552" y="1332458"/>
                              </a:lnTo>
                              <a:lnTo>
                                <a:pt x="1891372" y="1362125"/>
                              </a:lnTo>
                              <a:lnTo>
                                <a:pt x="1930006" y="1389545"/>
                              </a:lnTo>
                              <a:lnTo>
                                <a:pt x="1969312" y="1414741"/>
                              </a:lnTo>
                              <a:lnTo>
                                <a:pt x="2009203" y="1437741"/>
                              </a:lnTo>
                              <a:lnTo>
                                <a:pt x="2049526" y="1458556"/>
                              </a:lnTo>
                              <a:lnTo>
                                <a:pt x="2090178" y="1477213"/>
                              </a:lnTo>
                              <a:lnTo>
                                <a:pt x="2109254" y="1430553"/>
                              </a:lnTo>
                              <a:lnTo>
                                <a:pt x="2132076" y="1385201"/>
                              </a:lnTo>
                              <a:lnTo>
                                <a:pt x="2158428" y="1341526"/>
                              </a:lnTo>
                              <a:lnTo>
                                <a:pt x="2188108" y="1299908"/>
                              </a:lnTo>
                              <a:lnTo>
                                <a:pt x="2220887" y="1260729"/>
                              </a:lnTo>
                              <a:lnTo>
                                <a:pt x="2257717" y="1223492"/>
                              </a:lnTo>
                              <a:lnTo>
                                <a:pt x="2297620" y="1189659"/>
                              </a:lnTo>
                              <a:lnTo>
                                <a:pt x="2340432" y="1159217"/>
                              </a:lnTo>
                              <a:lnTo>
                                <a:pt x="2385974" y="1132090"/>
                              </a:lnTo>
                              <a:lnTo>
                                <a:pt x="2390356" y="1127366"/>
                              </a:lnTo>
                              <a:lnTo>
                                <a:pt x="2391232" y="1121638"/>
                              </a:lnTo>
                              <a:lnTo>
                                <a:pt x="2388768" y="1116647"/>
                              </a:lnTo>
                              <a:lnTo>
                                <a:pt x="2383066" y="1114120"/>
                              </a:lnTo>
                              <a:lnTo>
                                <a:pt x="2344940" y="1107300"/>
                              </a:lnTo>
                              <a:lnTo>
                                <a:pt x="2305558" y="1096403"/>
                              </a:lnTo>
                              <a:lnTo>
                                <a:pt x="2265426" y="1081328"/>
                              </a:lnTo>
                              <a:lnTo>
                                <a:pt x="2225078" y="1061999"/>
                              </a:lnTo>
                              <a:lnTo>
                                <a:pt x="2184997" y="1038313"/>
                              </a:lnTo>
                              <a:lnTo>
                                <a:pt x="2145728" y="1010196"/>
                              </a:lnTo>
                              <a:lnTo>
                                <a:pt x="2107768" y="977544"/>
                              </a:lnTo>
                              <a:lnTo>
                                <a:pt x="2071636" y="940269"/>
                              </a:lnTo>
                              <a:lnTo>
                                <a:pt x="2037842" y="898283"/>
                              </a:lnTo>
                              <a:lnTo>
                                <a:pt x="2006904" y="851496"/>
                              </a:lnTo>
                              <a:lnTo>
                                <a:pt x="1987308" y="806894"/>
                              </a:lnTo>
                              <a:lnTo>
                                <a:pt x="1979549" y="761161"/>
                              </a:lnTo>
                              <a:lnTo>
                                <a:pt x="1982343" y="715937"/>
                              </a:lnTo>
                              <a:lnTo>
                                <a:pt x="1994433" y="672896"/>
                              </a:lnTo>
                              <a:lnTo>
                                <a:pt x="2014537" y="633679"/>
                              </a:lnTo>
                              <a:lnTo>
                                <a:pt x="2041385" y="599935"/>
                              </a:lnTo>
                              <a:lnTo>
                                <a:pt x="2073719" y="573354"/>
                              </a:lnTo>
                              <a:lnTo>
                                <a:pt x="2141436" y="543191"/>
                              </a:lnTo>
                              <a:lnTo>
                                <a:pt x="2179586" y="535609"/>
                              </a:lnTo>
                              <a:lnTo>
                                <a:pt x="2220404" y="533069"/>
                              </a:lnTo>
                              <a:lnTo>
                                <a:pt x="2269528" y="536308"/>
                              </a:lnTo>
                              <a:lnTo>
                                <a:pt x="2319642" y="545719"/>
                              </a:lnTo>
                              <a:lnTo>
                                <a:pt x="2369743" y="560819"/>
                              </a:lnTo>
                              <a:lnTo>
                                <a:pt x="2418842" y="581126"/>
                              </a:lnTo>
                              <a:lnTo>
                                <a:pt x="2465908" y="606158"/>
                              </a:lnTo>
                              <a:lnTo>
                                <a:pt x="2509951" y="635457"/>
                              </a:lnTo>
                              <a:lnTo>
                                <a:pt x="2549969" y="668528"/>
                              </a:lnTo>
                              <a:lnTo>
                                <a:pt x="2584945" y="704900"/>
                              </a:lnTo>
                              <a:lnTo>
                                <a:pt x="2613520" y="742467"/>
                              </a:lnTo>
                              <a:lnTo>
                                <a:pt x="2642552" y="789546"/>
                              </a:lnTo>
                              <a:lnTo>
                                <a:pt x="2668676" y="843813"/>
                              </a:lnTo>
                              <a:lnTo>
                                <a:pt x="2688539" y="902957"/>
                              </a:lnTo>
                              <a:lnTo>
                                <a:pt x="2699080" y="961694"/>
                              </a:lnTo>
                              <a:lnTo>
                                <a:pt x="2698483" y="991692"/>
                              </a:lnTo>
                              <a:lnTo>
                                <a:pt x="2690965" y="1021892"/>
                              </a:lnTo>
                              <a:lnTo>
                                <a:pt x="2689987" y="1023340"/>
                              </a:lnTo>
                              <a:lnTo>
                                <a:pt x="2689517" y="1024813"/>
                              </a:lnTo>
                              <a:lnTo>
                                <a:pt x="2689021" y="1024813"/>
                              </a:lnTo>
                              <a:lnTo>
                                <a:pt x="2689021" y="1026248"/>
                              </a:lnTo>
                              <a:lnTo>
                                <a:pt x="2688539" y="1026756"/>
                              </a:lnTo>
                              <a:lnTo>
                                <a:pt x="2687574" y="1028700"/>
                              </a:lnTo>
                              <a:lnTo>
                                <a:pt x="2687091" y="1030617"/>
                              </a:lnTo>
                              <a:lnTo>
                                <a:pt x="2688056" y="1033538"/>
                              </a:lnTo>
                              <a:lnTo>
                                <a:pt x="2689021" y="1037894"/>
                              </a:lnTo>
                              <a:lnTo>
                                <a:pt x="2692895" y="1041311"/>
                              </a:lnTo>
                              <a:lnTo>
                                <a:pt x="2699194" y="1042276"/>
                              </a:lnTo>
                              <a:lnTo>
                                <a:pt x="2720352" y="1040358"/>
                              </a:lnTo>
                              <a:lnTo>
                                <a:pt x="2741739" y="1038987"/>
                              </a:lnTo>
                              <a:lnTo>
                                <a:pt x="2763393" y="1038161"/>
                              </a:lnTo>
                              <a:lnTo>
                                <a:pt x="2785364" y="1037894"/>
                              </a:lnTo>
                              <a:lnTo>
                                <a:pt x="2817571" y="1038364"/>
                              </a:lnTo>
                              <a:lnTo>
                                <a:pt x="2886062" y="1042276"/>
                              </a:lnTo>
                              <a:lnTo>
                                <a:pt x="2975267" y="1053757"/>
                              </a:lnTo>
                              <a:lnTo>
                                <a:pt x="3029305" y="1064907"/>
                              </a:lnTo>
                              <a:lnTo>
                                <a:pt x="3082544" y="1079055"/>
                              </a:lnTo>
                              <a:lnTo>
                                <a:pt x="3134906" y="1096162"/>
                              </a:lnTo>
                              <a:lnTo>
                                <a:pt x="3141726" y="1046695"/>
                              </a:lnTo>
                              <a:lnTo>
                                <a:pt x="3144177" y="996899"/>
                              </a:lnTo>
                              <a:close/>
                            </a:path>
                            <a:path w="4217035" h="4140200">
                              <a:moveTo>
                                <a:pt x="3810597" y="2435949"/>
                              </a:moveTo>
                              <a:lnTo>
                                <a:pt x="3809593" y="2385022"/>
                              </a:lnTo>
                              <a:lnTo>
                                <a:pt x="3807752" y="2335796"/>
                              </a:lnTo>
                              <a:lnTo>
                                <a:pt x="3804869" y="2286800"/>
                              </a:lnTo>
                              <a:lnTo>
                                <a:pt x="3800411" y="2237956"/>
                              </a:lnTo>
                              <a:lnTo>
                                <a:pt x="3794391" y="2189327"/>
                              </a:lnTo>
                              <a:lnTo>
                                <a:pt x="3786784" y="2140991"/>
                              </a:lnTo>
                              <a:lnTo>
                                <a:pt x="3777589" y="2093010"/>
                              </a:lnTo>
                              <a:lnTo>
                                <a:pt x="3766807" y="2045436"/>
                              </a:lnTo>
                              <a:lnTo>
                                <a:pt x="3754424" y="1998370"/>
                              </a:lnTo>
                              <a:lnTo>
                                <a:pt x="3740442" y="1951850"/>
                              </a:lnTo>
                              <a:lnTo>
                                <a:pt x="3724846" y="1905952"/>
                              </a:lnTo>
                              <a:lnTo>
                                <a:pt x="3707625" y="1860740"/>
                              </a:lnTo>
                              <a:lnTo>
                                <a:pt x="3688778" y="1816290"/>
                              </a:lnTo>
                              <a:lnTo>
                                <a:pt x="3668306" y="1772666"/>
                              </a:lnTo>
                              <a:lnTo>
                                <a:pt x="3646182" y="1729943"/>
                              </a:lnTo>
                              <a:lnTo>
                                <a:pt x="3622433" y="1688160"/>
                              </a:lnTo>
                              <a:lnTo>
                                <a:pt x="3597021" y="1647418"/>
                              </a:lnTo>
                              <a:lnTo>
                                <a:pt x="3569944" y="1607769"/>
                              </a:lnTo>
                              <a:lnTo>
                                <a:pt x="3541217" y="1569275"/>
                              </a:lnTo>
                              <a:lnTo>
                                <a:pt x="3510813" y="1532013"/>
                              </a:lnTo>
                              <a:lnTo>
                                <a:pt x="3478733" y="1496034"/>
                              </a:lnTo>
                              <a:lnTo>
                                <a:pt x="3444964" y="1461427"/>
                              </a:lnTo>
                              <a:lnTo>
                                <a:pt x="3409518" y="1428254"/>
                              </a:lnTo>
                              <a:lnTo>
                                <a:pt x="3372358" y="1396580"/>
                              </a:lnTo>
                              <a:lnTo>
                                <a:pt x="3333508" y="1366456"/>
                              </a:lnTo>
                              <a:lnTo>
                                <a:pt x="3292945" y="1337970"/>
                              </a:lnTo>
                              <a:lnTo>
                                <a:pt x="3250666" y="1311186"/>
                              </a:lnTo>
                              <a:lnTo>
                                <a:pt x="3211766" y="1289062"/>
                              </a:lnTo>
                              <a:lnTo>
                                <a:pt x="3171850" y="1268818"/>
                              </a:lnTo>
                              <a:lnTo>
                                <a:pt x="3131007" y="1250543"/>
                              </a:lnTo>
                              <a:lnTo>
                                <a:pt x="3089338" y="1234313"/>
                              </a:lnTo>
                              <a:lnTo>
                                <a:pt x="3044304" y="1219428"/>
                              </a:lnTo>
                              <a:lnTo>
                                <a:pt x="2998508" y="1207058"/>
                              </a:lnTo>
                              <a:lnTo>
                                <a:pt x="2952051" y="1197317"/>
                              </a:lnTo>
                              <a:lnTo>
                                <a:pt x="2905023" y="1190294"/>
                              </a:lnTo>
                              <a:lnTo>
                                <a:pt x="2854401" y="1185811"/>
                              </a:lnTo>
                              <a:lnTo>
                                <a:pt x="2793771" y="1183360"/>
                              </a:lnTo>
                              <a:lnTo>
                                <a:pt x="2755341" y="1183817"/>
                              </a:lnTo>
                              <a:lnTo>
                                <a:pt x="2712707" y="1186281"/>
                              </a:lnTo>
                              <a:lnTo>
                                <a:pt x="2666758" y="1191425"/>
                              </a:lnTo>
                              <a:lnTo>
                                <a:pt x="2618422" y="1199921"/>
                              </a:lnTo>
                              <a:lnTo>
                                <a:pt x="2568562" y="1212430"/>
                              </a:lnTo>
                              <a:lnTo>
                                <a:pt x="2518118" y="1229626"/>
                              </a:lnTo>
                              <a:lnTo>
                                <a:pt x="2467953" y="1252156"/>
                              </a:lnTo>
                              <a:lnTo>
                                <a:pt x="2418994" y="1280718"/>
                              </a:lnTo>
                              <a:lnTo>
                                <a:pt x="2372131" y="1315961"/>
                              </a:lnTo>
                              <a:lnTo>
                                <a:pt x="2328278" y="1358544"/>
                              </a:lnTo>
                              <a:lnTo>
                                <a:pt x="2296426" y="1397317"/>
                              </a:lnTo>
                              <a:lnTo>
                                <a:pt x="2268690" y="1438605"/>
                              </a:lnTo>
                              <a:lnTo>
                                <a:pt x="2245258" y="1481988"/>
                              </a:lnTo>
                              <a:lnTo>
                                <a:pt x="2226348" y="1527048"/>
                              </a:lnTo>
                              <a:lnTo>
                                <a:pt x="2211730" y="1574965"/>
                              </a:lnTo>
                              <a:lnTo>
                                <a:pt x="2202370" y="1623809"/>
                              </a:lnTo>
                              <a:lnTo>
                                <a:pt x="2198509" y="1673098"/>
                              </a:lnTo>
                              <a:lnTo>
                                <a:pt x="2200364" y="1722424"/>
                              </a:lnTo>
                              <a:lnTo>
                                <a:pt x="2208149" y="1771307"/>
                              </a:lnTo>
                              <a:lnTo>
                                <a:pt x="2222093" y="1819325"/>
                              </a:lnTo>
                              <a:lnTo>
                                <a:pt x="2242426" y="1866023"/>
                              </a:lnTo>
                              <a:lnTo>
                                <a:pt x="2270252" y="1912200"/>
                              </a:lnTo>
                              <a:lnTo>
                                <a:pt x="2313724" y="1964588"/>
                              </a:lnTo>
                              <a:lnTo>
                                <a:pt x="2351049" y="1998027"/>
                              </a:lnTo>
                              <a:lnTo>
                                <a:pt x="2392375" y="2026424"/>
                              </a:lnTo>
                              <a:lnTo>
                                <a:pt x="2437028" y="2048776"/>
                              </a:lnTo>
                              <a:lnTo>
                                <a:pt x="2484272" y="2064105"/>
                              </a:lnTo>
                              <a:lnTo>
                                <a:pt x="2533434" y="2071395"/>
                              </a:lnTo>
                              <a:lnTo>
                                <a:pt x="2579192" y="2070227"/>
                              </a:lnTo>
                              <a:lnTo>
                                <a:pt x="2632786" y="2059076"/>
                              </a:lnTo>
                              <a:lnTo>
                                <a:pt x="2673362" y="2043582"/>
                              </a:lnTo>
                              <a:lnTo>
                                <a:pt x="2709761" y="2020811"/>
                              </a:lnTo>
                              <a:lnTo>
                                <a:pt x="2735376" y="1990039"/>
                              </a:lnTo>
                              <a:lnTo>
                                <a:pt x="2743606" y="1950491"/>
                              </a:lnTo>
                              <a:lnTo>
                                <a:pt x="2717038" y="1909343"/>
                              </a:lnTo>
                              <a:lnTo>
                                <a:pt x="2694495" y="1895525"/>
                              </a:lnTo>
                              <a:lnTo>
                                <a:pt x="2672981" y="1881809"/>
                              </a:lnTo>
                              <a:lnTo>
                                <a:pt x="2651302" y="1852777"/>
                              </a:lnTo>
                              <a:lnTo>
                                <a:pt x="2650718" y="1820672"/>
                              </a:lnTo>
                              <a:lnTo>
                                <a:pt x="2665311" y="1788744"/>
                              </a:lnTo>
                              <a:lnTo>
                                <a:pt x="2689148" y="1760232"/>
                              </a:lnTo>
                              <a:lnTo>
                                <a:pt x="2726588" y="1733067"/>
                              </a:lnTo>
                              <a:lnTo>
                                <a:pt x="2769019" y="1717560"/>
                              </a:lnTo>
                              <a:lnTo>
                                <a:pt x="2815044" y="1712099"/>
                              </a:lnTo>
                              <a:lnTo>
                                <a:pt x="2863227" y="1715033"/>
                              </a:lnTo>
                              <a:lnTo>
                                <a:pt x="2912148" y="1724710"/>
                              </a:lnTo>
                              <a:lnTo>
                                <a:pt x="2960395" y="1739519"/>
                              </a:lnTo>
                              <a:lnTo>
                                <a:pt x="3006534" y="1757794"/>
                              </a:lnTo>
                              <a:lnTo>
                                <a:pt x="3049168" y="1777898"/>
                              </a:lnTo>
                              <a:lnTo>
                                <a:pt x="3086862" y="1798193"/>
                              </a:lnTo>
                              <a:lnTo>
                                <a:pt x="3130562" y="1825117"/>
                              </a:lnTo>
                              <a:lnTo>
                                <a:pt x="3171545" y="1854238"/>
                              </a:lnTo>
                              <a:lnTo>
                                <a:pt x="3209912" y="1885442"/>
                              </a:lnTo>
                              <a:lnTo>
                                <a:pt x="3245764" y="1918601"/>
                              </a:lnTo>
                              <a:lnTo>
                                <a:pt x="3279216" y="1953615"/>
                              </a:lnTo>
                              <a:lnTo>
                                <a:pt x="3310356" y="1990356"/>
                              </a:lnTo>
                              <a:lnTo>
                                <a:pt x="3339300" y="2028698"/>
                              </a:lnTo>
                              <a:lnTo>
                                <a:pt x="3366160" y="2068512"/>
                              </a:lnTo>
                              <a:lnTo>
                                <a:pt x="3391027" y="2109711"/>
                              </a:lnTo>
                              <a:lnTo>
                                <a:pt x="3414001" y="2152142"/>
                              </a:lnTo>
                              <a:lnTo>
                                <a:pt x="3435197" y="2195703"/>
                              </a:lnTo>
                              <a:lnTo>
                                <a:pt x="3454704" y="2240267"/>
                              </a:lnTo>
                              <a:lnTo>
                                <a:pt x="3472650" y="2285720"/>
                              </a:lnTo>
                              <a:lnTo>
                                <a:pt x="3489121" y="2331936"/>
                              </a:lnTo>
                              <a:lnTo>
                                <a:pt x="3504234" y="2378799"/>
                              </a:lnTo>
                              <a:lnTo>
                                <a:pt x="3518077" y="2426195"/>
                              </a:lnTo>
                              <a:lnTo>
                                <a:pt x="3530777" y="2473985"/>
                              </a:lnTo>
                              <a:lnTo>
                                <a:pt x="3542411" y="2522080"/>
                              </a:lnTo>
                              <a:lnTo>
                                <a:pt x="3553104" y="2570327"/>
                              </a:lnTo>
                              <a:lnTo>
                                <a:pt x="3562947" y="2618625"/>
                              </a:lnTo>
                              <a:lnTo>
                                <a:pt x="3580727" y="2720937"/>
                              </a:lnTo>
                              <a:lnTo>
                                <a:pt x="3586937" y="2754973"/>
                              </a:lnTo>
                              <a:lnTo>
                                <a:pt x="3602621" y="2797276"/>
                              </a:lnTo>
                              <a:lnTo>
                                <a:pt x="3627145" y="2820174"/>
                              </a:lnTo>
                              <a:lnTo>
                                <a:pt x="3657193" y="2826385"/>
                              </a:lnTo>
                              <a:lnTo>
                                <a:pt x="3689502" y="2818625"/>
                              </a:lnTo>
                              <a:lnTo>
                                <a:pt x="3747643" y="2772105"/>
                              </a:lnTo>
                              <a:lnTo>
                                <a:pt x="3766896" y="2738767"/>
                              </a:lnTo>
                              <a:lnTo>
                                <a:pt x="3782974" y="2692031"/>
                              </a:lnTo>
                              <a:lnTo>
                                <a:pt x="3794760" y="2642895"/>
                              </a:lnTo>
                              <a:lnTo>
                                <a:pt x="3802850" y="2592032"/>
                              </a:lnTo>
                              <a:lnTo>
                                <a:pt x="3807803" y="2540127"/>
                              </a:lnTo>
                              <a:lnTo>
                                <a:pt x="3810190" y="2487879"/>
                              </a:lnTo>
                              <a:lnTo>
                                <a:pt x="3810597" y="2435949"/>
                              </a:lnTo>
                              <a:close/>
                            </a:path>
                            <a:path w="4217035" h="4140200">
                              <a:moveTo>
                                <a:pt x="4217022" y="3860800"/>
                              </a:moveTo>
                              <a:lnTo>
                                <a:pt x="4201642" y="3835400"/>
                              </a:lnTo>
                              <a:lnTo>
                                <a:pt x="4178401" y="3784600"/>
                              </a:lnTo>
                              <a:lnTo>
                                <a:pt x="4154576" y="3746500"/>
                              </a:lnTo>
                              <a:lnTo>
                                <a:pt x="4130167" y="3708400"/>
                              </a:lnTo>
                              <a:lnTo>
                                <a:pt x="4105186" y="3657600"/>
                              </a:lnTo>
                              <a:lnTo>
                                <a:pt x="4079646" y="3619500"/>
                              </a:lnTo>
                              <a:lnTo>
                                <a:pt x="4053560" y="3568700"/>
                              </a:lnTo>
                              <a:lnTo>
                                <a:pt x="4026916" y="3530600"/>
                              </a:lnTo>
                              <a:lnTo>
                                <a:pt x="3999738" y="3492500"/>
                              </a:lnTo>
                              <a:lnTo>
                                <a:pt x="3972039" y="3454400"/>
                              </a:lnTo>
                              <a:lnTo>
                                <a:pt x="3943807" y="3403600"/>
                              </a:lnTo>
                              <a:lnTo>
                                <a:pt x="3915079" y="3365500"/>
                              </a:lnTo>
                              <a:lnTo>
                                <a:pt x="3885844" y="3327400"/>
                              </a:lnTo>
                              <a:lnTo>
                                <a:pt x="3856126" y="3289300"/>
                              </a:lnTo>
                              <a:lnTo>
                                <a:pt x="3825913" y="3251200"/>
                              </a:lnTo>
                              <a:lnTo>
                                <a:pt x="3795230" y="3213100"/>
                              </a:lnTo>
                              <a:lnTo>
                                <a:pt x="3764076" y="3175000"/>
                              </a:lnTo>
                              <a:lnTo>
                                <a:pt x="3732466" y="3136900"/>
                              </a:lnTo>
                              <a:lnTo>
                                <a:pt x="3700411" y="3098800"/>
                              </a:lnTo>
                              <a:lnTo>
                                <a:pt x="3667912" y="3060700"/>
                              </a:lnTo>
                              <a:lnTo>
                                <a:pt x="3634994" y="3022600"/>
                              </a:lnTo>
                              <a:lnTo>
                                <a:pt x="3612756" y="2997200"/>
                              </a:lnTo>
                              <a:lnTo>
                                <a:pt x="3601643" y="2984500"/>
                              </a:lnTo>
                              <a:lnTo>
                                <a:pt x="3567874" y="2946400"/>
                              </a:lnTo>
                              <a:lnTo>
                                <a:pt x="3533711" y="2921000"/>
                              </a:lnTo>
                              <a:lnTo>
                                <a:pt x="3499142" y="2882900"/>
                              </a:lnTo>
                              <a:lnTo>
                                <a:pt x="3464191" y="2844800"/>
                              </a:lnTo>
                              <a:lnTo>
                                <a:pt x="3428873" y="2806700"/>
                              </a:lnTo>
                              <a:lnTo>
                                <a:pt x="3411016" y="2794000"/>
                              </a:lnTo>
                              <a:lnTo>
                                <a:pt x="3393173" y="2781300"/>
                              </a:lnTo>
                              <a:lnTo>
                                <a:pt x="3357105" y="2743200"/>
                              </a:lnTo>
                              <a:lnTo>
                                <a:pt x="3320707" y="2705100"/>
                              </a:lnTo>
                              <a:lnTo>
                                <a:pt x="3283953" y="2679700"/>
                              </a:lnTo>
                              <a:lnTo>
                                <a:pt x="3209442" y="2603500"/>
                              </a:lnTo>
                              <a:lnTo>
                                <a:pt x="3171710" y="2578100"/>
                              </a:lnTo>
                              <a:lnTo>
                                <a:pt x="3133674" y="2540000"/>
                              </a:lnTo>
                              <a:lnTo>
                                <a:pt x="3095333" y="2514600"/>
                              </a:lnTo>
                              <a:lnTo>
                                <a:pt x="3056712" y="2476500"/>
                              </a:lnTo>
                              <a:lnTo>
                                <a:pt x="3017799" y="2451100"/>
                              </a:lnTo>
                              <a:lnTo>
                                <a:pt x="2978620" y="2413000"/>
                              </a:lnTo>
                              <a:lnTo>
                                <a:pt x="2939173" y="2387600"/>
                              </a:lnTo>
                              <a:lnTo>
                                <a:pt x="2899460" y="2349500"/>
                              </a:lnTo>
                              <a:lnTo>
                                <a:pt x="2859519" y="2324100"/>
                              </a:lnTo>
                              <a:lnTo>
                                <a:pt x="2819323" y="2286000"/>
                              </a:lnTo>
                              <a:lnTo>
                                <a:pt x="2778912" y="2260600"/>
                              </a:lnTo>
                              <a:lnTo>
                                <a:pt x="2738272" y="2222500"/>
                              </a:lnTo>
                              <a:lnTo>
                                <a:pt x="2697429" y="2197100"/>
                              </a:lnTo>
                              <a:lnTo>
                                <a:pt x="2680754" y="2184400"/>
                              </a:lnTo>
                              <a:lnTo>
                                <a:pt x="2664079" y="2171700"/>
                              </a:lnTo>
                              <a:lnTo>
                                <a:pt x="2651658" y="2171700"/>
                              </a:lnTo>
                              <a:lnTo>
                                <a:pt x="2639060" y="2184400"/>
                              </a:lnTo>
                              <a:lnTo>
                                <a:pt x="2462022" y="2184400"/>
                              </a:lnTo>
                              <a:lnTo>
                                <a:pt x="2418816" y="2171700"/>
                              </a:lnTo>
                              <a:lnTo>
                                <a:pt x="2376627" y="2146300"/>
                              </a:lnTo>
                              <a:lnTo>
                                <a:pt x="2335784" y="2133600"/>
                              </a:lnTo>
                              <a:lnTo>
                                <a:pt x="2296668" y="2108200"/>
                              </a:lnTo>
                              <a:lnTo>
                                <a:pt x="2259622" y="2070100"/>
                              </a:lnTo>
                              <a:lnTo>
                                <a:pt x="2225027" y="2044700"/>
                              </a:lnTo>
                              <a:lnTo>
                                <a:pt x="2193213" y="2006600"/>
                              </a:lnTo>
                              <a:lnTo>
                                <a:pt x="2163508" y="1955800"/>
                              </a:lnTo>
                              <a:lnTo>
                                <a:pt x="2138730" y="1917700"/>
                              </a:lnTo>
                              <a:lnTo>
                                <a:pt x="2118855" y="1866900"/>
                              </a:lnTo>
                              <a:lnTo>
                                <a:pt x="2103843" y="1816100"/>
                              </a:lnTo>
                              <a:lnTo>
                                <a:pt x="2093633" y="1765300"/>
                              </a:lnTo>
                              <a:lnTo>
                                <a:pt x="2084120" y="1765300"/>
                              </a:lnTo>
                              <a:lnTo>
                                <a:pt x="2064931" y="1752600"/>
                              </a:lnTo>
                              <a:lnTo>
                                <a:pt x="2055431" y="1739900"/>
                              </a:lnTo>
                              <a:lnTo>
                                <a:pt x="2015363" y="1714500"/>
                              </a:lnTo>
                              <a:lnTo>
                                <a:pt x="1975548" y="1676400"/>
                              </a:lnTo>
                              <a:lnTo>
                                <a:pt x="1896884" y="1625600"/>
                              </a:lnTo>
                              <a:lnTo>
                                <a:pt x="1858175" y="1587500"/>
                              </a:lnTo>
                              <a:lnTo>
                                <a:pt x="1819973" y="1562100"/>
                              </a:lnTo>
                              <a:lnTo>
                                <a:pt x="1782343" y="1524000"/>
                              </a:lnTo>
                              <a:lnTo>
                                <a:pt x="1745361" y="1485900"/>
                              </a:lnTo>
                              <a:lnTo>
                                <a:pt x="1709089" y="1460500"/>
                              </a:lnTo>
                              <a:lnTo>
                                <a:pt x="1673580" y="1422400"/>
                              </a:lnTo>
                              <a:lnTo>
                                <a:pt x="1638922" y="1384300"/>
                              </a:lnTo>
                              <a:lnTo>
                                <a:pt x="1605178" y="1346200"/>
                              </a:lnTo>
                              <a:lnTo>
                                <a:pt x="1572412" y="1308100"/>
                              </a:lnTo>
                              <a:lnTo>
                                <a:pt x="1540675" y="1270000"/>
                              </a:lnTo>
                              <a:lnTo>
                                <a:pt x="1510068" y="1231900"/>
                              </a:lnTo>
                              <a:lnTo>
                                <a:pt x="1480629" y="1193800"/>
                              </a:lnTo>
                              <a:lnTo>
                                <a:pt x="1453134" y="1155700"/>
                              </a:lnTo>
                              <a:lnTo>
                                <a:pt x="1428381" y="1117600"/>
                              </a:lnTo>
                              <a:lnTo>
                                <a:pt x="1406410" y="1066800"/>
                              </a:lnTo>
                              <a:lnTo>
                                <a:pt x="1387233" y="1028700"/>
                              </a:lnTo>
                              <a:lnTo>
                                <a:pt x="1370888" y="977900"/>
                              </a:lnTo>
                              <a:lnTo>
                                <a:pt x="1357401" y="927100"/>
                              </a:lnTo>
                              <a:lnTo>
                                <a:pt x="1346796" y="889000"/>
                              </a:lnTo>
                              <a:lnTo>
                                <a:pt x="1339113" y="838200"/>
                              </a:lnTo>
                              <a:lnTo>
                                <a:pt x="1334376" y="787400"/>
                              </a:lnTo>
                              <a:lnTo>
                                <a:pt x="1332598" y="736600"/>
                              </a:lnTo>
                              <a:lnTo>
                                <a:pt x="1333817" y="685800"/>
                              </a:lnTo>
                              <a:lnTo>
                                <a:pt x="1338072" y="647700"/>
                              </a:lnTo>
                              <a:lnTo>
                                <a:pt x="1345387" y="596900"/>
                              </a:lnTo>
                              <a:lnTo>
                                <a:pt x="1355775" y="546100"/>
                              </a:lnTo>
                              <a:lnTo>
                                <a:pt x="1369288" y="495300"/>
                              </a:lnTo>
                              <a:lnTo>
                                <a:pt x="1385925" y="457200"/>
                              </a:lnTo>
                              <a:lnTo>
                                <a:pt x="1405750" y="406400"/>
                              </a:lnTo>
                              <a:lnTo>
                                <a:pt x="1428762" y="368300"/>
                              </a:lnTo>
                              <a:lnTo>
                                <a:pt x="1455000" y="317500"/>
                              </a:lnTo>
                              <a:lnTo>
                                <a:pt x="1485595" y="279400"/>
                              </a:lnTo>
                              <a:lnTo>
                                <a:pt x="1519301" y="241300"/>
                              </a:lnTo>
                              <a:lnTo>
                                <a:pt x="1555978" y="203200"/>
                              </a:lnTo>
                              <a:lnTo>
                                <a:pt x="1595513" y="165100"/>
                              </a:lnTo>
                              <a:lnTo>
                                <a:pt x="1637804" y="139700"/>
                              </a:lnTo>
                              <a:lnTo>
                                <a:pt x="1682711" y="101600"/>
                              </a:lnTo>
                              <a:lnTo>
                                <a:pt x="1705800" y="76200"/>
                              </a:lnTo>
                              <a:lnTo>
                                <a:pt x="1707235" y="38100"/>
                              </a:lnTo>
                              <a:lnTo>
                                <a:pt x="1689633" y="12700"/>
                              </a:lnTo>
                              <a:lnTo>
                                <a:pt x="1655635" y="0"/>
                              </a:lnTo>
                              <a:lnTo>
                                <a:pt x="1467713" y="0"/>
                              </a:lnTo>
                              <a:lnTo>
                                <a:pt x="1421231" y="12700"/>
                              </a:lnTo>
                              <a:lnTo>
                                <a:pt x="1374902" y="12700"/>
                              </a:lnTo>
                              <a:lnTo>
                                <a:pt x="1282915" y="38100"/>
                              </a:lnTo>
                              <a:lnTo>
                                <a:pt x="1237399" y="38100"/>
                              </a:lnTo>
                              <a:lnTo>
                                <a:pt x="1147648" y="63500"/>
                              </a:lnTo>
                              <a:lnTo>
                                <a:pt x="1103553" y="88900"/>
                              </a:lnTo>
                              <a:lnTo>
                                <a:pt x="1017231" y="114300"/>
                              </a:lnTo>
                              <a:lnTo>
                                <a:pt x="975156" y="139700"/>
                              </a:lnTo>
                              <a:lnTo>
                                <a:pt x="933869" y="152400"/>
                              </a:lnTo>
                              <a:lnTo>
                                <a:pt x="893470" y="177800"/>
                              </a:lnTo>
                              <a:lnTo>
                                <a:pt x="853986" y="203200"/>
                              </a:lnTo>
                              <a:lnTo>
                                <a:pt x="815517" y="228600"/>
                              </a:lnTo>
                              <a:lnTo>
                                <a:pt x="778116" y="254000"/>
                              </a:lnTo>
                              <a:lnTo>
                                <a:pt x="741857" y="279400"/>
                              </a:lnTo>
                              <a:lnTo>
                                <a:pt x="706793" y="304800"/>
                              </a:lnTo>
                              <a:lnTo>
                                <a:pt x="672998" y="342900"/>
                              </a:lnTo>
                              <a:lnTo>
                                <a:pt x="640537" y="368300"/>
                              </a:lnTo>
                              <a:lnTo>
                                <a:pt x="609473" y="406400"/>
                              </a:lnTo>
                              <a:lnTo>
                                <a:pt x="579882" y="431800"/>
                              </a:lnTo>
                              <a:lnTo>
                                <a:pt x="551827" y="469900"/>
                              </a:lnTo>
                              <a:lnTo>
                                <a:pt x="525360" y="508000"/>
                              </a:lnTo>
                              <a:lnTo>
                                <a:pt x="500570" y="546100"/>
                              </a:lnTo>
                              <a:lnTo>
                                <a:pt x="477507" y="584200"/>
                              </a:lnTo>
                              <a:lnTo>
                                <a:pt x="456247" y="622300"/>
                              </a:lnTo>
                              <a:lnTo>
                                <a:pt x="436854" y="660400"/>
                              </a:lnTo>
                              <a:lnTo>
                                <a:pt x="419392" y="711200"/>
                              </a:lnTo>
                              <a:lnTo>
                                <a:pt x="403923" y="749300"/>
                              </a:lnTo>
                              <a:lnTo>
                                <a:pt x="390512" y="787400"/>
                              </a:lnTo>
                              <a:lnTo>
                                <a:pt x="379247" y="838200"/>
                              </a:lnTo>
                              <a:lnTo>
                                <a:pt x="370166" y="889000"/>
                              </a:lnTo>
                              <a:lnTo>
                                <a:pt x="371868" y="914400"/>
                              </a:lnTo>
                              <a:lnTo>
                                <a:pt x="384543" y="927100"/>
                              </a:lnTo>
                              <a:lnTo>
                                <a:pt x="405371" y="952500"/>
                              </a:lnTo>
                              <a:lnTo>
                                <a:pt x="588924" y="952500"/>
                              </a:lnTo>
                              <a:lnTo>
                                <a:pt x="636079" y="965200"/>
                              </a:lnTo>
                              <a:lnTo>
                                <a:pt x="772414" y="1003300"/>
                              </a:lnTo>
                              <a:lnTo>
                                <a:pt x="815657" y="1028700"/>
                              </a:lnTo>
                              <a:lnTo>
                                <a:pt x="857516" y="1054100"/>
                              </a:lnTo>
                              <a:lnTo>
                                <a:pt x="897877" y="1079500"/>
                              </a:lnTo>
                              <a:lnTo>
                                <a:pt x="936574" y="1104900"/>
                              </a:lnTo>
                              <a:lnTo>
                                <a:pt x="973442" y="1143000"/>
                              </a:lnTo>
                              <a:lnTo>
                                <a:pt x="1008354" y="1168400"/>
                              </a:lnTo>
                              <a:lnTo>
                                <a:pt x="1041133" y="1206500"/>
                              </a:lnTo>
                              <a:lnTo>
                                <a:pt x="1071638" y="1244600"/>
                              </a:lnTo>
                              <a:lnTo>
                                <a:pt x="1101115" y="1295400"/>
                              </a:lnTo>
                              <a:lnTo>
                                <a:pt x="1126515" y="1333500"/>
                              </a:lnTo>
                              <a:lnTo>
                                <a:pt x="1148130" y="1384300"/>
                              </a:lnTo>
                              <a:lnTo>
                                <a:pt x="1166266" y="1435100"/>
                              </a:lnTo>
                              <a:lnTo>
                                <a:pt x="1181188" y="1485900"/>
                              </a:lnTo>
                              <a:lnTo>
                                <a:pt x="1193215" y="1536700"/>
                              </a:lnTo>
                              <a:lnTo>
                                <a:pt x="1202626" y="1587500"/>
                              </a:lnTo>
                              <a:lnTo>
                                <a:pt x="1209725" y="1638300"/>
                              </a:lnTo>
                              <a:lnTo>
                                <a:pt x="1214793" y="1689100"/>
                              </a:lnTo>
                              <a:lnTo>
                                <a:pt x="1218133" y="1739900"/>
                              </a:lnTo>
                              <a:lnTo>
                                <a:pt x="1220025" y="1790700"/>
                              </a:lnTo>
                              <a:lnTo>
                                <a:pt x="1220774" y="1841500"/>
                              </a:lnTo>
                              <a:lnTo>
                                <a:pt x="1220673" y="1892300"/>
                              </a:lnTo>
                              <a:lnTo>
                                <a:pt x="1220012" y="1943100"/>
                              </a:lnTo>
                              <a:lnTo>
                                <a:pt x="1219085" y="1981200"/>
                              </a:lnTo>
                              <a:lnTo>
                                <a:pt x="1218120" y="2032000"/>
                              </a:lnTo>
                              <a:lnTo>
                                <a:pt x="1217510" y="2070100"/>
                              </a:lnTo>
                              <a:lnTo>
                                <a:pt x="1217447" y="2108200"/>
                              </a:lnTo>
                              <a:lnTo>
                                <a:pt x="1218120" y="2146300"/>
                              </a:lnTo>
                              <a:lnTo>
                                <a:pt x="1219581" y="2197100"/>
                              </a:lnTo>
                              <a:lnTo>
                                <a:pt x="1221536" y="2247900"/>
                              </a:lnTo>
                              <a:lnTo>
                                <a:pt x="1227670" y="2336800"/>
                              </a:lnTo>
                              <a:lnTo>
                                <a:pt x="1232204" y="2387600"/>
                              </a:lnTo>
                              <a:lnTo>
                                <a:pt x="1237970" y="2438400"/>
                              </a:lnTo>
                              <a:lnTo>
                                <a:pt x="1245133" y="2489200"/>
                              </a:lnTo>
                              <a:lnTo>
                                <a:pt x="1253883" y="2527300"/>
                              </a:lnTo>
                              <a:lnTo>
                                <a:pt x="1330985" y="2603500"/>
                              </a:lnTo>
                              <a:lnTo>
                                <a:pt x="1369898" y="2628900"/>
                              </a:lnTo>
                              <a:lnTo>
                                <a:pt x="1408988" y="2667000"/>
                              </a:lnTo>
                              <a:lnTo>
                                <a:pt x="1448269" y="2692400"/>
                              </a:lnTo>
                              <a:lnTo>
                                <a:pt x="1487678" y="2730500"/>
                              </a:lnTo>
                              <a:lnTo>
                                <a:pt x="1527200" y="2755900"/>
                              </a:lnTo>
                              <a:lnTo>
                                <a:pt x="1566799" y="2794000"/>
                              </a:lnTo>
                              <a:lnTo>
                                <a:pt x="1606448" y="2819400"/>
                              </a:lnTo>
                              <a:lnTo>
                                <a:pt x="1685810" y="2882900"/>
                              </a:lnTo>
                              <a:lnTo>
                                <a:pt x="1725460" y="2921000"/>
                              </a:lnTo>
                              <a:lnTo>
                                <a:pt x="1765046" y="2946400"/>
                              </a:lnTo>
                              <a:lnTo>
                                <a:pt x="1804543" y="2984500"/>
                              </a:lnTo>
                              <a:lnTo>
                                <a:pt x="1843913" y="3009900"/>
                              </a:lnTo>
                              <a:lnTo>
                                <a:pt x="1922195" y="3086100"/>
                              </a:lnTo>
                              <a:lnTo>
                                <a:pt x="1961045" y="3111500"/>
                              </a:lnTo>
                              <a:lnTo>
                                <a:pt x="1999665" y="3149600"/>
                              </a:lnTo>
                              <a:lnTo>
                                <a:pt x="2038019" y="3175000"/>
                              </a:lnTo>
                              <a:lnTo>
                                <a:pt x="2057882" y="3175000"/>
                              </a:lnTo>
                              <a:lnTo>
                                <a:pt x="2094712" y="3149600"/>
                              </a:lnTo>
                              <a:lnTo>
                                <a:pt x="2132152" y="3124200"/>
                              </a:lnTo>
                              <a:lnTo>
                                <a:pt x="2196274" y="3073400"/>
                              </a:lnTo>
                              <a:lnTo>
                                <a:pt x="2236787" y="3035300"/>
                              </a:lnTo>
                              <a:lnTo>
                                <a:pt x="2275230" y="2997200"/>
                              </a:lnTo>
                              <a:lnTo>
                                <a:pt x="2311463" y="2959100"/>
                              </a:lnTo>
                              <a:lnTo>
                                <a:pt x="2345359" y="2921000"/>
                              </a:lnTo>
                              <a:lnTo>
                                <a:pt x="2376779" y="2870200"/>
                              </a:lnTo>
                              <a:lnTo>
                                <a:pt x="2405583" y="2832100"/>
                              </a:lnTo>
                              <a:lnTo>
                                <a:pt x="2409520" y="2819400"/>
                              </a:lnTo>
                              <a:lnTo>
                                <a:pt x="2413685" y="2819400"/>
                              </a:lnTo>
                              <a:lnTo>
                                <a:pt x="2418219" y="2806700"/>
                              </a:lnTo>
                              <a:lnTo>
                                <a:pt x="2423287" y="2806700"/>
                              </a:lnTo>
                              <a:lnTo>
                                <a:pt x="2430957" y="2794000"/>
                              </a:lnTo>
                              <a:lnTo>
                                <a:pt x="2468486" y="2794000"/>
                              </a:lnTo>
                              <a:lnTo>
                                <a:pt x="2476436" y="2806700"/>
                              </a:lnTo>
                              <a:lnTo>
                                <a:pt x="2480970" y="2819400"/>
                              </a:lnTo>
                              <a:lnTo>
                                <a:pt x="2481313" y="2832100"/>
                              </a:lnTo>
                              <a:lnTo>
                                <a:pt x="2473985" y="2895600"/>
                              </a:lnTo>
                              <a:lnTo>
                                <a:pt x="2459558" y="2946400"/>
                              </a:lnTo>
                              <a:lnTo>
                                <a:pt x="2440101" y="2997200"/>
                              </a:lnTo>
                              <a:lnTo>
                                <a:pt x="2417686" y="3035300"/>
                              </a:lnTo>
                              <a:lnTo>
                                <a:pt x="2394356" y="3073400"/>
                              </a:lnTo>
                              <a:lnTo>
                                <a:pt x="2372182" y="3098800"/>
                              </a:lnTo>
                              <a:lnTo>
                                <a:pt x="2353233" y="3124200"/>
                              </a:lnTo>
                              <a:lnTo>
                                <a:pt x="2311108" y="3175000"/>
                              </a:lnTo>
                              <a:lnTo>
                                <a:pt x="2297722" y="3213100"/>
                              </a:lnTo>
                              <a:lnTo>
                                <a:pt x="2297633" y="3225800"/>
                              </a:lnTo>
                              <a:lnTo>
                                <a:pt x="2304758" y="3238500"/>
                              </a:lnTo>
                              <a:lnTo>
                                <a:pt x="2316188" y="3263900"/>
                              </a:lnTo>
                              <a:lnTo>
                                <a:pt x="2331148" y="3276600"/>
                              </a:lnTo>
                              <a:lnTo>
                                <a:pt x="2387371" y="3276600"/>
                              </a:lnTo>
                              <a:lnTo>
                                <a:pt x="2404554" y="3263900"/>
                              </a:lnTo>
                              <a:lnTo>
                                <a:pt x="2420429" y="3251200"/>
                              </a:lnTo>
                              <a:lnTo>
                                <a:pt x="2456421" y="3225800"/>
                              </a:lnTo>
                              <a:lnTo>
                                <a:pt x="2491181" y="3187700"/>
                              </a:lnTo>
                              <a:lnTo>
                                <a:pt x="2524480" y="3149600"/>
                              </a:lnTo>
                              <a:lnTo>
                                <a:pt x="2556091" y="3111500"/>
                              </a:lnTo>
                              <a:lnTo>
                                <a:pt x="2585783" y="3073400"/>
                              </a:lnTo>
                              <a:lnTo>
                                <a:pt x="2613355" y="3035300"/>
                              </a:lnTo>
                              <a:lnTo>
                                <a:pt x="2624683" y="3022600"/>
                              </a:lnTo>
                              <a:lnTo>
                                <a:pt x="2637650" y="3009900"/>
                              </a:lnTo>
                              <a:lnTo>
                                <a:pt x="2654046" y="2997200"/>
                              </a:lnTo>
                              <a:lnTo>
                                <a:pt x="2689720" y="2997200"/>
                              </a:lnTo>
                              <a:lnTo>
                                <a:pt x="2699715" y="3009900"/>
                              </a:lnTo>
                              <a:lnTo>
                                <a:pt x="2704769" y="3022600"/>
                              </a:lnTo>
                              <a:lnTo>
                                <a:pt x="2703919" y="3048000"/>
                              </a:lnTo>
                              <a:lnTo>
                                <a:pt x="2690114" y="3111500"/>
                              </a:lnTo>
                              <a:lnTo>
                                <a:pt x="2669476" y="3162300"/>
                              </a:lnTo>
                              <a:lnTo>
                                <a:pt x="2645041" y="3213100"/>
                              </a:lnTo>
                              <a:lnTo>
                                <a:pt x="2619870" y="3251200"/>
                              </a:lnTo>
                              <a:lnTo>
                                <a:pt x="2596997" y="3276600"/>
                              </a:lnTo>
                              <a:lnTo>
                                <a:pt x="2579471" y="3302000"/>
                              </a:lnTo>
                              <a:lnTo>
                                <a:pt x="2563990" y="3314700"/>
                              </a:lnTo>
                              <a:lnTo>
                                <a:pt x="2547696" y="3327400"/>
                              </a:lnTo>
                              <a:lnTo>
                                <a:pt x="2531211" y="3352800"/>
                              </a:lnTo>
                              <a:lnTo>
                                <a:pt x="2515171" y="3365500"/>
                              </a:lnTo>
                              <a:lnTo>
                                <a:pt x="2504071" y="3378200"/>
                              </a:lnTo>
                              <a:lnTo>
                                <a:pt x="2497048" y="3390900"/>
                              </a:lnTo>
                              <a:lnTo>
                                <a:pt x="2494381" y="3416300"/>
                              </a:lnTo>
                              <a:lnTo>
                                <a:pt x="2496324" y="3429000"/>
                              </a:lnTo>
                              <a:lnTo>
                                <a:pt x="2506218" y="3454400"/>
                              </a:lnTo>
                              <a:lnTo>
                                <a:pt x="2522855" y="3467100"/>
                              </a:lnTo>
                              <a:lnTo>
                                <a:pt x="2544114" y="3479800"/>
                              </a:lnTo>
                              <a:lnTo>
                                <a:pt x="2567876" y="3479800"/>
                              </a:lnTo>
                              <a:lnTo>
                                <a:pt x="2595537" y="3467100"/>
                              </a:lnTo>
                              <a:lnTo>
                                <a:pt x="2620403" y="3454400"/>
                              </a:lnTo>
                              <a:lnTo>
                                <a:pt x="2642743" y="3429000"/>
                              </a:lnTo>
                              <a:lnTo>
                                <a:pt x="2662834" y="3416300"/>
                              </a:lnTo>
                              <a:lnTo>
                                <a:pt x="2701328" y="3365500"/>
                              </a:lnTo>
                              <a:lnTo>
                                <a:pt x="2737548" y="3327400"/>
                              </a:lnTo>
                              <a:lnTo>
                                <a:pt x="2771470" y="3276600"/>
                              </a:lnTo>
                              <a:lnTo>
                                <a:pt x="2803080" y="3238500"/>
                              </a:lnTo>
                              <a:lnTo>
                                <a:pt x="2815640" y="3225800"/>
                              </a:lnTo>
                              <a:lnTo>
                                <a:pt x="2830550" y="3213100"/>
                              </a:lnTo>
                              <a:lnTo>
                                <a:pt x="2860103" y="3213100"/>
                              </a:lnTo>
                              <a:lnTo>
                                <a:pt x="2879712" y="3251200"/>
                              </a:lnTo>
                              <a:lnTo>
                                <a:pt x="2874543" y="3302000"/>
                              </a:lnTo>
                              <a:lnTo>
                                <a:pt x="2857512" y="3352800"/>
                              </a:lnTo>
                              <a:lnTo>
                                <a:pt x="2841587" y="3390900"/>
                              </a:lnTo>
                              <a:lnTo>
                                <a:pt x="2823286" y="3429000"/>
                              </a:lnTo>
                              <a:lnTo>
                                <a:pt x="2802140" y="3454400"/>
                              </a:lnTo>
                              <a:lnTo>
                                <a:pt x="2778341" y="3492500"/>
                              </a:lnTo>
                              <a:lnTo>
                                <a:pt x="2752064" y="3517900"/>
                              </a:lnTo>
                              <a:lnTo>
                                <a:pt x="2715031" y="3556000"/>
                              </a:lnTo>
                              <a:lnTo>
                                <a:pt x="2676093" y="3594100"/>
                              </a:lnTo>
                              <a:lnTo>
                                <a:pt x="2636151" y="3619500"/>
                              </a:lnTo>
                              <a:lnTo>
                                <a:pt x="2596146" y="3632200"/>
                              </a:lnTo>
                              <a:lnTo>
                                <a:pt x="2556967" y="3657600"/>
                              </a:lnTo>
                              <a:lnTo>
                                <a:pt x="2519527" y="3670300"/>
                              </a:lnTo>
                              <a:lnTo>
                                <a:pt x="2553690" y="3708400"/>
                              </a:lnTo>
                              <a:lnTo>
                                <a:pt x="2587079" y="3746500"/>
                              </a:lnTo>
                              <a:lnTo>
                                <a:pt x="2619629" y="3797300"/>
                              </a:lnTo>
                              <a:lnTo>
                                <a:pt x="2651277" y="3835400"/>
                              </a:lnTo>
                              <a:lnTo>
                                <a:pt x="2681960" y="3886200"/>
                              </a:lnTo>
                              <a:lnTo>
                                <a:pt x="2709837" y="3937000"/>
                              </a:lnTo>
                              <a:lnTo>
                                <a:pt x="2736570" y="3975100"/>
                              </a:lnTo>
                              <a:lnTo>
                                <a:pt x="2762173" y="4013200"/>
                              </a:lnTo>
                              <a:lnTo>
                                <a:pt x="2786684" y="4064000"/>
                              </a:lnTo>
                              <a:lnTo>
                                <a:pt x="2810141" y="4102100"/>
                              </a:lnTo>
                              <a:lnTo>
                                <a:pt x="2830919" y="4140187"/>
                              </a:lnTo>
                              <a:lnTo>
                                <a:pt x="4217022" y="4140187"/>
                              </a:lnTo>
                              <a:lnTo>
                                <a:pt x="4217022" y="3860800"/>
                              </a:lnTo>
                              <a:close/>
                            </a:path>
                          </a:pathLst>
                        </a:custGeom>
                        <a:solidFill>
                          <a:srgbClr val="E7EAEF"/>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7D0DA375" id="Graphic 3" o:spid="_x0000_s1026" style="position:absolute;margin-left:276.15pt;margin-top:196.3pt;width:332.05pt;height:326pt;z-index:251658240;visibility:visible;mso-wrap-style:square;mso-wrap-distance-left:0;mso-wrap-distance-top:0;mso-wrap-distance-right:0;mso-wrap-distance-bottom:0;mso-position-horizontal:absolute;mso-position-horizontal-relative:page;mso-position-vertical:absolute;mso-position-vertical-relative:text;v-text-anchor:top" coordsize="4217035,414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" path="m2277008,3501250r-6769,-48908l2253996,3404514r-28994,-48857l2188197,3317481r-43193,-28499l2096820,3269208r-43916,-10211l2045093,3257169r-34976,-4102l1974634,3251568r-35598,825l1855533,3258858r-48222,139l1759229,3255784r-47765,-6464l1664208,3239681r-46559,-12700l1571967,3211296r-44602,-18593l1484033,3171317r-41885,-24105l1401914,3120491r-38392,-29273l1308023,3041040r-49847,-55613l1228788,2946082r-36487,-58356l1167879,2841752r-21666,-47143l1127112,2746451r-16701,-49073l1095959,2647505r-12408,-50533l1073048,2545854r-8776,-51536l1057033,2442438r-5842,-52082l1046556,2338184r-3404,-48209l1040511,2241880r-2032,-47866l1036955,2146465r-724,-46978l1036447,2050973r800,-48577l1038212,1954580r965,-55676l1039469,1858162r-444,-63360l1037259,1742744r-3391,-51689l1028496,1640001r-7721,-50165l1009510,1537601r-14745,-50482l976033,1438630r-23152,-46177l924877,1348892r-33160,-41415l855586,1270101r-38748,-33274l775804,1207719r-42964,-24905l688289,1162177r-45784,-16307l595820,1133919r-47244,-7518l501142,1123365r-47295,1486l407047,1130935r-45974,10706l311277,1159103r-47854,23355l217995,1211795r-42520,35395l141338,1282319r-29883,37020l85636,1358112r-21984,40386l45313,1440332r-14897,43155l18719,1527810r-8674,45326l4178,1619338,901,1666252,,1713738r1295,47917l4546,1809838r5017,48324l16129,1906460r7912,48120l33083,2002396r9970,47358l53746,2096490r11189,45974l76441,2187537r11582,44018l99491,2274379r11151,41453l123342,2362085r13335,46127l150672,2454186r14669,45796l180708,2545550r16078,45326l213588,2635923r17552,44729l250456,2727287r20117,46215l291579,2819285r21907,45327l336346,2909430r23826,44285l384962,2997428r25806,43117l437603,3083026r27877,41809l494423,3165945r30048,40360l555625,3245904r32283,38786l621360,3322650r34633,37071l689698,3393681r34811,32906l760387,3458400r36893,30696l835139,3518649r38786,28384l913587,3574211r40487,25934l995362,3624821r42012,23393l1080096,3670274r43371,20714l1167434,3710317r44527,17920l1257007,3744709r45505,15011l1348435,3773233r46317,11976l1441386,3795636r46914,8839l1535455,3811701r47346,5563l1630299,3821163r47599,2197l1725549,3823817r47663,-1308l1820849,3819410r47536,-4915l1915807,3807714r47244,-8649l2010079,3788499r46762,-12510l2103297,3761498r44755,-20053l2186813,3713950r32385,-33757l2244801,3641369r19050,-44298l2274722,3549929r2286,-48679xem3144177,996899r-1588,-49886l3137243,897293r-8751,-49340l3116605,799261r-14681,-47802l3084753,704773r-19354,-45326l3044177,615721r-22784,-41872l2997365,534060r-24968,-37452l2946806,461733r-25895,-32067l2891574,396887r-31420,-31623l2826804,334886r-35167,-29020l2754795,278295r-38392,-26035l2676588,227863r-41110,-22657l2593213,184378r-43295,-18897l2505722,148602r-44970,-14757l2415146,121310r-46126,-10224l2322512,103263r-46749,-5308l2228888,95250r-46876,l2135289,98031r-46470,5689l2042756,112382r-45542,11760l1952345,139077r-44094,18212l1865071,178879r-42126,25070l1785086,230606r-35509,29261l1716493,291528r-30594,33871l1657896,361302r-25362,37744l1609890,438454r-19825,40882l1573098,521500r-13996,43269l1548130,608952r-7874,44920l1535557,699325r-1436,45822l1536014,791133r5296,45962l1550098,882865r12332,45390l1578406,973074r19685,44056l1621548,1060246r28804,45949l1680794,1149769r31978,41186l1746148,1229804r34671,36525l1816671,1300530r36881,31928l1891372,1362125r38634,27420l1969312,1414741r39891,23000l2049526,1458556r40652,18657l2109254,1430553r22822,-45352l2158428,1341526r29680,-41618l2220887,1260729r36830,-37237l2297620,1189659r42812,-30442l2385974,1132090r4382,-4724l2391232,1121638r-2464,-4991l2383066,1114120r-38126,-6820l2305558,1096403r-40132,-15075l2225078,1061999r-40081,-23686l2145728,1010196r-37960,-32652l2071636,940269r-33794,-41986l2006904,851496r-19596,-44602l1979549,761161r2794,-45224l1994433,672896r20104,-39217l2041385,599935r32334,-26581l2141436,543191r38150,-7582l2220404,533069r49124,3239l2319642,545719r50101,15100l2418842,581126r47066,25032l2509951,635457r40018,33071l2584945,704900r28575,37567l2642552,789546r26124,54267l2688539,902957r10541,58737l2698483,991692r-7518,30200l2689987,1023340r-470,1473l2689021,1024813r,1435l2688539,1026756r-965,1944l2687091,1030617r965,2921l2689021,1037894r3874,3417l2699194,1042276r21158,-1918l2741739,1038987r21654,-826l2785364,1037894r32207,470l2886062,1042276r89205,11481l3029305,1064907r53239,14148l3134906,1096162r6820,-49467l3144177,996899xem3810597,2435949r-1004,-50927l3807752,2335796r-2883,-48996l3800411,2237956r-6020,-48629l3786784,2140991r-9195,-47981l3766807,2045436r-12383,-47066l3740442,1951850r-15596,-45898l3707625,1860740r-18847,-44450l3668306,1772666r-22124,-42723l3622433,1688160r-25412,-40742l3569944,1607769r-28727,-38494l3510813,1532013r-32080,-35979l3444964,1461427r-35446,-33173l3372358,1396580r-38850,-30124l3292945,1337970r-42279,-26784l3211766,1289062r-39916,-20244l3131007,1250543r-41669,-16230l3044304,1219428r-45796,-12370l2952051,1197317r-47028,-7023l2854401,1185811r-60630,-2451l2755341,1183817r-42634,2464l2666758,1191425r-48336,8496l2568562,1212430r-50444,17196l2467953,1252156r-48959,28562l2372131,1315961r-43853,42583l2296426,1397317r-27736,41288l2245258,1481988r-18910,45060l2211730,1574965r-9360,48844l2198509,1673098r1855,49326l2208149,1771307r13944,48018l2242426,1866023r27826,46177l2313724,1964588r37325,33439l2392375,2026424r44653,22352l2484272,2064105r49162,7290l2579192,2070227r53594,-11151l2673362,2043582r36399,-22771l2735376,1990039r8230,-39548l2717038,1909343r-22543,-13818l2672981,1881809r-21679,-29032l2650718,1820672r14593,-31928l2689148,1760232r37440,-27165l2769019,1717560r46025,-5461l2863227,1715033r48921,9677l2960395,1739519r46139,18275l3049168,1777898r37694,20295l3130562,1825117r40983,29121l3209912,1885442r35852,33159l3279216,1953615r31140,36741l3339300,2028698r26860,39814l3391027,2109711r22974,42431l3435197,2195703r19507,44564l3472650,2285720r16471,46216l3504234,2378799r13843,47396l3530777,2473985r11634,48095l3553104,2570327r9843,48298l3580727,2720937r6210,34036l3602621,2797276r24524,22898l3657193,2826385r32309,-7760l3747643,2772105r19253,-33338l3782974,2692031r11786,-49136l3802850,2592032r4953,-51905l3810190,2487879r407,-51930xem4217022,3860800r-15380,-25400l4178401,3784600r-23825,-38100l4130167,3708400r-24981,-50800l4079646,3619500r-26086,-50800l4026916,3530600r-27178,-38100l3972039,3454400r-28232,-50800l3915079,3365500r-29235,-38100l3856126,3289300r-30213,-38100l3795230,3213100r-31154,-38100l3732466,3136900r-32055,-38100l3667912,3060700r-32918,-38100l3612756,2997200r-11113,-12700l3567874,2946400r-34163,-25400l3499142,2882900r-34951,-38100l3428873,2806700r-17857,-12700l3393173,2781300r-36068,-38100l3320707,2705100r-36754,-25400l3209442,2603500r-37732,-25400l3133674,2540000r-38341,-25400l3056712,2476500r-38913,-25400l2978620,2413000r-39447,-25400l2899460,2349500r-39941,-25400l2819323,2286000r-40411,-25400l2738272,2222500r-40843,-25400l2680754,2184400r-16675,-12700l2651658,2171700r-12598,12700l2462022,2184400r-43206,-12700l2376627,2146300r-40843,-12700l2296668,2108200r-37046,-38100l2225027,2044700r-31814,-38100l2163508,1955800r-24778,-38100l2118855,1866900r-15012,-50800l2093633,1765300r-9513,l2064931,1752600r-9500,-12700l2015363,1714500r-39815,-38100l1896884,1625600r-38709,-38100l1819973,1562100r-37630,-38100l1745361,1485900r-36272,-25400l1673580,1422400r-34658,-38100l1605178,1346200r-32766,-38100l1540675,1270000r-30607,-38100l1480629,1193800r-27495,-38100l1428381,1117600r-21971,-50800l1387233,1028700r-16345,-50800l1357401,927100r-10605,-38100l1339113,838200r-4737,-50800l1332598,736600r1219,-50800l1338072,647700r7315,-50800l1355775,546100r13513,-50800l1385925,457200r19825,-50800l1428762,368300r26238,-50800l1485595,279400r33706,-38100l1555978,203200r39535,-38100l1637804,139700r44907,-38100l1705800,76200r1435,-38100l1689633,12700,1655635,,1467713,r-46482,12700l1374902,12700r-91987,25400l1237399,38100r-89751,25400l1103553,88900r-86322,25400l975156,139700r-41287,12700l893470,177800r-39484,25400l815517,228600r-37401,25400l741857,279400r-35064,25400l672998,342900r-32461,25400l609473,406400r-29591,25400l551827,469900r-26467,38100l500570,546100r-23063,38100l456247,622300r-19393,38100l419392,711200r-15469,38100l390512,787400r-11265,50800l370166,889000r1702,25400l384543,927100r20828,25400l588924,952500r47155,12700l772414,1003300r43243,25400l857516,1054100r40361,25400l936574,1104900r36868,38100l1008354,1168400r32779,38100l1071638,1244600r29477,50800l1126515,1333500r21615,50800l1166266,1435100r14922,50800l1193215,1536700r9411,50800l1209725,1638300r5068,50800l1218133,1739900r1892,50800l1220774,1841500r-101,50800l1220012,1943100r-927,38100l1218120,2032000r-610,38100l1217447,2108200r673,38100l1219581,2197100r1955,50800l1227670,2336800r4534,50800l1237970,2438400r7163,50800l1253883,2527300r77102,76200l1369898,2628900r39090,38100l1448269,2692400r39409,38100l1527200,2755900r39599,38100l1606448,2819400r79362,63500l1725460,2921000r39586,25400l1804543,2984500r39370,25400l1922195,3086100r38850,25400l1999665,3149600r38354,25400l2057882,3175000r36830,-25400l2132152,3124200r64122,-50800l2236787,3035300r38443,-38100l2311463,2959100r33896,-38100l2376779,2870200r28804,-38100l2409520,2819400r4165,l2418219,2806700r5068,l2430957,2794000r37529,l2476436,2806700r4534,12700l2481313,2832100r-7328,63500l2459558,2946400r-19457,50800l2417686,3035300r-23330,38100l2372182,3098800r-18949,25400l2311108,3175000r-13386,38100l2297633,3225800r7125,12700l2316188,3263900r14960,12700l2387371,3276600r17183,-12700l2420429,3251200r35992,-25400l2491181,3187700r33299,-38100l2556091,3111500r29692,-38100l2613355,3035300r11328,-12700l2637650,3009900r16396,-12700l2689720,2997200r9995,12700l2704769,3022600r-850,25400l2690114,3111500r-20638,50800l2645041,3213100r-25171,38100l2596997,3276600r-17526,25400l2563990,3314700r-16294,12700l2531211,3352800r-16040,12700l2504071,3378200r-7023,12700l2494381,3416300r1943,12700l2506218,3454400r16637,12700l2544114,3479800r23762,l2595537,3467100r24866,-12700l2642743,3429000r20091,-12700l2701328,3365500r36220,-38100l2771470,3276600r31610,-38100l2815640,3225800r14910,-12700l2860103,3213100r19609,38100l2874543,3302000r-17031,50800l2841587,3390900r-18301,38100l2802140,3454400r-23799,38100l2752064,3517900r-37033,38100l2676093,3594100r-39942,25400l2596146,3632200r-39179,25400l2519527,3670300r34163,38100l2587079,3746500r32550,50800l2651277,3835400r30683,50800l2709837,3937000r26733,38100l2762173,4013200r24511,50800l2810141,4102100r20778,38087l4217022,4140187r,-279387xe" fillcolor="#e7eaef" stroked="f">
                <v:path arrowok="t"/>
                <w10:wrap anchorx="page"/>
              </v:shape>
            </w:pict>
          </mc:Fallback>
        </mc:AlternateContent>
      </w:r>
      <w:r w:rsidR="00BE2002">
        <w:br w:type="page"/>
      </w:r>
    </w:p>
    <w:p w14:paraId="649C61CC" w14:textId="5F22F305" w:rsidR="00EA7089" w:rsidRPr="008475BC" w:rsidRDefault="00A75F14" w:rsidP="003F50BB">
      <w:pPr>
        <w:pStyle w:val="H1exTOC"/>
        <w:rPr>
          <w:rFonts w:ascii="Basic Sans Light" w:hAnsi="Basic Sans Light"/>
          <w:color w:val="auto"/>
          <w:sz w:val="24"/>
          <w:szCs w:val="24"/>
        </w:rPr>
      </w:pPr>
      <w:r w:rsidRPr="008475BC">
        <w:rPr>
          <w:rFonts w:ascii="Basic Sans Light" w:hAnsi="Basic Sans Light"/>
          <w:color w:val="auto"/>
          <w:sz w:val="24"/>
          <w:szCs w:val="24"/>
        </w:rPr>
        <w:lastRenderedPageBreak/>
        <w:t xml:space="preserve">Working paper: </w:t>
      </w:r>
      <w:r w:rsidR="00F539E1" w:rsidRPr="008475BC">
        <w:rPr>
          <w:rFonts w:ascii="Basic Sans Light" w:hAnsi="Basic Sans Light"/>
          <w:color w:val="auto"/>
          <w:sz w:val="24"/>
          <w:szCs w:val="24"/>
        </w:rPr>
        <w:t xml:space="preserve">Review of suicide and self-harm monitoring indicators </w:t>
      </w:r>
    </w:p>
    <w:p w14:paraId="12BD3268" w14:textId="0EDD8DFA" w:rsidR="00B50570" w:rsidRPr="008475BC" w:rsidRDefault="52FF453A" w:rsidP="003F50BB">
      <w:pPr>
        <w:pStyle w:val="H1exTOC"/>
        <w:rPr>
          <w:rFonts w:ascii="Basic Sans Light" w:hAnsi="Basic Sans Light"/>
          <w:color w:val="auto"/>
          <w:sz w:val="24"/>
          <w:szCs w:val="24"/>
        </w:rPr>
      </w:pPr>
      <w:r w:rsidRPr="008475BC">
        <w:rPr>
          <w:rFonts w:ascii="Basic Sans Light" w:hAnsi="Basic Sans Light"/>
          <w:color w:val="auto"/>
          <w:sz w:val="24"/>
          <w:szCs w:val="24"/>
        </w:rPr>
        <w:t>A report issued by Te Hiringa Mahara</w:t>
      </w:r>
      <w:r w:rsidR="00F539E1" w:rsidRPr="008475BC">
        <w:rPr>
          <w:rFonts w:ascii="Basic Sans Light" w:hAnsi="Basic Sans Light"/>
          <w:color w:val="auto"/>
          <w:sz w:val="24"/>
          <w:szCs w:val="24"/>
        </w:rPr>
        <w:t xml:space="preserve"> - </w:t>
      </w:r>
      <w:r w:rsidRPr="008475BC">
        <w:rPr>
          <w:rFonts w:ascii="Basic Sans Light" w:hAnsi="Basic Sans Light"/>
          <w:color w:val="auto"/>
          <w:sz w:val="24"/>
          <w:szCs w:val="24"/>
        </w:rPr>
        <w:t>New Zealand Mental Health and Wellbeing Commission (Te Hiringa Mahara).</w:t>
      </w:r>
    </w:p>
    <w:p w14:paraId="587A8D72" w14:textId="2010B923" w:rsidR="00B50570" w:rsidRPr="008475BC" w:rsidRDefault="52FF453A" w:rsidP="003F50BB">
      <w:pPr>
        <w:pStyle w:val="H1exTOC"/>
        <w:rPr>
          <w:rFonts w:ascii="Basic Sans Light" w:hAnsi="Basic Sans Light"/>
          <w:color w:val="auto"/>
          <w:sz w:val="24"/>
          <w:szCs w:val="24"/>
        </w:rPr>
      </w:pPr>
      <w:r w:rsidRPr="008475BC">
        <w:rPr>
          <w:rFonts w:ascii="Basic Sans Light" w:hAnsi="Basic Sans Light"/>
          <w:color w:val="auto"/>
          <w:sz w:val="24"/>
          <w:szCs w:val="24"/>
        </w:rPr>
        <w:t xml:space="preserve">This work is protected by copyright owned by Te Hiringa Mahara. This copyright material is licensed for re-use under the Creative Commons Attribution 4.0 International License. This means you are free to copy, distribute and adapt the material, if you attribute it to Te Hiringa Mahara and abide by the other license terms. </w:t>
      </w:r>
      <w:hyperlink r:id="rId12" w:history="1">
        <w:r w:rsidR="003A5AB4" w:rsidRPr="008475BC">
          <w:rPr>
            <w:rStyle w:val="Hyperlink"/>
            <w:rFonts w:ascii="Basic Sans Light" w:hAnsi="Basic Sans Light"/>
            <w:sz w:val="24"/>
            <w:szCs w:val="24"/>
          </w:rPr>
          <w:t>https://creativecommons.org/licenses/by/4.0/legalcode</w:t>
        </w:r>
      </w:hyperlink>
      <w:r w:rsidR="003A5AB4" w:rsidRPr="008475BC">
        <w:rPr>
          <w:rFonts w:ascii="Basic Sans Light" w:hAnsi="Basic Sans Light"/>
          <w:color w:val="auto"/>
          <w:sz w:val="24"/>
          <w:szCs w:val="24"/>
        </w:rPr>
        <w:t xml:space="preserve"> </w:t>
      </w:r>
      <w:r w:rsidRPr="008475BC">
        <w:rPr>
          <w:rFonts w:ascii="Basic Sans Light" w:hAnsi="Basic Sans Light"/>
          <w:color w:val="auto"/>
          <w:sz w:val="24"/>
          <w:szCs w:val="24"/>
        </w:rPr>
        <w:t xml:space="preserve"> </w:t>
      </w:r>
    </w:p>
    <w:p w14:paraId="4C692431" w14:textId="4AD73D0C" w:rsidR="00B50570" w:rsidRPr="008475BC" w:rsidRDefault="52FF453A" w:rsidP="003F50BB">
      <w:pPr>
        <w:pStyle w:val="H1exTOC"/>
        <w:rPr>
          <w:rFonts w:ascii="Basic Sans Light" w:hAnsi="Basic Sans Light"/>
          <w:color w:val="auto"/>
          <w:sz w:val="24"/>
          <w:szCs w:val="24"/>
        </w:rPr>
      </w:pPr>
      <w:r w:rsidRPr="008475BC">
        <w:rPr>
          <w:rFonts w:ascii="Basic Sans Light" w:hAnsi="Basic Sans Light"/>
          <w:color w:val="auto"/>
          <w:sz w:val="24"/>
          <w:szCs w:val="24"/>
        </w:rPr>
        <w:t>Te Hiringa Mahara was set up in February 2021 and works under the Mental Health and Wellbeing Commission Act 2020. Our purpose is to contribute to better and equitable mental health and wellbeing outcomes for people in Aotearoa New Zealand.</w:t>
      </w:r>
    </w:p>
    <w:p w14:paraId="0B538FD3" w14:textId="64B0656F" w:rsidR="00B50570" w:rsidRPr="008475BC" w:rsidRDefault="52FF453A" w:rsidP="003F50BB">
      <w:pPr>
        <w:pStyle w:val="H1exTOC"/>
        <w:rPr>
          <w:rFonts w:ascii="Basic Sans Light" w:hAnsi="Basic Sans Light"/>
          <w:color w:val="auto"/>
          <w:sz w:val="24"/>
          <w:szCs w:val="24"/>
        </w:rPr>
      </w:pPr>
      <w:r w:rsidRPr="008475BC">
        <w:rPr>
          <w:rFonts w:ascii="Basic Sans Light" w:hAnsi="Basic Sans Light"/>
          <w:color w:val="auto"/>
          <w:sz w:val="24"/>
          <w:szCs w:val="24"/>
        </w:rPr>
        <w:t xml:space="preserve">For more information, please visit our website: </w:t>
      </w:r>
      <w:hyperlink r:id="rId13" w:history="1">
        <w:r w:rsidR="00F6079E" w:rsidRPr="008475BC">
          <w:rPr>
            <w:rStyle w:val="Hyperlink"/>
            <w:rFonts w:ascii="Basic Sans Light" w:hAnsi="Basic Sans Light"/>
            <w:sz w:val="24"/>
            <w:szCs w:val="24"/>
          </w:rPr>
          <w:t>www.mhwc.govt.nz</w:t>
        </w:r>
      </w:hyperlink>
      <w:r w:rsidR="00F6079E" w:rsidRPr="008475BC">
        <w:rPr>
          <w:rFonts w:ascii="Basic Sans Light" w:hAnsi="Basic Sans Light"/>
          <w:color w:val="auto"/>
          <w:sz w:val="24"/>
          <w:szCs w:val="24"/>
        </w:rPr>
        <w:t xml:space="preserve"> </w:t>
      </w:r>
    </w:p>
    <w:p w14:paraId="495C6D0D" w14:textId="7A5A4322" w:rsidR="00B50570" w:rsidRPr="008475BC" w:rsidRDefault="52FF453A" w:rsidP="00EA7089">
      <w:pPr>
        <w:pStyle w:val="H1exTOC"/>
        <w:rPr>
          <w:rFonts w:ascii="Basic Sans Light" w:hAnsi="Basic Sans Light"/>
          <w:color w:val="auto"/>
          <w:sz w:val="24"/>
          <w:szCs w:val="24"/>
        </w:rPr>
      </w:pPr>
      <w:r w:rsidRPr="008475BC">
        <w:rPr>
          <w:rFonts w:ascii="Basic Sans Light" w:hAnsi="Basic Sans Light"/>
          <w:color w:val="auto"/>
          <w:sz w:val="24"/>
          <w:szCs w:val="24"/>
        </w:rPr>
        <w:t xml:space="preserve">Te Hiringa Mahara New Zealand Mental Health and Wellbeing Commission. 2025. </w:t>
      </w:r>
      <w:r w:rsidR="00EA7089" w:rsidRPr="008475BC">
        <w:rPr>
          <w:rFonts w:ascii="Basic Sans Light" w:hAnsi="Basic Sans Light"/>
          <w:color w:val="auto"/>
          <w:sz w:val="24"/>
          <w:szCs w:val="24"/>
        </w:rPr>
        <w:t>Review of suicide and self-harm monitoring indicators working paper</w:t>
      </w:r>
      <w:r w:rsidRPr="008475BC">
        <w:rPr>
          <w:rFonts w:ascii="Basic Sans Light" w:hAnsi="Basic Sans Light"/>
          <w:color w:val="auto"/>
          <w:sz w:val="24"/>
          <w:szCs w:val="24"/>
        </w:rPr>
        <w:t>. Wellington: Te Hiringa Mahara.</w:t>
      </w:r>
    </w:p>
    <w:p w14:paraId="2D92DED0" w14:textId="2F6B5FD0" w:rsidR="00B50570" w:rsidRPr="008475BC" w:rsidRDefault="52FF453A" w:rsidP="003F50BB">
      <w:pPr>
        <w:pStyle w:val="H1exTOC"/>
        <w:rPr>
          <w:rFonts w:ascii="Basic Sans Light" w:hAnsi="Basic Sans Light"/>
          <w:color w:val="auto"/>
          <w:sz w:val="24"/>
          <w:szCs w:val="24"/>
        </w:rPr>
      </w:pPr>
      <w:r w:rsidRPr="008475BC">
        <w:rPr>
          <w:rFonts w:ascii="Basic Sans Light" w:hAnsi="Basic Sans Light"/>
          <w:color w:val="auto"/>
          <w:sz w:val="24"/>
          <w:szCs w:val="24"/>
        </w:rPr>
        <w:t xml:space="preserve">Published: </w:t>
      </w:r>
      <w:r w:rsidR="0071776A" w:rsidRPr="008475BC">
        <w:rPr>
          <w:rFonts w:ascii="Basic Sans Light" w:hAnsi="Basic Sans Light"/>
          <w:color w:val="auto"/>
          <w:sz w:val="24"/>
          <w:szCs w:val="24"/>
        </w:rPr>
        <w:t xml:space="preserve">October </w:t>
      </w:r>
      <w:r w:rsidRPr="008475BC">
        <w:rPr>
          <w:rFonts w:ascii="Basic Sans Light" w:hAnsi="Basic Sans Light"/>
          <w:color w:val="auto"/>
          <w:sz w:val="24"/>
          <w:szCs w:val="24"/>
        </w:rPr>
        <w:t>2025</w:t>
      </w:r>
    </w:p>
    <w:p w14:paraId="6146EE99" w14:textId="790B8269" w:rsidR="00B50570" w:rsidRDefault="00B50570" w:rsidP="41E02277">
      <w:r>
        <w:br w:type="page"/>
      </w:r>
    </w:p>
    <w:p w14:paraId="52E03FDF" w14:textId="5E525F82" w:rsidR="00B50570" w:rsidRPr="006D166E" w:rsidRDefault="00B50570" w:rsidP="003F50BB">
      <w:pPr>
        <w:pStyle w:val="H1exTOC"/>
        <w:rPr>
          <w:b/>
          <w:bCs/>
          <w:color w:val="0F4761"/>
        </w:rPr>
      </w:pPr>
      <w:r w:rsidRPr="006D166E">
        <w:rPr>
          <w:b/>
          <w:bCs/>
          <w:color w:val="0F4761"/>
        </w:rPr>
        <w:lastRenderedPageBreak/>
        <w:t>Contents</w:t>
      </w:r>
    </w:p>
    <w:p w14:paraId="53EFB7E0" w14:textId="30461ED3" w:rsidR="00E37B28" w:rsidRDefault="0030039F" w:rsidP="00EC3950">
      <w:pPr>
        <w:pStyle w:val="TOC1"/>
        <w:rPr>
          <w:rFonts w:asciiTheme="minorHAnsi" w:eastAsiaTheme="minorEastAsia" w:hAnsiTheme="minorHAnsi"/>
          <w:szCs w:val="24"/>
          <w:lang w:eastAsia="en-NZ"/>
        </w:rPr>
      </w:pPr>
      <w:r>
        <w:fldChar w:fldCharType="begin"/>
      </w:r>
      <w:r>
        <w:instrText xml:space="preserve"> TOC \o "2-2" \h \z \t "Heading 1,1,H1 no number,1" </w:instrText>
      </w:r>
      <w:r>
        <w:fldChar w:fldCharType="separate"/>
      </w:r>
      <w:hyperlink w:anchor="_Toc208223378" w:history="1">
        <w:r w:rsidR="00E37B28" w:rsidRPr="00EC3950">
          <w:rPr>
            <w:rStyle w:val="Hyperlink"/>
            <w:b/>
            <w:bCs/>
          </w:rPr>
          <w:t>Recommended indicators</w:t>
        </w:r>
        <w:r w:rsidR="00E37B28">
          <w:rPr>
            <w:webHidden/>
          </w:rPr>
          <w:tab/>
        </w:r>
        <w:r w:rsidR="00E37B28">
          <w:rPr>
            <w:webHidden/>
          </w:rPr>
          <w:fldChar w:fldCharType="begin"/>
        </w:r>
        <w:r w:rsidR="00E37B28">
          <w:rPr>
            <w:webHidden/>
          </w:rPr>
          <w:instrText xml:space="preserve"> PAGEREF _Toc208223378 \h </w:instrText>
        </w:r>
        <w:r w:rsidR="00E37B28">
          <w:rPr>
            <w:webHidden/>
          </w:rPr>
        </w:r>
        <w:r w:rsidR="00E37B28">
          <w:rPr>
            <w:webHidden/>
          </w:rPr>
          <w:fldChar w:fldCharType="separate"/>
        </w:r>
        <w:r w:rsidR="00582B52">
          <w:rPr>
            <w:webHidden/>
          </w:rPr>
          <w:t>3</w:t>
        </w:r>
        <w:r w:rsidR="00E37B28">
          <w:rPr>
            <w:webHidden/>
          </w:rPr>
          <w:fldChar w:fldCharType="end"/>
        </w:r>
      </w:hyperlink>
    </w:p>
    <w:p w14:paraId="2E6DFB0C" w14:textId="56FFBE62" w:rsidR="00E37B28" w:rsidRPr="00EC3950" w:rsidRDefault="00E37B28" w:rsidP="00EC3950">
      <w:pPr>
        <w:pStyle w:val="TOC1"/>
        <w:rPr>
          <w:rFonts w:asciiTheme="minorHAnsi" w:eastAsiaTheme="minorEastAsia" w:hAnsiTheme="minorHAnsi"/>
          <w:szCs w:val="24"/>
          <w:lang w:eastAsia="en-NZ"/>
        </w:rPr>
      </w:pPr>
      <w:hyperlink w:anchor="_Toc208223379" w:history="1">
        <w:r w:rsidRPr="00EC3950">
          <w:rPr>
            <w:rStyle w:val="Hyperlink"/>
            <w:b/>
            <w:bCs/>
          </w:rPr>
          <w:t>1</w:t>
        </w:r>
        <w:r w:rsidRPr="00EC3950">
          <w:rPr>
            <w:rFonts w:asciiTheme="minorHAnsi" w:eastAsiaTheme="minorEastAsia" w:hAnsiTheme="minorHAnsi"/>
            <w:szCs w:val="24"/>
            <w:lang w:eastAsia="en-NZ"/>
          </w:rPr>
          <w:tab/>
        </w:r>
        <w:r w:rsidRPr="00EC3950">
          <w:rPr>
            <w:rStyle w:val="Hyperlink"/>
            <w:b/>
            <w:bCs/>
          </w:rPr>
          <w:t>Introduction</w:t>
        </w:r>
        <w:r w:rsidRPr="00EC3950">
          <w:rPr>
            <w:webHidden/>
          </w:rPr>
          <w:tab/>
        </w:r>
        <w:r w:rsidRPr="00EC3950">
          <w:rPr>
            <w:webHidden/>
          </w:rPr>
          <w:fldChar w:fldCharType="begin"/>
        </w:r>
        <w:r w:rsidRPr="00EC3950">
          <w:rPr>
            <w:webHidden/>
          </w:rPr>
          <w:instrText xml:space="preserve"> PAGEREF _Toc208223379 \h </w:instrText>
        </w:r>
        <w:r w:rsidRPr="00EC3950">
          <w:rPr>
            <w:webHidden/>
          </w:rPr>
        </w:r>
        <w:r w:rsidRPr="00EC3950">
          <w:rPr>
            <w:webHidden/>
          </w:rPr>
          <w:fldChar w:fldCharType="separate"/>
        </w:r>
        <w:r w:rsidR="00582B52">
          <w:rPr>
            <w:webHidden/>
          </w:rPr>
          <w:t>4</w:t>
        </w:r>
        <w:r w:rsidRPr="00EC3950">
          <w:rPr>
            <w:webHidden/>
          </w:rPr>
          <w:fldChar w:fldCharType="end"/>
        </w:r>
      </w:hyperlink>
    </w:p>
    <w:p w14:paraId="4C44B9B3" w14:textId="7876E5F7" w:rsidR="00E37B28" w:rsidRDefault="00E37B28" w:rsidP="00A05905">
      <w:pPr>
        <w:pStyle w:val="TOC2"/>
        <w:ind w:left="426"/>
        <w:rPr>
          <w:rFonts w:asciiTheme="minorHAnsi" w:eastAsiaTheme="minorEastAsia" w:hAnsiTheme="minorHAnsi"/>
          <w:noProof/>
          <w:szCs w:val="24"/>
          <w:lang w:eastAsia="en-NZ"/>
        </w:rPr>
      </w:pPr>
      <w:hyperlink w:anchor="_Toc208223380" w:history="1">
        <w:r w:rsidRPr="001560AF">
          <w:rPr>
            <w:rStyle w:val="Hyperlink"/>
            <w:noProof/>
          </w:rPr>
          <w:t>1.1</w:t>
        </w:r>
        <w:r>
          <w:rPr>
            <w:rFonts w:asciiTheme="minorHAnsi" w:eastAsiaTheme="minorEastAsia" w:hAnsiTheme="minorHAnsi"/>
            <w:noProof/>
            <w:szCs w:val="24"/>
            <w:lang w:eastAsia="en-NZ"/>
          </w:rPr>
          <w:tab/>
        </w:r>
        <w:r w:rsidR="00A05905">
          <w:rPr>
            <w:rFonts w:asciiTheme="minorHAnsi" w:eastAsiaTheme="minorEastAsia" w:hAnsiTheme="minorHAnsi"/>
            <w:noProof/>
            <w:szCs w:val="24"/>
            <w:lang w:eastAsia="en-NZ"/>
          </w:rPr>
          <w:t xml:space="preserve"> </w:t>
        </w:r>
        <w:r w:rsidR="00526DBB">
          <w:rPr>
            <w:rFonts w:asciiTheme="minorHAnsi" w:eastAsiaTheme="minorEastAsia" w:hAnsiTheme="minorHAnsi"/>
            <w:noProof/>
            <w:szCs w:val="24"/>
            <w:lang w:eastAsia="en-NZ"/>
          </w:rPr>
          <w:t xml:space="preserve"> </w:t>
        </w:r>
        <w:r w:rsidRPr="001560AF">
          <w:rPr>
            <w:rStyle w:val="Hyperlink"/>
            <w:noProof/>
          </w:rPr>
          <w:t>Objectives</w:t>
        </w:r>
        <w:r>
          <w:rPr>
            <w:noProof/>
            <w:webHidden/>
          </w:rPr>
          <w:tab/>
        </w:r>
        <w:r>
          <w:rPr>
            <w:noProof/>
            <w:webHidden/>
          </w:rPr>
          <w:fldChar w:fldCharType="begin"/>
        </w:r>
        <w:r>
          <w:rPr>
            <w:noProof/>
            <w:webHidden/>
          </w:rPr>
          <w:instrText xml:space="preserve"> PAGEREF _Toc208223380 \h </w:instrText>
        </w:r>
        <w:r>
          <w:rPr>
            <w:noProof/>
            <w:webHidden/>
          </w:rPr>
        </w:r>
        <w:r>
          <w:rPr>
            <w:noProof/>
            <w:webHidden/>
          </w:rPr>
          <w:fldChar w:fldCharType="separate"/>
        </w:r>
        <w:r w:rsidR="00582B52">
          <w:rPr>
            <w:noProof/>
            <w:webHidden/>
          </w:rPr>
          <w:t>4</w:t>
        </w:r>
        <w:r>
          <w:rPr>
            <w:noProof/>
            <w:webHidden/>
          </w:rPr>
          <w:fldChar w:fldCharType="end"/>
        </w:r>
      </w:hyperlink>
    </w:p>
    <w:p w14:paraId="0394E6AA" w14:textId="7641E80B" w:rsidR="00E37B28" w:rsidRDefault="00E37B28" w:rsidP="00A05905">
      <w:pPr>
        <w:pStyle w:val="TOC2"/>
        <w:ind w:left="426"/>
        <w:rPr>
          <w:rFonts w:asciiTheme="minorHAnsi" w:eastAsiaTheme="minorEastAsia" w:hAnsiTheme="minorHAnsi"/>
          <w:noProof/>
          <w:szCs w:val="24"/>
          <w:lang w:eastAsia="en-NZ"/>
        </w:rPr>
      </w:pPr>
      <w:hyperlink w:anchor="_Toc208223381" w:history="1">
        <w:r w:rsidRPr="001560AF">
          <w:rPr>
            <w:rStyle w:val="Hyperlink"/>
            <w:noProof/>
          </w:rPr>
          <w:t>1.2</w:t>
        </w:r>
        <w:r>
          <w:rPr>
            <w:rFonts w:asciiTheme="minorHAnsi" w:eastAsiaTheme="minorEastAsia" w:hAnsiTheme="minorHAnsi"/>
            <w:noProof/>
            <w:szCs w:val="24"/>
            <w:lang w:eastAsia="en-NZ"/>
          </w:rPr>
          <w:tab/>
        </w:r>
        <w:r w:rsidR="005D31B9">
          <w:rPr>
            <w:rFonts w:asciiTheme="minorHAnsi" w:eastAsiaTheme="minorEastAsia" w:hAnsiTheme="minorHAnsi"/>
            <w:noProof/>
            <w:szCs w:val="24"/>
            <w:lang w:eastAsia="en-NZ"/>
          </w:rPr>
          <w:t xml:space="preserve"> </w:t>
        </w:r>
        <w:r w:rsidR="00526DBB">
          <w:rPr>
            <w:rFonts w:asciiTheme="minorHAnsi" w:eastAsiaTheme="minorEastAsia" w:hAnsiTheme="minorHAnsi"/>
            <w:noProof/>
            <w:szCs w:val="24"/>
            <w:lang w:eastAsia="en-NZ"/>
          </w:rPr>
          <w:t xml:space="preserve"> </w:t>
        </w:r>
        <w:r w:rsidRPr="001560AF">
          <w:rPr>
            <w:rStyle w:val="Hyperlink"/>
            <w:noProof/>
          </w:rPr>
          <w:t>Approach</w:t>
        </w:r>
        <w:r>
          <w:rPr>
            <w:noProof/>
            <w:webHidden/>
          </w:rPr>
          <w:tab/>
        </w:r>
        <w:r>
          <w:rPr>
            <w:noProof/>
            <w:webHidden/>
          </w:rPr>
          <w:fldChar w:fldCharType="begin"/>
        </w:r>
        <w:r>
          <w:rPr>
            <w:noProof/>
            <w:webHidden/>
          </w:rPr>
          <w:instrText xml:space="preserve"> PAGEREF _Toc208223381 \h </w:instrText>
        </w:r>
        <w:r>
          <w:rPr>
            <w:noProof/>
            <w:webHidden/>
          </w:rPr>
        </w:r>
        <w:r>
          <w:rPr>
            <w:noProof/>
            <w:webHidden/>
          </w:rPr>
          <w:fldChar w:fldCharType="separate"/>
        </w:r>
        <w:r w:rsidR="00582B52">
          <w:rPr>
            <w:noProof/>
            <w:webHidden/>
          </w:rPr>
          <w:t>4</w:t>
        </w:r>
        <w:r>
          <w:rPr>
            <w:noProof/>
            <w:webHidden/>
          </w:rPr>
          <w:fldChar w:fldCharType="end"/>
        </w:r>
      </w:hyperlink>
    </w:p>
    <w:p w14:paraId="0261CB0C" w14:textId="1F22D07B" w:rsidR="00E37B28" w:rsidRDefault="00E37B28" w:rsidP="00A05905">
      <w:pPr>
        <w:pStyle w:val="TOC2"/>
        <w:ind w:left="426"/>
        <w:rPr>
          <w:rFonts w:asciiTheme="minorHAnsi" w:eastAsiaTheme="minorEastAsia" w:hAnsiTheme="minorHAnsi"/>
          <w:noProof/>
          <w:szCs w:val="24"/>
          <w:lang w:eastAsia="en-NZ"/>
        </w:rPr>
      </w:pPr>
      <w:hyperlink w:anchor="_Toc208223382" w:history="1">
        <w:r w:rsidRPr="001560AF">
          <w:rPr>
            <w:rStyle w:val="Hyperlink"/>
            <w:noProof/>
          </w:rPr>
          <w:t>1.3</w:t>
        </w:r>
        <w:r>
          <w:rPr>
            <w:rFonts w:asciiTheme="minorHAnsi" w:eastAsiaTheme="minorEastAsia" w:hAnsiTheme="minorHAnsi"/>
            <w:noProof/>
            <w:szCs w:val="24"/>
            <w:lang w:eastAsia="en-NZ"/>
          </w:rPr>
          <w:tab/>
        </w:r>
        <w:r w:rsidR="005D31B9">
          <w:rPr>
            <w:rFonts w:asciiTheme="minorHAnsi" w:eastAsiaTheme="minorEastAsia" w:hAnsiTheme="minorHAnsi"/>
            <w:noProof/>
            <w:szCs w:val="24"/>
            <w:lang w:eastAsia="en-NZ"/>
          </w:rPr>
          <w:t xml:space="preserve"> </w:t>
        </w:r>
        <w:r w:rsidR="00526DBB">
          <w:rPr>
            <w:rFonts w:asciiTheme="minorHAnsi" w:eastAsiaTheme="minorEastAsia" w:hAnsiTheme="minorHAnsi"/>
            <w:noProof/>
            <w:szCs w:val="24"/>
            <w:lang w:eastAsia="en-NZ"/>
          </w:rPr>
          <w:t xml:space="preserve"> </w:t>
        </w:r>
        <w:r w:rsidRPr="001560AF">
          <w:rPr>
            <w:rStyle w:val="Hyperlink"/>
            <w:noProof/>
          </w:rPr>
          <w:t>Method</w:t>
        </w:r>
        <w:r>
          <w:rPr>
            <w:noProof/>
            <w:webHidden/>
          </w:rPr>
          <w:tab/>
        </w:r>
        <w:r>
          <w:rPr>
            <w:noProof/>
            <w:webHidden/>
          </w:rPr>
          <w:fldChar w:fldCharType="begin"/>
        </w:r>
        <w:r>
          <w:rPr>
            <w:noProof/>
            <w:webHidden/>
          </w:rPr>
          <w:instrText xml:space="preserve"> PAGEREF _Toc208223382 \h </w:instrText>
        </w:r>
        <w:r>
          <w:rPr>
            <w:noProof/>
            <w:webHidden/>
          </w:rPr>
        </w:r>
        <w:r>
          <w:rPr>
            <w:noProof/>
            <w:webHidden/>
          </w:rPr>
          <w:fldChar w:fldCharType="separate"/>
        </w:r>
        <w:r w:rsidR="00582B52">
          <w:rPr>
            <w:noProof/>
            <w:webHidden/>
          </w:rPr>
          <w:t>4</w:t>
        </w:r>
        <w:r>
          <w:rPr>
            <w:noProof/>
            <w:webHidden/>
          </w:rPr>
          <w:fldChar w:fldCharType="end"/>
        </w:r>
      </w:hyperlink>
    </w:p>
    <w:p w14:paraId="7CB7432D" w14:textId="7FE70B5B" w:rsidR="00E37B28" w:rsidRDefault="00E37B28" w:rsidP="00A05905">
      <w:pPr>
        <w:pStyle w:val="TOC2"/>
        <w:ind w:left="426"/>
        <w:rPr>
          <w:rFonts w:asciiTheme="minorHAnsi" w:eastAsiaTheme="minorEastAsia" w:hAnsiTheme="minorHAnsi"/>
          <w:noProof/>
          <w:szCs w:val="24"/>
          <w:lang w:eastAsia="en-NZ"/>
        </w:rPr>
      </w:pPr>
      <w:hyperlink w:anchor="_Toc208223383" w:history="1">
        <w:r w:rsidRPr="001560AF">
          <w:rPr>
            <w:rStyle w:val="Hyperlink"/>
            <w:noProof/>
          </w:rPr>
          <w:t>1.4</w:t>
        </w:r>
        <w:r>
          <w:rPr>
            <w:rFonts w:asciiTheme="minorHAnsi" w:eastAsiaTheme="minorEastAsia" w:hAnsiTheme="minorHAnsi"/>
            <w:noProof/>
            <w:szCs w:val="24"/>
            <w:lang w:eastAsia="en-NZ"/>
          </w:rPr>
          <w:tab/>
        </w:r>
        <w:r w:rsidR="005D31B9">
          <w:rPr>
            <w:rFonts w:asciiTheme="minorHAnsi" w:eastAsiaTheme="minorEastAsia" w:hAnsiTheme="minorHAnsi"/>
            <w:noProof/>
            <w:szCs w:val="24"/>
            <w:lang w:eastAsia="en-NZ"/>
          </w:rPr>
          <w:t xml:space="preserve"> </w:t>
        </w:r>
        <w:r w:rsidR="00526DBB">
          <w:rPr>
            <w:rFonts w:asciiTheme="minorHAnsi" w:eastAsiaTheme="minorEastAsia" w:hAnsiTheme="minorHAnsi"/>
            <w:noProof/>
            <w:szCs w:val="24"/>
            <w:lang w:eastAsia="en-NZ"/>
          </w:rPr>
          <w:t xml:space="preserve"> </w:t>
        </w:r>
        <w:r w:rsidRPr="001560AF">
          <w:rPr>
            <w:rStyle w:val="Hyperlink"/>
            <w:noProof/>
          </w:rPr>
          <w:t>A note on analysis and reporting of indicators</w:t>
        </w:r>
        <w:r>
          <w:rPr>
            <w:noProof/>
            <w:webHidden/>
          </w:rPr>
          <w:tab/>
        </w:r>
        <w:r>
          <w:rPr>
            <w:noProof/>
            <w:webHidden/>
          </w:rPr>
          <w:fldChar w:fldCharType="begin"/>
        </w:r>
        <w:r>
          <w:rPr>
            <w:noProof/>
            <w:webHidden/>
          </w:rPr>
          <w:instrText xml:space="preserve"> PAGEREF _Toc208223383 \h </w:instrText>
        </w:r>
        <w:r>
          <w:rPr>
            <w:noProof/>
            <w:webHidden/>
          </w:rPr>
        </w:r>
        <w:r>
          <w:rPr>
            <w:noProof/>
            <w:webHidden/>
          </w:rPr>
          <w:fldChar w:fldCharType="separate"/>
        </w:r>
        <w:r w:rsidR="00582B52">
          <w:rPr>
            <w:noProof/>
            <w:webHidden/>
          </w:rPr>
          <w:t>6</w:t>
        </w:r>
        <w:r>
          <w:rPr>
            <w:noProof/>
            <w:webHidden/>
          </w:rPr>
          <w:fldChar w:fldCharType="end"/>
        </w:r>
      </w:hyperlink>
    </w:p>
    <w:p w14:paraId="1D9921EB" w14:textId="33024FEC" w:rsidR="00E37B28" w:rsidRPr="00305269" w:rsidRDefault="00E37B28" w:rsidP="00EC3950">
      <w:pPr>
        <w:pStyle w:val="TOC1"/>
        <w:rPr>
          <w:rFonts w:asciiTheme="minorHAnsi" w:eastAsiaTheme="minorEastAsia" w:hAnsiTheme="minorHAnsi"/>
          <w:szCs w:val="24"/>
          <w:lang w:eastAsia="en-NZ"/>
        </w:rPr>
      </w:pPr>
      <w:hyperlink w:anchor="_Toc208223384" w:history="1">
        <w:r w:rsidRPr="00305269">
          <w:rPr>
            <w:rStyle w:val="Hyperlink"/>
            <w:b/>
            <w:bCs/>
          </w:rPr>
          <w:t>2</w:t>
        </w:r>
        <w:r w:rsidRPr="00305269">
          <w:rPr>
            <w:rFonts w:asciiTheme="minorHAnsi" w:eastAsiaTheme="minorEastAsia" w:hAnsiTheme="minorHAnsi"/>
            <w:szCs w:val="24"/>
            <w:lang w:eastAsia="en-NZ"/>
          </w:rPr>
          <w:tab/>
        </w:r>
        <w:r w:rsidRPr="00305269">
          <w:rPr>
            <w:rStyle w:val="Hyperlink"/>
            <w:b/>
            <w:bCs/>
          </w:rPr>
          <w:t>Potential indicators for national monitoring of suicide and self-harm</w:t>
        </w:r>
        <w:r w:rsidRPr="00305269">
          <w:rPr>
            <w:webHidden/>
          </w:rPr>
          <w:tab/>
        </w:r>
        <w:r w:rsidRPr="00305269">
          <w:rPr>
            <w:webHidden/>
          </w:rPr>
          <w:fldChar w:fldCharType="begin"/>
        </w:r>
        <w:r w:rsidRPr="00305269">
          <w:rPr>
            <w:webHidden/>
          </w:rPr>
          <w:instrText xml:space="preserve"> PAGEREF _Toc208223384 \h </w:instrText>
        </w:r>
        <w:r w:rsidRPr="00305269">
          <w:rPr>
            <w:webHidden/>
          </w:rPr>
        </w:r>
        <w:r w:rsidRPr="00305269">
          <w:rPr>
            <w:webHidden/>
          </w:rPr>
          <w:fldChar w:fldCharType="separate"/>
        </w:r>
        <w:r w:rsidR="00582B52">
          <w:rPr>
            <w:webHidden/>
          </w:rPr>
          <w:t>7</w:t>
        </w:r>
        <w:r w:rsidRPr="00305269">
          <w:rPr>
            <w:webHidden/>
          </w:rPr>
          <w:fldChar w:fldCharType="end"/>
        </w:r>
      </w:hyperlink>
    </w:p>
    <w:p w14:paraId="16B6F5A3" w14:textId="53E86A63" w:rsidR="00E37B28" w:rsidRDefault="00E37B28" w:rsidP="00A05905">
      <w:pPr>
        <w:pStyle w:val="TOC2"/>
        <w:ind w:left="426"/>
        <w:rPr>
          <w:rFonts w:asciiTheme="minorHAnsi" w:eastAsiaTheme="minorEastAsia" w:hAnsiTheme="minorHAnsi"/>
          <w:noProof/>
          <w:szCs w:val="24"/>
          <w:lang w:eastAsia="en-NZ"/>
        </w:rPr>
      </w:pPr>
      <w:hyperlink w:anchor="_Toc208223385" w:history="1">
        <w:r w:rsidRPr="001560AF">
          <w:rPr>
            <w:rStyle w:val="Hyperlink"/>
            <w:noProof/>
          </w:rPr>
          <w:t>2.1</w:t>
        </w:r>
        <w:r>
          <w:rPr>
            <w:rFonts w:asciiTheme="minorHAnsi" w:eastAsiaTheme="minorEastAsia" w:hAnsiTheme="minorHAnsi"/>
            <w:noProof/>
            <w:szCs w:val="24"/>
            <w:lang w:eastAsia="en-NZ"/>
          </w:rPr>
          <w:tab/>
        </w:r>
        <w:r w:rsidR="00A05905">
          <w:rPr>
            <w:rFonts w:asciiTheme="minorHAnsi" w:eastAsiaTheme="minorEastAsia" w:hAnsiTheme="minorHAnsi"/>
            <w:noProof/>
            <w:szCs w:val="24"/>
            <w:lang w:eastAsia="en-NZ"/>
          </w:rPr>
          <w:t xml:space="preserve"> </w:t>
        </w:r>
        <w:r w:rsidR="00526DBB">
          <w:rPr>
            <w:rFonts w:asciiTheme="minorHAnsi" w:eastAsiaTheme="minorEastAsia" w:hAnsiTheme="minorHAnsi"/>
            <w:noProof/>
            <w:szCs w:val="24"/>
            <w:lang w:eastAsia="en-NZ"/>
          </w:rPr>
          <w:t xml:space="preserve"> </w:t>
        </w:r>
        <w:r w:rsidRPr="001560AF">
          <w:rPr>
            <w:rStyle w:val="Hyperlink"/>
            <w:noProof/>
          </w:rPr>
          <w:t>Suicide and self-harm outcome indicators</w:t>
        </w:r>
        <w:r>
          <w:rPr>
            <w:noProof/>
            <w:webHidden/>
          </w:rPr>
          <w:tab/>
        </w:r>
        <w:r>
          <w:rPr>
            <w:noProof/>
            <w:webHidden/>
          </w:rPr>
          <w:fldChar w:fldCharType="begin"/>
        </w:r>
        <w:r>
          <w:rPr>
            <w:noProof/>
            <w:webHidden/>
          </w:rPr>
          <w:instrText xml:space="preserve"> PAGEREF _Toc208223385 \h </w:instrText>
        </w:r>
        <w:r>
          <w:rPr>
            <w:noProof/>
            <w:webHidden/>
          </w:rPr>
        </w:r>
        <w:r>
          <w:rPr>
            <w:noProof/>
            <w:webHidden/>
          </w:rPr>
          <w:fldChar w:fldCharType="separate"/>
        </w:r>
        <w:r w:rsidR="00582B52">
          <w:rPr>
            <w:noProof/>
            <w:webHidden/>
          </w:rPr>
          <w:t>7</w:t>
        </w:r>
        <w:r>
          <w:rPr>
            <w:noProof/>
            <w:webHidden/>
          </w:rPr>
          <w:fldChar w:fldCharType="end"/>
        </w:r>
      </w:hyperlink>
    </w:p>
    <w:p w14:paraId="03FA29B6" w14:textId="29802987" w:rsidR="00E37B28" w:rsidRDefault="00E37B28" w:rsidP="00A05905">
      <w:pPr>
        <w:pStyle w:val="TOC2"/>
        <w:ind w:left="426"/>
        <w:rPr>
          <w:rFonts w:asciiTheme="minorHAnsi" w:eastAsiaTheme="minorEastAsia" w:hAnsiTheme="minorHAnsi"/>
          <w:noProof/>
          <w:szCs w:val="24"/>
          <w:lang w:eastAsia="en-NZ"/>
        </w:rPr>
      </w:pPr>
      <w:hyperlink w:anchor="_Toc208223386" w:history="1">
        <w:r w:rsidRPr="001560AF">
          <w:rPr>
            <w:rStyle w:val="Hyperlink"/>
            <w:noProof/>
          </w:rPr>
          <w:t>2.2</w:t>
        </w:r>
        <w:r w:rsidR="00A05905">
          <w:rPr>
            <w:rFonts w:asciiTheme="minorHAnsi" w:eastAsiaTheme="minorEastAsia" w:hAnsiTheme="minorHAnsi"/>
            <w:noProof/>
            <w:szCs w:val="24"/>
            <w:lang w:eastAsia="en-NZ"/>
          </w:rPr>
          <w:t xml:space="preserve"> </w:t>
        </w:r>
        <w:r w:rsidR="00526DBB">
          <w:rPr>
            <w:rFonts w:asciiTheme="minorHAnsi" w:eastAsiaTheme="minorEastAsia" w:hAnsiTheme="minorHAnsi"/>
            <w:noProof/>
            <w:szCs w:val="24"/>
            <w:lang w:eastAsia="en-NZ"/>
          </w:rPr>
          <w:t xml:space="preserve"> </w:t>
        </w:r>
        <w:r w:rsidRPr="001560AF">
          <w:rPr>
            <w:rStyle w:val="Hyperlink"/>
            <w:noProof/>
          </w:rPr>
          <w:t>Social determinants</w:t>
        </w:r>
        <w:r>
          <w:rPr>
            <w:noProof/>
            <w:webHidden/>
          </w:rPr>
          <w:tab/>
        </w:r>
        <w:r>
          <w:rPr>
            <w:noProof/>
            <w:webHidden/>
          </w:rPr>
          <w:fldChar w:fldCharType="begin"/>
        </w:r>
        <w:r>
          <w:rPr>
            <w:noProof/>
            <w:webHidden/>
          </w:rPr>
          <w:instrText xml:space="preserve"> PAGEREF _Toc208223386 \h </w:instrText>
        </w:r>
        <w:r>
          <w:rPr>
            <w:noProof/>
            <w:webHidden/>
          </w:rPr>
        </w:r>
        <w:r>
          <w:rPr>
            <w:noProof/>
            <w:webHidden/>
          </w:rPr>
          <w:fldChar w:fldCharType="separate"/>
        </w:r>
        <w:r w:rsidR="00582B52">
          <w:rPr>
            <w:noProof/>
            <w:webHidden/>
          </w:rPr>
          <w:t>11</w:t>
        </w:r>
        <w:r>
          <w:rPr>
            <w:noProof/>
            <w:webHidden/>
          </w:rPr>
          <w:fldChar w:fldCharType="end"/>
        </w:r>
      </w:hyperlink>
    </w:p>
    <w:p w14:paraId="2F1EE723" w14:textId="1935C550" w:rsidR="00E37B28" w:rsidRDefault="00E37B28" w:rsidP="00A05905">
      <w:pPr>
        <w:pStyle w:val="TOC2"/>
        <w:ind w:left="426"/>
        <w:rPr>
          <w:rFonts w:asciiTheme="minorHAnsi" w:eastAsiaTheme="minorEastAsia" w:hAnsiTheme="minorHAnsi"/>
          <w:noProof/>
          <w:szCs w:val="24"/>
          <w:lang w:eastAsia="en-NZ"/>
        </w:rPr>
      </w:pPr>
      <w:hyperlink w:anchor="_Toc208223387" w:history="1">
        <w:r w:rsidRPr="001560AF">
          <w:rPr>
            <w:rStyle w:val="Hyperlink"/>
            <w:noProof/>
          </w:rPr>
          <w:t>2.3</w:t>
        </w:r>
        <w:r w:rsidR="005D31B9">
          <w:rPr>
            <w:rFonts w:asciiTheme="minorHAnsi" w:eastAsiaTheme="minorEastAsia" w:hAnsiTheme="minorHAnsi"/>
            <w:noProof/>
            <w:szCs w:val="24"/>
            <w:lang w:eastAsia="en-NZ"/>
          </w:rPr>
          <w:t xml:space="preserve"> </w:t>
        </w:r>
        <w:r w:rsidR="00526DBB">
          <w:rPr>
            <w:rFonts w:asciiTheme="minorHAnsi" w:eastAsiaTheme="minorEastAsia" w:hAnsiTheme="minorHAnsi"/>
            <w:noProof/>
            <w:szCs w:val="24"/>
            <w:lang w:eastAsia="en-NZ"/>
          </w:rPr>
          <w:t xml:space="preserve"> </w:t>
        </w:r>
        <w:r w:rsidRPr="001560AF">
          <w:rPr>
            <w:rStyle w:val="Hyperlink"/>
            <w:noProof/>
          </w:rPr>
          <w:t>Family-level factors</w:t>
        </w:r>
        <w:r>
          <w:rPr>
            <w:noProof/>
            <w:webHidden/>
          </w:rPr>
          <w:tab/>
        </w:r>
        <w:r>
          <w:rPr>
            <w:noProof/>
            <w:webHidden/>
          </w:rPr>
          <w:fldChar w:fldCharType="begin"/>
        </w:r>
        <w:r>
          <w:rPr>
            <w:noProof/>
            <w:webHidden/>
          </w:rPr>
          <w:instrText xml:space="preserve"> PAGEREF _Toc208223387 \h </w:instrText>
        </w:r>
        <w:r>
          <w:rPr>
            <w:noProof/>
            <w:webHidden/>
          </w:rPr>
        </w:r>
        <w:r>
          <w:rPr>
            <w:noProof/>
            <w:webHidden/>
          </w:rPr>
          <w:fldChar w:fldCharType="separate"/>
        </w:r>
        <w:r w:rsidR="00582B52">
          <w:rPr>
            <w:noProof/>
            <w:webHidden/>
          </w:rPr>
          <w:t>16</w:t>
        </w:r>
        <w:r>
          <w:rPr>
            <w:noProof/>
            <w:webHidden/>
          </w:rPr>
          <w:fldChar w:fldCharType="end"/>
        </w:r>
      </w:hyperlink>
    </w:p>
    <w:p w14:paraId="4F95F026" w14:textId="44F6BFDE" w:rsidR="00E37B28" w:rsidRDefault="00E37B28" w:rsidP="00A05905">
      <w:pPr>
        <w:pStyle w:val="TOC2"/>
        <w:ind w:left="426"/>
        <w:rPr>
          <w:rFonts w:asciiTheme="minorHAnsi" w:eastAsiaTheme="minorEastAsia" w:hAnsiTheme="minorHAnsi"/>
          <w:noProof/>
          <w:szCs w:val="24"/>
          <w:lang w:eastAsia="en-NZ"/>
        </w:rPr>
      </w:pPr>
      <w:hyperlink w:anchor="_Toc208223388" w:history="1">
        <w:r w:rsidRPr="001560AF">
          <w:rPr>
            <w:rStyle w:val="Hyperlink"/>
            <w:noProof/>
          </w:rPr>
          <w:t>2.4</w:t>
        </w:r>
        <w:r w:rsidR="005D31B9">
          <w:rPr>
            <w:rFonts w:asciiTheme="minorHAnsi" w:eastAsiaTheme="minorEastAsia" w:hAnsiTheme="minorHAnsi"/>
            <w:noProof/>
            <w:szCs w:val="24"/>
            <w:lang w:eastAsia="en-NZ"/>
          </w:rPr>
          <w:t xml:space="preserve"> </w:t>
        </w:r>
        <w:r w:rsidR="00526DBB">
          <w:rPr>
            <w:rFonts w:asciiTheme="minorHAnsi" w:eastAsiaTheme="minorEastAsia" w:hAnsiTheme="minorHAnsi"/>
            <w:noProof/>
            <w:szCs w:val="24"/>
            <w:lang w:eastAsia="en-NZ"/>
          </w:rPr>
          <w:t xml:space="preserve"> </w:t>
        </w:r>
        <w:r w:rsidRPr="001560AF">
          <w:rPr>
            <w:rStyle w:val="Hyperlink"/>
            <w:noProof/>
          </w:rPr>
          <w:t>Individual-level factors</w:t>
        </w:r>
        <w:r>
          <w:rPr>
            <w:noProof/>
            <w:webHidden/>
          </w:rPr>
          <w:tab/>
        </w:r>
        <w:r>
          <w:rPr>
            <w:noProof/>
            <w:webHidden/>
          </w:rPr>
          <w:fldChar w:fldCharType="begin"/>
        </w:r>
        <w:r>
          <w:rPr>
            <w:noProof/>
            <w:webHidden/>
          </w:rPr>
          <w:instrText xml:space="preserve"> PAGEREF _Toc208223388 \h </w:instrText>
        </w:r>
        <w:r>
          <w:rPr>
            <w:noProof/>
            <w:webHidden/>
          </w:rPr>
        </w:r>
        <w:r>
          <w:rPr>
            <w:noProof/>
            <w:webHidden/>
          </w:rPr>
          <w:fldChar w:fldCharType="separate"/>
        </w:r>
        <w:r w:rsidR="00582B52">
          <w:rPr>
            <w:noProof/>
            <w:webHidden/>
          </w:rPr>
          <w:t>18</w:t>
        </w:r>
        <w:r>
          <w:rPr>
            <w:noProof/>
            <w:webHidden/>
          </w:rPr>
          <w:fldChar w:fldCharType="end"/>
        </w:r>
      </w:hyperlink>
    </w:p>
    <w:p w14:paraId="462AB1C1" w14:textId="744604F5" w:rsidR="00E37B28" w:rsidRPr="00305269" w:rsidRDefault="00E37B28" w:rsidP="00EC3950">
      <w:pPr>
        <w:pStyle w:val="TOC1"/>
        <w:rPr>
          <w:rFonts w:asciiTheme="minorHAnsi" w:eastAsiaTheme="minorEastAsia" w:hAnsiTheme="minorHAnsi"/>
          <w:szCs w:val="24"/>
          <w:lang w:eastAsia="en-NZ"/>
        </w:rPr>
      </w:pPr>
      <w:hyperlink w:anchor="_Toc208223389" w:history="1">
        <w:r w:rsidRPr="00305269">
          <w:rPr>
            <w:rStyle w:val="Hyperlink"/>
            <w:b/>
            <w:bCs/>
          </w:rPr>
          <w:t>3</w:t>
        </w:r>
        <w:r w:rsidRPr="00305269">
          <w:rPr>
            <w:rFonts w:asciiTheme="minorHAnsi" w:eastAsiaTheme="minorEastAsia" w:hAnsiTheme="minorHAnsi"/>
            <w:szCs w:val="24"/>
            <w:lang w:eastAsia="en-NZ"/>
          </w:rPr>
          <w:tab/>
        </w:r>
        <w:r w:rsidRPr="00305269">
          <w:rPr>
            <w:rStyle w:val="Hyperlink"/>
            <w:b/>
            <w:bCs/>
          </w:rPr>
          <w:t>Long list and recommended indicators</w:t>
        </w:r>
        <w:r w:rsidRPr="00305269">
          <w:rPr>
            <w:webHidden/>
          </w:rPr>
          <w:tab/>
        </w:r>
        <w:r w:rsidRPr="00305269">
          <w:rPr>
            <w:webHidden/>
          </w:rPr>
          <w:fldChar w:fldCharType="begin"/>
        </w:r>
        <w:r w:rsidRPr="00305269">
          <w:rPr>
            <w:webHidden/>
          </w:rPr>
          <w:instrText xml:space="preserve"> PAGEREF _Toc208223389 \h </w:instrText>
        </w:r>
        <w:r w:rsidRPr="00305269">
          <w:rPr>
            <w:webHidden/>
          </w:rPr>
        </w:r>
        <w:r w:rsidRPr="00305269">
          <w:rPr>
            <w:webHidden/>
          </w:rPr>
          <w:fldChar w:fldCharType="separate"/>
        </w:r>
        <w:r w:rsidR="00582B52">
          <w:rPr>
            <w:webHidden/>
          </w:rPr>
          <w:t>25</w:t>
        </w:r>
        <w:r w:rsidRPr="00305269">
          <w:rPr>
            <w:webHidden/>
          </w:rPr>
          <w:fldChar w:fldCharType="end"/>
        </w:r>
      </w:hyperlink>
    </w:p>
    <w:p w14:paraId="6EF20BAF" w14:textId="2D6785DC" w:rsidR="00E37B28" w:rsidRPr="00EC3950" w:rsidRDefault="00E37B28" w:rsidP="00EC3950">
      <w:pPr>
        <w:pStyle w:val="TOC1"/>
        <w:rPr>
          <w:rFonts w:asciiTheme="minorHAnsi" w:eastAsiaTheme="minorEastAsia" w:hAnsiTheme="minorHAnsi"/>
          <w:szCs w:val="24"/>
          <w:lang w:eastAsia="en-NZ"/>
        </w:rPr>
      </w:pPr>
      <w:hyperlink w:anchor="_Toc208223390" w:history="1">
        <w:r w:rsidRPr="00EC3950">
          <w:rPr>
            <w:rStyle w:val="Hyperlink"/>
            <w:b/>
            <w:bCs/>
          </w:rPr>
          <w:t>References</w:t>
        </w:r>
        <w:r w:rsidRPr="00EC3950">
          <w:rPr>
            <w:webHidden/>
          </w:rPr>
          <w:tab/>
        </w:r>
        <w:r w:rsidRPr="00EC3950">
          <w:rPr>
            <w:webHidden/>
          </w:rPr>
          <w:fldChar w:fldCharType="begin"/>
        </w:r>
        <w:r w:rsidRPr="00EC3950">
          <w:rPr>
            <w:webHidden/>
          </w:rPr>
          <w:instrText xml:space="preserve"> PAGEREF _Toc208223390 \h </w:instrText>
        </w:r>
        <w:r w:rsidRPr="00EC3950">
          <w:rPr>
            <w:webHidden/>
          </w:rPr>
        </w:r>
        <w:r w:rsidRPr="00EC3950">
          <w:rPr>
            <w:webHidden/>
          </w:rPr>
          <w:fldChar w:fldCharType="separate"/>
        </w:r>
        <w:r w:rsidR="00582B52">
          <w:rPr>
            <w:webHidden/>
          </w:rPr>
          <w:t>31</w:t>
        </w:r>
        <w:r w:rsidRPr="00EC3950">
          <w:rPr>
            <w:webHidden/>
          </w:rPr>
          <w:fldChar w:fldCharType="end"/>
        </w:r>
      </w:hyperlink>
    </w:p>
    <w:p w14:paraId="3DD7FDF5" w14:textId="56B718DB" w:rsidR="00D6635F" w:rsidRDefault="0030039F" w:rsidP="007C4D4F">
      <w:r>
        <w:fldChar w:fldCharType="end"/>
      </w:r>
      <w:r w:rsidR="00D6635F">
        <w:br w:type="page"/>
      </w:r>
    </w:p>
    <w:p w14:paraId="1C49F638" w14:textId="5A372FA5" w:rsidR="00D6635F" w:rsidRPr="001B16E0" w:rsidRDefault="009A3E7E" w:rsidP="00BE4609">
      <w:pPr>
        <w:pStyle w:val="H1nonumber"/>
        <w:spacing w:before="0"/>
        <w:rPr>
          <w:b/>
          <w:bCs/>
        </w:rPr>
      </w:pPr>
      <w:bookmarkStart w:id="0" w:name="_Toc208223378"/>
      <w:r w:rsidRPr="001B16E0">
        <w:rPr>
          <w:b/>
          <w:bCs/>
        </w:rPr>
        <w:lastRenderedPageBreak/>
        <w:t>Recommended indicators</w:t>
      </w:r>
      <w:bookmarkEnd w:id="0"/>
    </w:p>
    <w:p w14:paraId="71E2B51B" w14:textId="0ED6B6BC" w:rsidR="00980845" w:rsidRDefault="00B207FD" w:rsidP="00F62661">
      <w:r>
        <w:t>We recommend</w:t>
      </w:r>
      <w:r w:rsidR="00F62661">
        <w:t xml:space="preserve"> m</w:t>
      </w:r>
      <w:r>
        <w:t>onitoring</w:t>
      </w:r>
      <w:r w:rsidR="00F62661">
        <w:t xml:space="preserve"> suicide and self-harm</w:t>
      </w:r>
      <w:r>
        <w:t xml:space="preserve"> outcomes</w:t>
      </w:r>
      <w:r w:rsidR="00F62661">
        <w:t xml:space="preserve"> only as a first step</w:t>
      </w:r>
      <w:r>
        <w:t xml:space="preserve"> (five indicators</w:t>
      </w:r>
      <w:r w:rsidR="00F62661">
        <w:t xml:space="preserve"> </w:t>
      </w:r>
      <w:r w:rsidR="008D335F">
        <w:t>shown</w:t>
      </w:r>
      <w:r w:rsidR="00F62661">
        <w:t xml:space="preserve"> below</w:t>
      </w:r>
      <w:r>
        <w:t>)</w:t>
      </w:r>
      <w:r w:rsidR="00F62661">
        <w:t xml:space="preserve">. </w:t>
      </w:r>
      <w:r w:rsidR="00FA6D8A">
        <w:t xml:space="preserve">This provides </w:t>
      </w:r>
      <w:r w:rsidR="00FA6D8A" w:rsidRPr="001652E6">
        <w:t>a small set of indicators at the highest level of suicide and self-harm surveillance</w:t>
      </w:r>
      <w:r w:rsidR="00FA6D8A">
        <w:t>.</w:t>
      </w:r>
    </w:p>
    <w:tbl>
      <w:tblPr>
        <w:tblStyle w:val="PlainTable2"/>
        <w:tblW w:w="8931" w:type="dxa"/>
        <w:tblLayout w:type="fixed"/>
        <w:tblLook w:val="04A0" w:firstRow="1" w:lastRow="0" w:firstColumn="1" w:lastColumn="0" w:noHBand="0" w:noVBand="1"/>
      </w:tblPr>
      <w:tblGrid>
        <w:gridCol w:w="426"/>
        <w:gridCol w:w="2635"/>
        <w:gridCol w:w="5870"/>
      </w:tblGrid>
      <w:tr w:rsidR="00C025B9" w:rsidRPr="00AC4EDB" w14:paraId="55713CC0" w14:textId="77777777" w:rsidTr="007E584B">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426" w:type="dxa"/>
            <w:vAlign w:val="center"/>
          </w:tcPr>
          <w:p w14:paraId="53251C3A" w14:textId="77777777" w:rsidR="00C025B9" w:rsidRPr="00D55BBC" w:rsidRDefault="00C025B9" w:rsidP="00853B46">
            <w:pPr>
              <w:pStyle w:val="Tabletext"/>
              <w:rPr>
                <w:szCs w:val="20"/>
              </w:rPr>
            </w:pPr>
          </w:p>
        </w:tc>
        <w:tc>
          <w:tcPr>
            <w:tcW w:w="2635" w:type="dxa"/>
            <w:noWrap/>
            <w:vAlign w:val="center"/>
          </w:tcPr>
          <w:p w14:paraId="115B401C" w14:textId="6DA7A300" w:rsidR="00C025B9" w:rsidRPr="00D55BBC" w:rsidRDefault="00C025B9" w:rsidP="003D43E5">
            <w:pPr>
              <w:pStyle w:val="Tabletext"/>
              <w:ind w:left="33"/>
              <w:cnfStyle w:val="100000000000" w:firstRow="1" w:lastRow="0" w:firstColumn="0" w:lastColumn="0" w:oddVBand="0" w:evenVBand="0" w:oddHBand="0" w:evenHBand="0" w:firstRowFirstColumn="0" w:firstRowLastColumn="0" w:lastRowFirstColumn="0" w:lastRowLastColumn="0"/>
              <w:rPr>
                <w:szCs w:val="20"/>
              </w:rPr>
            </w:pPr>
            <w:r w:rsidRPr="00D55BBC">
              <w:rPr>
                <w:szCs w:val="20"/>
              </w:rPr>
              <w:t>Indicator</w:t>
            </w:r>
          </w:p>
        </w:tc>
        <w:tc>
          <w:tcPr>
            <w:tcW w:w="5870" w:type="dxa"/>
            <w:vAlign w:val="center"/>
          </w:tcPr>
          <w:p w14:paraId="74B73C93" w14:textId="39DD47D3" w:rsidR="00C025B9" w:rsidRPr="00D55BBC" w:rsidRDefault="00C025B9" w:rsidP="002E48D2">
            <w:pPr>
              <w:pStyle w:val="Tabletext"/>
              <w:cnfStyle w:val="100000000000" w:firstRow="1" w:lastRow="0" w:firstColumn="0" w:lastColumn="0" w:oddVBand="0" w:evenVBand="0" w:oddHBand="0" w:evenHBand="0" w:firstRowFirstColumn="0" w:firstRowLastColumn="0" w:lastRowFirstColumn="0" w:lastRowLastColumn="0"/>
              <w:rPr>
                <w:szCs w:val="20"/>
              </w:rPr>
            </w:pPr>
            <w:r w:rsidRPr="00D55BBC">
              <w:rPr>
                <w:szCs w:val="20"/>
              </w:rPr>
              <w:t>Definition</w:t>
            </w:r>
          </w:p>
        </w:tc>
      </w:tr>
      <w:tr w:rsidR="00D55BBC" w:rsidRPr="00AC4EDB" w14:paraId="51FBCDD7" w14:textId="77777777" w:rsidTr="007E584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931" w:type="dxa"/>
            <w:gridSpan w:val="3"/>
            <w:vAlign w:val="center"/>
          </w:tcPr>
          <w:p w14:paraId="4F3C28F3" w14:textId="730BBC7B" w:rsidR="00D55BBC" w:rsidRPr="00D55BBC" w:rsidRDefault="00D55BBC" w:rsidP="003D43E5">
            <w:pPr>
              <w:pStyle w:val="Tabletext"/>
              <w:ind w:left="454"/>
              <w:rPr>
                <w:szCs w:val="20"/>
              </w:rPr>
            </w:pPr>
            <w:r>
              <w:rPr>
                <w:szCs w:val="20"/>
              </w:rPr>
              <w:t>Suicide and self-harm outcomes</w:t>
            </w:r>
          </w:p>
        </w:tc>
      </w:tr>
      <w:tr w:rsidR="00C025B9" w:rsidRPr="00AC4EDB" w14:paraId="7EED2913" w14:textId="77777777" w:rsidTr="007E584B">
        <w:trPr>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2486E1D6" w14:textId="79129E97" w:rsidR="00C025B9" w:rsidRPr="00D55BBC" w:rsidRDefault="002303BF" w:rsidP="00853B46">
            <w:pPr>
              <w:pStyle w:val="Tabletext"/>
              <w:rPr>
                <w:szCs w:val="20"/>
              </w:rPr>
            </w:pPr>
            <w:r w:rsidRPr="00D55BBC">
              <w:rPr>
                <w:szCs w:val="20"/>
              </w:rPr>
              <w:t>1</w:t>
            </w:r>
          </w:p>
        </w:tc>
        <w:tc>
          <w:tcPr>
            <w:tcW w:w="2635" w:type="dxa"/>
            <w:noWrap/>
            <w:vAlign w:val="center"/>
          </w:tcPr>
          <w:p w14:paraId="2645876F" w14:textId="03105483" w:rsidR="00C025B9" w:rsidRPr="00D55BBC" w:rsidRDefault="00C025B9" w:rsidP="002E48D2">
            <w:pPr>
              <w:pStyle w:val="Tabletext"/>
              <w:cnfStyle w:val="000000000000" w:firstRow="0" w:lastRow="0" w:firstColumn="0" w:lastColumn="0" w:oddVBand="0" w:evenVBand="0" w:oddHBand="0" w:evenHBand="0" w:firstRowFirstColumn="0" w:firstRowLastColumn="0" w:lastRowFirstColumn="0" w:lastRowLastColumn="0"/>
              <w:rPr>
                <w:szCs w:val="20"/>
              </w:rPr>
            </w:pPr>
            <w:r w:rsidRPr="00D55BBC">
              <w:rPr>
                <w:szCs w:val="20"/>
              </w:rPr>
              <w:t>Suicide rate</w:t>
            </w:r>
          </w:p>
        </w:tc>
        <w:tc>
          <w:tcPr>
            <w:tcW w:w="5870" w:type="dxa"/>
            <w:noWrap/>
            <w:vAlign w:val="center"/>
          </w:tcPr>
          <w:p w14:paraId="5469794D" w14:textId="453E3BD4" w:rsidR="00C025B9" w:rsidRPr="00D55BBC" w:rsidRDefault="00C025B9" w:rsidP="002E48D2">
            <w:pPr>
              <w:pStyle w:val="Tabletext"/>
              <w:cnfStyle w:val="000000000000" w:firstRow="0" w:lastRow="0" w:firstColumn="0" w:lastColumn="0" w:oddVBand="0" w:evenVBand="0" w:oddHBand="0" w:evenHBand="0" w:firstRowFirstColumn="0" w:firstRowLastColumn="0" w:lastRowFirstColumn="0" w:lastRowLastColumn="0"/>
              <w:rPr>
                <w:szCs w:val="20"/>
              </w:rPr>
            </w:pPr>
            <w:r w:rsidRPr="00D55BBC">
              <w:rPr>
                <w:szCs w:val="20"/>
              </w:rPr>
              <w:t>Age-standardised rate of suicide per 100,000 population</w:t>
            </w:r>
          </w:p>
        </w:tc>
      </w:tr>
      <w:tr w:rsidR="00C025B9" w:rsidRPr="00AC4EDB" w14:paraId="565B2497" w14:textId="77777777" w:rsidTr="007E584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3C54C72F" w14:textId="72EFEAE1" w:rsidR="00C025B9" w:rsidRPr="00D55BBC" w:rsidRDefault="002303BF" w:rsidP="00853B46">
            <w:pPr>
              <w:pStyle w:val="Tabletext"/>
              <w:rPr>
                <w:szCs w:val="20"/>
              </w:rPr>
            </w:pPr>
            <w:r w:rsidRPr="00D55BBC">
              <w:rPr>
                <w:szCs w:val="20"/>
              </w:rPr>
              <w:t>2</w:t>
            </w:r>
          </w:p>
        </w:tc>
        <w:tc>
          <w:tcPr>
            <w:tcW w:w="2635" w:type="dxa"/>
            <w:noWrap/>
            <w:vAlign w:val="center"/>
            <w:hideMark/>
          </w:tcPr>
          <w:p w14:paraId="743485E3" w14:textId="20BAE0F4" w:rsidR="00C025B9" w:rsidRPr="00D55BBC" w:rsidRDefault="00C025B9" w:rsidP="002E48D2">
            <w:pPr>
              <w:pStyle w:val="Tabletext"/>
              <w:cnfStyle w:val="000000100000" w:firstRow="0" w:lastRow="0" w:firstColumn="0" w:lastColumn="0" w:oddVBand="0" w:evenVBand="0" w:oddHBand="1" w:evenHBand="0" w:firstRowFirstColumn="0" w:firstRowLastColumn="0" w:lastRowFirstColumn="0" w:lastRowLastColumn="0"/>
              <w:rPr>
                <w:szCs w:val="20"/>
              </w:rPr>
            </w:pPr>
            <w:r w:rsidRPr="00D55BBC">
              <w:rPr>
                <w:szCs w:val="20"/>
              </w:rPr>
              <w:t>Suspected self-inflicted death rate</w:t>
            </w:r>
          </w:p>
        </w:tc>
        <w:tc>
          <w:tcPr>
            <w:tcW w:w="5870" w:type="dxa"/>
            <w:noWrap/>
            <w:vAlign w:val="center"/>
          </w:tcPr>
          <w:p w14:paraId="1E014423" w14:textId="71199B82" w:rsidR="00C025B9" w:rsidRPr="00D55BBC" w:rsidRDefault="00C025B9" w:rsidP="002E48D2">
            <w:pPr>
              <w:pStyle w:val="Tabletext"/>
              <w:cnfStyle w:val="000000100000" w:firstRow="0" w:lastRow="0" w:firstColumn="0" w:lastColumn="0" w:oddVBand="0" w:evenVBand="0" w:oddHBand="1" w:evenHBand="0" w:firstRowFirstColumn="0" w:firstRowLastColumn="0" w:lastRowFirstColumn="0" w:lastRowLastColumn="0"/>
              <w:rPr>
                <w:szCs w:val="20"/>
              </w:rPr>
            </w:pPr>
            <w:r w:rsidRPr="00D55BBC">
              <w:rPr>
                <w:szCs w:val="20"/>
              </w:rPr>
              <w:t>Age standardised rate of suspected self-inflicted death per 100,000 population</w:t>
            </w:r>
          </w:p>
        </w:tc>
      </w:tr>
      <w:tr w:rsidR="00C025B9" w:rsidRPr="00AC4EDB" w14:paraId="3CD50036" w14:textId="77777777" w:rsidTr="007E584B">
        <w:trPr>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704015E1" w14:textId="5A5AF393" w:rsidR="00C025B9" w:rsidRPr="00D55BBC" w:rsidRDefault="002303BF" w:rsidP="00853B46">
            <w:pPr>
              <w:pStyle w:val="Tabletext"/>
              <w:rPr>
                <w:szCs w:val="20"/>
              </w:rPr>
            </w:pPr>
            <w:r w:rsidRPr="00D55BBC">
              <w:rPr>
                <w:szCs w:val="20"/>
              </w:rPr>
              <w:t>3</w:t>
            </w:r>
          </w:p>
        </w:tc>
        <w:tc>
          <w:tcPr>
            <w:tcW w:w="2635" w:type="dxa"/>
            <w:noWrap/>
            <w:vAlign w:val="center"/>
          </w:tcPr>
          <w:p w14:paraId="01979A63" w14:textId="58487F14" w:rsidR="00C025B9" w:rsidRPr="00D55BBC" w:rsidRDefault="00C025B9" w:rsidP="002E48D2">
            <w:pPr>
              <w:pStyle w:val="Tabletext"/>
              <w:cnfStyle w:val="000000000000" w:firstRow="0" w:lastRow="0" w:firstColumn="0" w:lastColumn="0" w:oddVBand="0" w:evenVBand="0" w:oddHBand="0" w:evenHBand="0" w:firstRowFirstColumn="0" w:firstRowLastColumn="0" w:lastRowFirstColumn="0" w:lastRowLastColumn="0"/>
              <w:rPr>
                <w:szCs w:val="20"/>
              </w:rPr>
            </w:pPr>
            <w:r w:rsidRPr="00D55BBC">
              <w:rPr>
                <w:szCs w:val="20"/>
              </w:rPr>
              <w:t>Self-harm hospitalisation rate</w:t>
            </w:r>
          </w:p>
        </w:tc>
        <w:tc>
          <w:tcPr>
            <w:tcW w:w="5870" w:type="dxa"/>
            <w:noWrap/>
            <w:vAlign w:val="center"/>
          </w:tcPr>
          <w:p w14:paraId="300A802A" w14:textId="20A1BC20" w:rsidR="00C025B9" w:rsidRPr="00D55BBC" w:rsidRDefault="00C025B9" w:rsidP="002E48D2">
            <w:pPr>
              <w:pStyle w:val="Tabletext"/>
              <w:cnfStyle w:val="000000000000" w:firstRow="0" w:lastRow="0" w:firstColumn="0" w:lastColumn="0" w:oddVBand="0" w:evenVBand="0" w:oddHBand="0" w:evenHBand="0" w:firstRowFirstColumn="0" w:firstRowLastColumn="0" w:lastRowFirstColumn="0" w:lastRowLastColumn="0"/>
              <w:rPr>
                <w:szCs w:val="20"/>
              </w:rPr>
            </w:pPr>
            <w:r w:rsidRPr="00D55BBC">
              <w:rPr>
                <w:szCs w:val="20"/>
              </w:rPr>
              <w:t xml:space="preserve">Age standardised rate of non-fatal intentional self-harm hospitalisation per 100,000 population </w:t>
            </w:r>
          </w:p>
        </w:tc>
      </w:tr>
      <w:tr w:rsidR="00C025B9" w:rsidRPr="00AC4EDB" w14:paraId="0989881A" w14:textId="77777777" w:rsidTr="007E584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608E3875" w14:textId="6E3F3DD1" w:rsidR="00C025B9" w:rsidRPr="00D55BBC" w:rsidRDefault="002303BF" w:rsidP="00853B46">
            <w:pPr>
              <w:pStyle w:val="Tabletext"/>
              <w:rPr>
                <w:szCs w:val="20"/>
              </w:rPr>
            </w:pPr>
            <w:r w:rsidRPr="00D55BBC">
              <w:rPr>
                <w:szCs w:val="20"/>
              </w:rPr>
              <w:t>4</w:t>
            </w:r>
          </w:p>
        </w:tc>
        <w:tc>
          <w:tcPr>
            <w:tcW w:w="2635" w:type="dxa"/>
            <w:noWrap/>
            <w:vAlign w:val="center"/>
            <w:hideMark/>
          </w:tcPr>
          <w:p w14:paraId="5275E5BB" w14:textId="0134C5A0" w:rsidR="00C025B9" w:rsidRPr="00D55BBC" w:rsidRDefault="00C025B9" w:rsidP="002E48D2">
            <w:pPr>
              <w:pStyle w:val="Tabletext"/>
              <w:cnfStyle w:val="000000100000" w:firstRow="0" w:lastRow="0" w:firstColumn="0" w:lastColumn="0" w:oddVBand="0" w:evenVBand="0" w:oddHBand="1" w:evenHBand="0" w:firstRowFirstColumn="0" w:firstRowLastColumn="0" w:lastRowFirstColumn="0" w:lastRowLastColumn="0"/>
              <w:rPr>
                <w:szCs w:val="20"/>
              </w:rPr>
            </w:pPr>
            <w:r w:rsidRPr="00D55BBC">
              <w:rPr>
                <w:szCs w:val="20"/>
              </w:rPr>
              <w:t>Ambulance attendances for self-harm</w:t>
            </w:r>
          </w:p>
        </w:tc>
        <w:tc>
          <w:tcPr>
            <w:tcW w:w="5870" w:type="dxa"/>
            <w:noWrap/>
            <w:vAlign w:val="center"/>
          </w:tcPr>
          <w:p w14:paraId="0FFB0B75" w14:textId="56D7560B" w:rsidR="00C025B9" w:rsidRPr="00D55BBC" w:rsidRDefault="00C025B9" w:rsidP="002E48D2">
            <w:pPr>
              <w:pStyle w:val="Tabletext"/>
              <w:cnfStyle w:val="000000100000" w:firstRow="0" w:lastRow="0" w:firstColumn="0" w:lastColumn="0" w:oddVBand="0" w:evenVBand="0" w:oddHBand="1" w:evenHBand="0" w:firstRowFirstColumn="0" w:firstRowLastColumn="0" w:lastRowFirstColumn="0" w:lastRowLastColumn="0"/>
              <w:rPr>
                <w:szCs w:val="20"/>
              </w:rPr>
            </w:pPr>
            <w:r w:rsidRPr="00D55BBC">
              <w:rPr>
                <w:szCs w:val="20"/>
              </w:rPr>
              <w:t>Number of ambulance attendances for self-harm</w:t>
            </w:r>
          </w:p>
        </w:tc>
      </w:tr>
      <w:tr w:rsidR="00C025B9" w:rsidRPr="00AC4EDB" w14:paraId="1515409E" w14:textId="77777777" w:rsidTr="007E584B">
        <w:trPr>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2FED5047" w14:textId="0B337EF4" w:rsidR="00C025B9" w:rsidRPr="00D55BBC" w:rsidRDefault="002303BF" w:rsidP="00853B46">
            <w:pPr>
              <w:pStyle w:val="Tabletext"/>
              <w:rPr>
                <w:szCs w:val="20"/>
              </w:rPr>
            </w:pPr>
            <w:r w:rsidRPr="00D55BBC">
              <w:rPr>
                <w:szCs w:val="20"/>
              </w:rPr>
              <w:t>5</w:t>
            </w:r>
          </w:p>
        </w:tc>
        <w:tc>
          <w:tcPr>
            <w:tcW w:w="2635" w:type="dxa"/>
            <w:noWrap/>
            <w:vAlign w:val="center"/>
            <w:hideMark/>
          </w:tcPr>
          <w:p w14:paraId="7C370111" w14:textId="522D539B" w:rsidR="00C025B9" w:rsidRPr="00D55BBC" w:rsidRDefault="00C025B9" w:rsidP="002E48D2">
            <w:pPr>
              <w:pStyle w:val="Tabletext"/>
              <w:cnfStyle w:val="000000000000" w:firstRow="0" w:lastRow="0" w:firstColumn="0" w:lastColumn="0" w:oddVBand="0" w:evenVBand="0" w:oddHBand="0" w:evenHBand="0" w:firstRowFirstColumn="0" w:firstRowLastColumn="0" w:lastRowFirstColumn="0" w:lastRowLastColumn="0"/>
              <w:rPr>
                <w:szCs w:val="20"/>
              </w:rPr>
            </w:pPr>
            <w:r w:rsidRPr="00D55BBC">
              <w:rPr>
                <w:szCs w:val="20"/>
              </w:rPr>
              <w:t>Police attendances for crises</w:t>
            </w:r>
          </w:p>
        </w:tc>
        <w:tc>
          <w:tcPr>
            <w:tcW w:w="5870" w:type="dxa"/>
            <w:noWrap/>
            <w:vAlign w:val="center"/>
          </w:tcPr>
          <w:p w14:paraId="6530EF25" w14:textId="339CCAB4" w:rsidR="00C025B9" w:rsidRPr="00D55BBC" w:rsidRDefault="008F543D" w:rsidP="002E48D2">
            <w:pPr>
              <w:pStyle w:val="Tabletext"/>
              <w:cnfStyle w:val="000000000000" w:firstRow="0" w:lastRow="0" w:firstColumn="0" w:lastColumn="0" w:oddVBand="0" w:evenVBand="0" w:oddHBand="0" w:evenHBand="0" w:firstRowFirstColumn="0" w:firstRowLastColumn="0" w:lastRowFirstColumn="0" w:lastRowLastColumn="0"/>
              <w:rPr>
                <w:szCs w:val="20"/>
              </w:rPr>
            </w:pPr>
            <w:r w:rsidRPr="00F94764">
              <w:t xml:space="preserve">Number of 1X (threatens/attempts suicide) coded </w:t>
            </w:r>
            <w:r>
              <w:t xml:space="preserve">responses to </w:t>
            </w:r>
            <w:r w:rsidRPr="00F94764">
              <w:t>call-outs</w:t>
            </w:r>
            <w:r w:rsidR="002D2531">
              <w:t>*</w:t>
            </w:r>
          </w:p>
        </w:tc>
      </w:tr>
    </w:tbl>
    <w:p w14:paraId="64468923" w14:textId="5A55306D" w:rsidR="00D67030" w:rsidRDefault="002D2531" w:rsidP="002D2531">
      <w:pPr>
        <w:pStyle w:val="Tablenote"/>
      </w:pPr>
      <w:r>
        <w:t>*</w:t>
      </w:r>
      <w:r w:rsidR="007C6B97" w:rsidRPr="00D87A53">
        <w:rPr>
          <w:sz w:val="18"/>
          <w:szCs w:val="18"/>
        </w:rPr>
        <w:t>F</w:t>
      </w:r>
      <w:r w:rsidRPr="00D87A53">
        <w:rPr>
          <w:sz w:val="18"/>
          <w:szCs w:val="18"/>
        </w:rPr>
        <w:t xml:space="preserve">urther work </w:t>
      </w:r>
      <w:r w:rsidR="009030C4">
        <w:rPr>
          <w:sz w:val="18"/>
          <w:szCs w:val="18"/>
        </w:rPr>
        <w:t>is needed</w:t>
      </w:r>
      <w:r w:rsidR="007C6B97" w:rsidRPr="00D87A53">
        <w:rPr>
          <w:sz w:val="18"/>
          <w:szCs w:val="18"/>
        </w:rPr>
        <w:t xml:space="preserve"> </w:t>
      </w:r>
      <w:r w:rsidRPr="00D87A53">
        <w:rPr>
          <w:sz w:val="18"/>
          <w:szCs w:val="18"/>
        </w:rPr>
        <w:t xml:space="preserve">to confirm the suitability </w:t>
      </w:r>
      <w:r w:rsidR="007C6B97" w:rsidRPr="00D87A53">
        <w:rPr>
          <w:sz w:val="18"/>
          <w:szCs w:val="18"/>
        </w:rPr>
        <w:t>of this</w:t>
      </w:r>
      <w:r w:rsidRPr="00D87A53">
        <w:rPr>
          <w:sz w:val="18"/>
          <w:szCs w:val="18"/>
        </w:rPr>
        <w:t xml:space="preserve"> indicator</w:t>
      </w:r>
      <w:r w:rsidR="00D87A53">
        <w:t>.</w:t>
      </w:r>
      <w:r w:rsidR="00D67030">
        <w:br w:type="page"/>
      </w:r>
    </w:p>
    <w:p w14:paraId="0BBF31DA" w14:textId="7F490459" w:rsidR="006C7825" w:rsidRPr="001B16E0" w:rsidRDefault="009215D4" w:rsidP="00A42776">
      <w:pPr>
        <w:pStyle w:val="Heading1"/>
        <w:ind w:left="431" w:hanging="431"/>
        <w:rPr>
          <w:b/>
          <w:bCs/>
        </w:rPr>
      </w:pPr>
      <w:bookmarkStart w:id="1" w:name="_Toc208223379"/>
      <w:r w:rsidRPr="001B16E0">
        <w:rPr>
          <w:b/>
          <w:bCs/>
        </w:rPr>
        <w:lastRenderedPageBreak/>
        <w:t>Introduction</w:t>
      </w:r>
      <w:bookmarkEnd w:id="1"/>
    </w:p>
    <w:p w14:paraId="24376069" w14:textId="31A63488" w:rsidR="00994626" w:rsidRDefault="006C6292" w:rsidP="00DE68E8">
      <w:r>
        <w:t xml:space="preserve">This </w:t>
      </w:r>
      <w:r w:rsidR="00520A70">
        <w:t>paper presents</w:t>
      </w:r>
      <w:r w:rsidR="00FD51B5">
        <w:t xml:space="preserve"> a focused</w:t>
      </w:r>
      <w:r w:rsidR="00B53092">
        <w:t xml:space="preserve"> review</w:t>
      </w:r>
      <w:r w:rsidR="00FD51B5">
        <w:t xml:space="preserve"> of</w:t>
      </w:r>
      <w:r w:rsidR="00B53092">
        <w:t xml:space="preserve"> </w:t>
      </w:r>
      <w:r w:rsidR="00ED49D3">
        <w:t>suicide and self-harm</w:t>
      </w:r>
      <w:r w:rsidR="00ED49D3">
        <w:rPr>
          <w:rStyle w:val="FootnoteReference"/>
        </w:rPr>
        <w:footnoteReference w:id="2"/>
      </w:r>
      <w:r w:rsidR="00ED49D3">
        <w:t xml:space="preserve"> monitoring </w:t>
      </w:r>
      <w:r w:rsidR="00B53092">
        <w:t>indicators</w:t>
      </w:r>
      <w:r w:rsidR="00993D29">
        <w:t>.</w:t>
      </w:r>
      <w:r w:rsidR="00B53092">
        <w:rPr>
          <w:rStyle w:val="FootnoteReference"/>
        </w:rPr>
        <w:footnoteReference w:id="3"/>
      </w:r>
      <w:r w:rsidR="00A64E5A">
        <w:t xml:space="preserve"> </w:t>
      </w:r>
      <w:r w:rsidR="00AF035C">
        <w:t>We did this review to inform</w:t>
      </w:r>
      <w:r w:rsidR="002809F2">
        <w:t xml:space="preserve"> </w:t>
      </w:r>
      <w:r w:rsidR="00FA47E6">
        <w:t>an approach to</w:t>
      </w:r>
      <w:r w:rsidR="000E7940">
        <w:t xml:space="preserve"> independent system-level monitoring of suicide </w:t>
      </w:r>
      <w:r w:rsidR="002809F2">
        <w:t>prevention</w:t>
      </w:r>
      <w:r w:rsidR="00CB1CBB">
        <w:t xml:space="preserve"> as outlined </w:t>
      </w:r>
      <w:r w:rsidR="002809F2">
        <w:t xml:space="preserve">in </w:t>
      </w:r>
      <w:r w:rsidR="00F759B0">
        <w:t>our</w:t>
      </w:r>
      <w:r w:rsidR="002809F2">
        <w:t xml:space="preserve"> </w:t>
      </w:r>
      <w:r w:rsidR="00A948AE">
        <w:t>20</w:t>
      </w:r>
      <w:r w:rsidR="00A258FC">
        <w:t>24/25 Statement of Performance Expectations</w:t>
      </w:r>
      <w:r w:rsidR="002809F2">
        <w:t>. The</w:t>
      </w:r>
      <w:r w:rsidR="00FD51B5">
        <w:t xml:space="preserve"> purpose of the review </w:t>
      </w:r>
      <w:r w:rsidR="006C5F45">
        <w:t xml:space="preserve">was </w:t>
      </w:r>
      <w:r w:rsidR="00FD51B5">
        <w:t>to</w:t>
      </w:r>
      <w:r w:rsidR="00B53092">
        <w:t xml:space="preserve"> </w:t>
      </w:r>
      <w:r w:rsidR="000E2238">
        <w:t>select</w:t>
      </w:r>
      <w:r w:rsidR="00B53092">
        <w:t xml:space="preserve"> a small set of indicators </w:t>
      </w:r>
      <w:r w:rsidR="00221557">
        <w:t xml:space="preserve">to recommend to </w:t>
      </w:r>
      <w:r w:rsidR="00A67DA7">
        <w:t xml:space="preserve">Te Hiringa Mahara </w:t>
      </w:r>
      <w:r w:rsidR="00221557">
        <w:t>Board</w:t>
      </w:r>
      <w:r w:rsidR="00A67DA7">
        <w:t xml:space="preserve"> as part of their</w:t>
      </w:r>
      <w:r w:rsidR="00B53092">
        <w:t xml:space="preserve"> consideration of our future role in monitoring suicide prevention</w:t>
      </w:r>
      <w:r w:rsidR="005D16F2">
        <w:t>.</w:t>
      </w:r>
      <w:r w:rsidR="00587E55">
        <w:t xml:space="preserve"> </w:t>
      </w:r>
      <w:r w:rsidR="00F9387D">
        <w:t>Recommended measures in this working paper will be included in our future system performance monitoring</w:t>
      </w:r>
      <w:r w:rsidR="00DC62C3">
        <w:t xml:space="preserve"> planned for publication in May 2026</w:t>
      </w:r>
      <w:r w:rsidR="00F9387D">
        <w:t xml:space="preserve">. </w:t>
      </w:r>
    </w:p>
    <w:p w14:paraId="0CE82A06" w14:textId="77777777" w:rsidR="004D396E" w:rsidRPr="00F44ADC" w:rsidRDefault="004D396E" w:rsidP="001B16E0">
      <w:pPr>
        <w:pStyle w:val="Heading2"/>
        <w:ind w:left="851" w:hanging="851"/>
      </w:pPr>
      <w:bookmarkStart w:id="2" w:name="_Toc208223380"/>
      <w:r w:rsidRPr="00F44ADC">
        <w:t>Objectives</w:t>
      </w:r>
      <w:bookmarkEnd w:id="2"/>
    </w:p>
    <w:p w14:paraId="41A0CE78" w14:textId="19830C1D" w:rsidR="004D396E" w:rsidRPr="00F44ADC" w:rsidRDefault="004D396E" w:rsidP="004D396E">
      <w:r w:rsidRPr="00F44ADC">
        <w:t xml:space="preserve">The primary objective </w:t>
      </w:r>
      <w:r w:rsidR="00834E22">
        <w:t xml:space="preserve">of the review </w:t>
      </w:r>
      <w:r w:rsidRPr="00F44ADC">
        <w:t xml:space="preserve">was to identify </w:t>
      </w:r>
      <w:r w:rsidR="00997F88">
        <w:t>indicator</w:t>
      </w:r>
      <w:r w:rsidRPr="00F44ADC">
        <w:t>s that</w:t>
      </w:r>
      <w:r w:rsidR="00A04D35">
        <w:t xml:space="preserve"> reflect</w:t>
      </w:r>
      <w:r w:rsidRPr="00F44ADC">
        <w:t>:</w:t>
      </w:r>
    </w:p>
    <w:p w14:paraId="511DA477" w14:textId="537468D6" w:rsidR="004D396E" w:rsidRPr="00F44ADC" w:rsidRDefault="004D396E" w:rsidP="00434A9D">
      <w:pPr>
        <w:numPr>
          <w:ilvl w:val="0"/>
          <w:numId w:val="31"/>
        </w:numPr>
        <w:ind w:left="714" w:hanging="357"/>
        <w:contextualSpacing/>
      </w:pPr>
      <w:r w:rsidRPr="00F44ADC">
        <w:t>high-level outcomes of suicide and self-harm</w:t>
      </w:r>
    </w:p>
    <w:p w14:paraId="7780837C" w14:textId="77777777" w:rsidR="00772560" w:rsidRDefault="00772560" w:rsidP="00434A9D">
      <w:pPr>
        <w:numPr>
          <w:ilvl w:val="0"/>
          <w:numId w:val="31"/>
        </w:numPr>
        <w:ind w:left="714" w:hanging="357"/>
        <w:contextualSpacing/>
      </w:pPr>
      <w:r w:rsidRPr="00F44ADC">
        <w:t xml:space="preserve">the influence of social determinants </w:t>
      </w:r>
    </w:p>
    <w:p w14:paraId="793B3F05" w14:textId="18413279" w:rsidR="004D396E" w:rsidRPr="00F44ADC" w:rsidRDefault="004D396E" w:rsidP="00434A9D">
      <w:pPr>
        <w:numPr>
          <w:ilvl w:val="0"/>
          <w:numId w:val="31"/>
        </w:numPr>
        <w:ind w:left="714" w:hanging="357"/>
        <w:contextualSpacing/>
      </w:pPr>
      <w:r w:rsidRPr="00F44ADC">
        <w:t xml:space="preserve">established risk </w:t>
      </w:r>
      <w:r w:rsidRPr="00F42DD9">
        <w:t>factors</w:t>
      </w:r>
      <w:r w:rsidR="00A50A30">
        <w:rPr>
          <w:rStyle w:val="FootnoteReference"/>
        </w:rPr>
        <w:footnoteReference w:id="4"/>
      </w:r>
      <w:r w:rsidRPr="00F42DD9">
        <w:t xml:space="preserve"> </w:t>
      </w:r>
      <w:r w:rsidR="00AA2725" w:rsidRPr="00F42DD9">
        <w:t>at a population level</w:t>
      </w:r>
      <w:r w:rsidR="00772560">
        <w:t>.</w:t>
      </w:r>
    </w:p>
    <w:p w14:paraId="40048694" w14:textId="7AF4595A" w:rsidR="00772560" w:rsidRDefault="00772560" w:rsidP="001B16E0">
      <w:pPr>
        <w:pStyle w:val="Heading2"/>
        <w:ind w:left="851" w:hanging="851"/>
      </w:pPr>
      <w:bookmarkStart w:id="3" w:name="_Toc208223381"/>
      <w:r>
        <w:t>Approach</w:t>
      </w:r>
      <w:bookmarkEnd w:id="3"/>
    </w:p>
    <w:p w14:paraId="36415345" w14:textId="4020A4B4" w:rsidR="00772560" w:rsidRPr="00772560" w:rsidRDefault="00462D91" w:rsidP="00772560">
      <w:r>
        <w:t>W</w:t>
      </w:r>
      <w:r w:rsidR="008D4201">
        <w:t>e</w:t>
      </w:r>
      <w:r>
        <w:t xml:space="preserve"> have focused on </w:t>
      </w:r>
      <w:r w:rsidR="00AB2D1A">
        <w:t xml:space="preserve">population level </w:t>
      </w:r>
      <w:r w:rsidR="008D4201">
        <w:t>outcomes</w:t>
      </w:r>
      <w:r>
        <w:t xml:space="preserve"> and </w:t>
      </w:r>
      <w:r w:rsidR="008D4201">
        <w:t>indicators</w:t>
      </w:r>
      <w:r>
        <w:t xml:space="preserve"> of risk a</w:t>
      </w:r>
      <w:r w:rsidR="008D4201">
        <w:t>n</w:t>
      </w:r>
      <w:r>
        <w:t>d protective factors</w:t>
      </w:r>
      <w:r w:rsidR="00AD370A">
        <w:t>. We have prio</w:t>
      </w:r>
      <w:r w:rsidR="008D4201">
        <w:t>ri</w:t>
      </w:r>
      <w:r w:rsidR="00AD370A">
        <w:t xml:space="preserve">tised </w:t>
      </w:r>
      <w:r w:rsidR="008D4201">
        <w:t>indicators</w:t>
      </w:r>
      <w:r w:rsidR="00AD370A">
        <w:t xml:space="preserve"> </w:t>
      </w:r>
      <w:r w:rsidR="0018211B">
        <w:t xml:space="preserve">with </w:t>
      </w:r>
      <w:r w:rsidR="006F00CB">
        <w:t xml:space="preserve">strong </w:t>
      </w:r>
      <w:r w:rsidR="001935CD">
        <w:t>empirical li</w:t>
      </w:r>
      <w:r w:rsidR="008D4201">
        <w:t>n</w:t>
      </w:r>
      <w:r w:rsidR="001935CD">
        <w:t xml:space="preserve">ks </w:t>
      </w:r>
      <w:r w:rsidR="008D4201">
        <w:t>to</w:t>
      </w:r>
      <w:r w:rsidR="001935CD">
        <w:t xml:space="preserve"> suicide and self-harm ri</w:t>
      </w:r>
      <w:r w:rsidR="00556A84">
        <w:t xml:space="preserve">sk, feasibility of measurement from </w:t>
      </w:r>
      <w:r w:rsidR="008D4201">
        <w:t>existing</w:t>
      </w:r>
      <w:r w:rsidR="00556A84">
        <w:t xml:space="preserve"> </w:t>
      </w:r>
      <w:r w:rsidR="008D4201">
        <w:t>national</w:t>
      </w:r>
      <w:r w:rsidR="00556A84">
        <w:t xml:space="preserve"> dat</w:t>
      </w:r>
      <w:r w:rsidR="008D4201">
        <w:t>a</w:t>
      </w:r>
      <w:r w:rsidR="00556A84">
        <w:t xml:space="preserve"> sources, and </w:t>
      </w:r>
      <w:r w:rsidR="008D4201">
        <w:t>relevance</w:t>
      </w:r>
      <w:r w:rsidR="00556A84">
        <w:t xml:space="preserve"> to priority </w:t>
      </w:r>
      <w:r w:rsidR="008D4201">
        <w:t>populations</w:t>
      </w:r>
      <w:r w:rsidR="00556A84">
        <w:t xml:space="preserve">, </w:t>
      </w:r>
      <w:r w:rsidR="008D4201">
        <w:t>particularly</w:t>
      </w:r>
      <w:r w:rsidR="00556A84">
        <w:t xml:space="preserve"> </w:t>
      </w:r>
      <w:r w:rsidR="008D4201">
        <w:t>Māori</w:t>
      </w:r>
      <w:r w:rsidR="00556A84">
        <w:t xml:space="preserve"> and young people.</w:t>
      </w:r>
      <w:r w:rsidR="00F6575A">
        <w:t xml:space="preserve"> We have e</w:t>
      </w:r>
      <w:r w:rsidR="00A04452">
        <w:t>x</w:t>
      </w:r>
      <w:r w:rsidR="00F6575A">
        <w:t xml:space="preserve">cluded </w:t>
      </w:r>
      <w:r w:rsidR="00A04452">
        <w:t>potential societal level indicators relating to access to means due to the sensitivity of these measures in public reporting and the absence of national data for some means.</w:t>
      </w:r>
    </w:p>
    <w:p w14:paraId="51ECA96B" w14:textId="598AE1C7" w:rsidR="00D93F0B" w:rsidRDefault="00D93F0B" w:rsidP="001B16E0">
      <w:pPr>
        <w:pStyle w:val="Heading2"/>
        <w:ind w:left="851" w:hanging="851"/>
      </w:pPr>
      <w:bookmarkStart w:id="4" w:name="_Toc208223382"/>
      <w:r>
        <w:t>Method</w:t>
      </w:r>
      <w:bookmarkEnd w:id="4"/>
    </w:p>
    <w:p w14:paraId="07DBD8E3" w14:textId="3B06AC20" w:rsidR="00F44ADC" w:rsidRPr="00F44ADC" w:rsidRDefault="00D07DAF" w:rsidP="00F44ADC">
      <w:r>
        <w:t>We examined s</w:t>
      </w:r>
      <w:r w:rsidR="00064292">
        <w:t>uicide and self-harm</w:t>
      </w:r>
      <w:r w:rsidR="00182790" w:rsidRPr="00182790">
        <w:t xml:space="preserve"> monitoring systems and frameworks from </w:t>
      </w:r>
      <w:r w:rsidR="00182790">
        <w:t xml:space="preserve">selected </w:t>
      </w:r>
      <w:r w:rsidR="00182790" w:rsidRPr="00182790">
        <w:t xml:space="preserve">high-income countries. </w:t>
      </w:r>
    </w:p>
    <w:p w14:paraId="61E8ADB3" w14:textId="77777777" w:rsidR="009C4346" w:rsidRDefault="009C4346">
      <w:r>
        <w:br w:type="page"/>
      </w:r>
    </w:p>
    <w:p w14:paraId="009C638C" w14:textId="7B32AB75" w:rsidR="00AE1CC3" w:rsidRDefault="00AE1CC3" w:rsidP="00AE1CC3">
      <w:r w:rsidRPr="00F44ADC">
        <w:lastRenderedPageBreak/>
        <w:t>Th</w:t>
      </w:r>
      <w:r>
        <w:t>e following</w:t>
      </w:r>
      <w:r w:rsidRPr="00F44ADC">
        <w:t xml:space="preserve"> sources were used to identify </w:t>
      </w:r>
      <w:r w:rsidR="00997F88">
        <w:t>indicator</w:t>
      </w:r>
      <w:r w:rsidRPr="00F44ADC">
        <w:t>s:</w:t>
      </w:r>
    </w:p>
    <w:p w14:paraId="0FEFACD1" w14:textId="3D663DB2" w:rsidR="00D0717F" w:rsidRDefault="00D0717F" w:rsidP="007477D3">
      <w:pPr>
        <w:numPr>
          <w:ilvl w:val="0"/>
          <w:numId w:val="34"/>
        </w:numPr>
        <w:ind w:left="714" w:right="-46" w:hanging="357"/>
        <w:contextualSpacing/>
      </w:pPr>
      <w:r w:rsidRPr="00F44ADC">
        <w:t xml:space="preserve">National suicide </w:t>
      </w:r>
      <w:r>
        <w:t xml:space="preserve">and self-harm </w:t>
      </w:r>
      <w:r w:rsidRPr="00F44ADC">
        <w:t xml:space="preserve">prevention strategies, </w:t>
      </w:r>
      <w:r>
        <w:t xml:space="preserve">health agency and </w:t>
      </w:r>
      <w:r w:rsidRPr="00F44ADC">
        <w:t>statistical agency websites</w:t>
      </w:r>
      <w:r>
        <w:t xml:space="preserve"> and</w:t>
      </w:r>
      <w:r w:rsidRPr="00F44ADC">
        <w:t xml:space="preserve"> reports </w:t>
      </w:r>
      <w:r>
        <w:t>from</w:t>
      </w:r>
      <w:r w:rsidRPr="00F44ADC">
        <w:t xml:space="preserve"> </w:t>
      </w:r>
      <w:r w:rsidR="00EB7899">
        <w:t xml:space="preserve">New Zealand, </w:t>
      </w:r>
      <w:r w:rsidRPr="00F44ADC">
        <w:t>Australia, Canada, the United Kingdom</w:t>
      </w:r>
      <w:r>
        <w:t>, the</w:t>
      </w:r>
      <w:r w:rsidRPr="00F44ADC">
        <w:t xml:space="preserve"> United States, </w:t>
      </w:r>
      <w:r w:rsidR="007567E5">
        <w:t>selected European countries and Japan.</w:t>
      </w:r>
    </w:p>
    <w:p w14:paraId="78C5836C" w14:textId="41FA21A4" w:rsidR="00D0717F" w:rsidRDefault="00D0717F" w:rsidP="007477D3">
      <w:pPr>
        <w:numPr>
          <w:ilvl w:val="0"/>
          <w:numId w:val="34"/>
        </w:numPr>
        <w:ind w:left="714" w:hanging="357"/>
        <w:contextualSpacing/>
      </w:pPr>
      <w:r w:rsidRPr="006D088A">
        <w:t xml:space="preserve">International agency </w:t>
      </w:r>
      <w:r>
        <w:t xml:space="preserve">websites and reports (e.g., </w:t>
      </w:r>
      <w:r w:rsidRPr="00F44ADC">
        <w:t xml:space="preserve">the </w:t>
      </w:r>
      <w:r w:rsidR="00783623">
        <w:t>World Health Organization</w:t>
      </w:r>
      <w:r>
        <w:t>)</w:t>
      </w:r>
      <w:r w:rsidRPr="00F44ADC">
        <w:t xml:space="preserve"> </w:t>
      </w:r>
      <w:r w:rsidR="00783623">
        <w:t>that</w:t>
      </w:r>
      <w:r w:rsidRPr="00F44ADC">
        <w:t xml:space="preserve"> describe </w:t>
      </w:r>
      <w:r>
        <w:t>indicator</w:t>
      </w:r>
      <w:r w:rsidRPr="00F44ADC">
        <w:t xml:space="preserve"> frameworks or cross-country comparisons.</w:t>
      </w:r>
    </w:p>
    <w:p w14:paraId="4C4FBA99" w14:textId="70B418F7" w:rsidR="00D0717F" w:rsidRPr="008B4485" w:rsidRDefault="00D0717F" w:rsidP="007477D3">
      <w:pPr>
        <w:numPr>
          <w:ilvl w:val="0"/>
          <w:numId w:val="34"/>
        </w:numPr>
        <w:ind w:left="714" w:hanging="357"/>
        <w:contextualSpacing/>
      </w:pPr>
      <w:r>
        <w:t>Academic r</w:t>
      </w:r>
      <w:r w:rsidRPr="003C27CC">
        <w:t>eview literature</w:t>
      </w:r>
      <w:r w:rsidR="008E2D33">
        <w:t xml:space="preserve"> (</w:t>
      </w:r>
      <w:r w:rsidR="001046C6">
        <w:t xml:space="preserve">narrative reviews, </w:t>
      </w:r>
      <w:r w:rsidR="008E2D33">
        <w:t>systematic reviews</w:t>
      </w:r>
      <w:r w:rsidR="00CC771D">
        <w:t>,</w:t>
      </w:r>
      <w:r w:rsidR="008E2D33">
        <w:t xml:space="preserve"> and meta-analyses)</w:t>
      </w:r>
      <w:r w:rsidR="00402C19">
        <w:t xml:space="preserve">, population and cohort studies </w:t>
      </w:r>
      <w:r w:rsidRPr="003C27CC">
        <w:t>focused on risk factors</w:t>
      </w:r>
      <w:r w:rsidR="005F62C1">
        <w:t>,</w:t>
      </w:r>
      <w:r w:rsidRPr="003C27CC">
        <w:t xml:space="preserve"> social determinants, </w:t>
      </w:r>
      <w:r w:rsidR="005F62C1">
        <w:t>and</w:t>
      </w:r>
      <w:r w:rsidRPr="003C27CC">
        <w:t xml:space="preserve"> suicide and self-harm </w:t>
      </w:r>
      <w:r w:rsidRPr="00215DCE">
        <w:t>monitoring</w:t>
      </w:r>
      <w:r>
        <w:t>.</w:t>
      </w:r>
      <w:r w:rsidR="002E0144" w:rsidRPr="002E0144">
        <w:rPr>
          <w:color w:val="FF0000"/>
        </w:rPr>
        <w:t xml:space="preserve"> </w:t>
      </w:r>
    </w:p>
    <w:p w14:paraId="1115571F" w14:textId="5A47C459" w:rsidR="008B4485" w:rsidRPr="00215DCE" w:rsidRDefault="00EA0DAE" w:rsidP="007477D3">
      <w:pPr>
        <w:numPr>
          <w:ilvl w:val="0"/>
          <w:numId w:val="34"/>
        </w:numPr>
        <w:ind w:left="714" w:hanging="357"/>
      </w:pPr>
      <w:r w:rsidRPr="00215DCE">
        <w:t xml:space="preserve">Suicide </w:t>
      </w:r>
      <w:r w:rsidR="00215DCE" w:rsidRPr="00215DCE">
        <w:t>Mortality</w:t>
      </w:r>
      <w:r w:rsidRPr="00215DCE">
        <w:t xml:space="preserve"> </w:t>
      </w:r>
      <w:r w:rsidR="00215DCE" w:rsidRPr="00215DCE">
        <w:t>Review Committee reports (New Zealand).</w:t>
      </w:r>
    </w:p>
    <w:p w14:paraId="7A0ACC47" w14:textId="579238B5" w:rsidR="004D396E" w:rsidRDefault="004D396E" w:rsidP="007477D3">
      <w:pPr>
        <w:spacing w:before="160"/>
      </w:pPr>
      <w:r>
        <w:t>Key s</w:t>
      </w:r>
      <w:r w:rsidRPr="00182790">
        <w:t>ources included</w:t>
      </w:r>
      <w:r>
        <w:t>:</w:t>
      </w:r>
    </w:p>
    <w:p w14:paraId="0B4BAFD0" w14:textId="528C5A46" w:rsidR="004D396E" w:rsidRDefault="004D396E" w:rsidP="00014674">
      <w:pPr>
        <w:pStyle w:val="ListParagraph"/>
        <w:numPr>
          <w:ilvl w:val="0"/>
          <w:numId w:val="32"/>
        </w:numPr>
      </w:pPr>
      <w:r w:rsidRPr="00182790">
        <w:t xml:space="preserve">Canada’s </w:t>
      </w:r>
      <w:r w:rsidRPr="00D86989">
        <w:rPr>
          <w:i/>
          <w:iCs/>
        </w:rPr>
        <w:t xml:space="preserve">Suicide Surveillance </w:t>
      </w:r>
      <w:r w:rsidR="00997F88">
        <w:rPr>
          <w:i/>
          <w:iCs/>
        </w:rPr>
        <w:t>Indicator</w:t>
      </w:r>
      <w:r w:rsidRPr="00D86989">
        <w:rPr>
          <w:i/>
          <w:iCs/>
        </w:rPr>
        <w:t xml:space="preserve"> Framework</w:t>
      </w:r>
      <w:r w:rsidRPr="00182790">
        <w:t xml:space="preserve"> (Public Health Agency of Canada) </w:t>
      </w:r>
      <w:r w:rsidR="009D4A15">
        <w:t>(</w:t>
      </w:r>
      <w:hyperlink r:id="rId14" w:history="1">
        <w:r w:rsidR="002C0AED">
          <w:rPr>
            <w:rStyle w:val="Hyperlink"/>
          </w:rPr>
          <w:t>health-infobase.canada.ca/</w:t>
        </w:r>
        <w:proofErr w:type="spellStart"/>
        <w:r w:rsidR="002C0AED">
          <w:rPr>
            <w:rStyle w:val="Hyperlink"/>
          </w:rPr>
          <w:t>ssif</w:t>
        </w:r>
        <w:proofErr w:type="spellEnd"/>
        <w:r w:rsidR="002C0AED">
          <w:rPr>
            <w:rStyle w:val="Hyperlink"/>
          </w:rPr>
          <w:t>/</w:t>
        </w:r>
      </w:hyperlink>
      <w:r w:rsidR="002C0AED">
        <w:t>)</w:t>
      </w:r>
    </w:p>
    <w:p w14:paraId="71A48751" w14:textId="451CF5E0" w:rsidR="004D396E" w:rsidRDefault="004D396E" w:rsidP="00014674">
      <w:pPr>
        <w:pStyle w:val="ListParagraph"/>
        <w:numPr>
          <w:ilvl w:val="0"/>
          <w:numId w:val="32"/>
        </w:numPr>
      </w:pPr>
      <w:r w:rsidRPr="00182790">
        <w:t xml:space="preserve">the United States’ </w:t>
      </w:r>
      <w:r w:rsidRPr="00D86989">
        <w:rPr>
          <w:i/>
          <w:iCs/>
        </w:rPr>
        <w:t xml:space="preserve">ASTHO Suicide </w:t>
      </w:r>
      <w:r>
        <w:rPr>
          <w:i/>
          <w:iCs/>
        </w:rPr>
        <w:t>Indicator</w:t>
      </w:r>
      <w:r w:rsidRPr="00D86989">
        <w:rPr>
          <w:i/>
          <w:iCs/>
        </w:rPr>
        <w:t xml:space="preserve"> Tool</w:t>
      </w:r>
      <w:r>
        <w:t xml:space="preserve"> (</w:t>
      </w:r>
      <w:r w:rsidR="009D502D" w:rsidRPr="009D502D">
        <w:t xml:space="preserve">Association </w:t>
      </w:r>
      <w:r w:rsidR="009D502D">
        <w:t>o</w:t>
      </w:r>
      <w:r w:rsidR="009D502D" w:rsidRPr="009D502D">
        <w:t xml:space="preserve">f State </w:t>
      </w:r>
      <w:r w:rsidR="009D502D">
        <w:t>a</w:t>
      </w:r>
      <w:r w:rsidR="009D502D" w:rsidRPr="009D502D">
        <w:t>nd Territorial Health Official</w:t>
      </w:r>
      <w:r w:rsidR="009D502D">
        <w:t>s</w:t>
      </w:r>
      <w:r>
        <w:t>)</w:t>
      </w:r>
      <w:r w:rsidRPr="00182790">
        <w:t xml:space="preserve"> </w:t>
      </w:r>
      <w:r w:rsidR="00B52B5C">
        <w:t>(</w:t>
      </w:r>
      <w:hyperlink r:id="rId15" w:history="1">
        <w:r w:rsidR="00B52B5C" w:rsidRPr="002C0AED">
          <w:rPr>
            <w:rStyle w:val="Hyperlink"/>
          </w:rPr>
          <w:t>astho.org/topic/population-health-prevention/social-behavioral-health/injury-suicide-violence-prevention/suicide-indicator-tool/</w:t>
        </w:r>
      </w:hyperlink>
      <w:r w:rsidR="00B52B5C">
        <w:t>)</w:t>
      </w:r>
    </w:p>
    <w:p w14:paraId="4FE81693" w14:textId="2AAA7578" w:rsidR="004D396E" w:rsidRDefault="004D396E" w:rsidP="00014674">
      <w:pPr>
        <w:pStyle w:val="ListParagraph"/>
        <w:numPr>
          <w:ilvl w:val="0"/>
          <w:numId w:val="32"/>
        </w:numPr>
      </w:pPr>
      <w:r w:rsidRPr="00182790">
        <w:t xml:space="preserve">Australia’s </w:t>
      </w:r>
      <w:r w:rsidRPr="00D86989">
        <w:rPr>
          <w:i/>
          <w:iCs/>
        </w:rPr>
        <w:t xml:space="preserve">Suicide and Self-Harm Monitoring </w:t>
      </w:r>
      <w:r>
        <w:t xml:space="preserve">website </w:t>
      </w:r>
      <w:r w:rsidRPr="00182790">
        <w:t>(Australian Institute of Health and Welfare)</w:t>
      </w:r>
      <w:r w:rsidR="00D16F2A">
        <w:t xml:space="preserve"> (</w:t>
      </w:r>
      <w:hyperlink r:id="rId16" w:history="1">
        <w:r w:rsidR="00D16F2A" w:rsidRPr="002C0AED">
          <w:rPr>
            <w:rStyle w:val="Hyperlink"/>
          </w:rPr>
          <w:t>aihw.gov.au/suicide-self-harm-monitoring</w:t>
        </w:r>
      </w:hyperlink>
      <w:r w:rsidR="00D16F2A">
        <w:t>)</w:t>
      </w:r>
    </w:p>
    <w:p w14:paraId="15B6F1D4" w14:textId="035EF5D3" w:rsidR="004D396E" w:rsidRDefault="004D396E" w:rsidP="00014674">
      <w:pPr>
        <w:pStyle w:val="ListParagraph"/>
        <w:numPr>
          <w:ilvl w:val="0"/>
          <w:numId w:val="32"/>
        </w:numPr>
      </w:pPr>
      <w:r w:rsidRPr="00182790">
        <w:t xml:space="preserve">Ireland’s </w:t>
      </w:r>
      <w:r w:rsidRPr="00D86989">
        <w:rPr>
          <w:i/>
          <w:iCs/>
        </w:rPr>
        <w:t>Self-Harm Registry</w:t>
      </w:r>
      <w:r w:rsidRPr="00182790">
        <w:t xml:space="preserve"> (</w:t>
      </w:r>
      <w:r>
        <w:t>National Suicide Research Foundation</w:t>
      </w:r>
      <w:r w:rsidRPr="00182790">
        <w:t>)</w:t>
      </w:r>
      <w:r w:rsidR="00AC1AC0">
        <w:t xml:space="preserve"> (</w:t>
      </w:r>
      <w:r w:rsidR="00AC1AC0" w:rsidRPr="00AC1AC0">
        <w:t>nsrf.ie/registry/</w:t>
      </w:r>
      <w:r w:rsidR="00AC1AC0">
        <w:t>)</w:t>
      </w:r>
      <w:r>
        <w:t>, and</w:t>
      </w:r>
    </w:p>
    <w:p w14:paraId="53D97B1A" w14:textId="533D230A" w:rsidR="004D396E" w:rsidRPr="00F44ADC" w:rsidRDefault="004D396E" w:rsidP="00014674">
      <w:pPr>
        <w:pStyle w:val="ListParagraph"/>
        <w:numPr>
          <w:ilvl w:val="0"/>
          <w:numId w:val="32"/>
        </w:numPr>
      </w:pPr>
      <w:r w:rsidRPr="00182790">
        <w:t xml:space="preserve">England’s </w:t>
      </w:r>
      <w:r w:rsidRPr="00D86989">
        <w:rPr>
          <w:i/>
          <w:iCs/>
        </w:rPr>
        <w:t>Suicide Prevention Profile</w:t>
      </w:r>
      <w:r w:rsidRPr="00182790">
        <w:t xml:space="preserve"> (Office for Health Improvement and Disparities)</w:t>
      </w:r>
      <w:r w:rsidR="008F10BD">
        <w:t xml:space="preserve"> (</w:t>
      </w:r>
      <w:hyperlink r:id="rId17" w:history="1">
        <w:r w:rsidR="008F10BD" w:rsidRPr="002C0AED">
          <w:rPr>
            <w:rStyle w:val="Hyperlink"/>
          </w:rPr>
          <w:t>fingertips.phe.org.uk/profile-group/mental-health/profile/suicide</w:t>
        </w:r>
      </w:hyperlink>
      <w:r w:rsidR="008F10BD">
        <w:t>)</w:t>
      </w:r>
      <w:r>
        <w:t>.</w:t>
      </w:r>
    </w:p>
    <w:p w14:paraId="120D4883" w14:textId="6C6E8BDD" w:rsidR="00AE1CC3" w:rsidRPr="00BB1EEB" w:rsidRDefault="00997F88" w:rsidP="009C164E">
      <w:pPr>
        <w:spacing w:after="40"/>
        <w:rPr>
          <w:color w:val="FF0000"/>
        </w:rPr>
      </w:pPr>
      <w:r>
        <w:t>Indicator</w:t>
      </w:r>
      <w:r w:rsidR="00AE1CC3" w:rsidRPr="00F44ADC">
        <w:t xml:space="preserve">s were grouped into </w:t>
      </w:r>
      <w:r w:rsidR="00372DA0">
        <w:t>several</w:t>
      </w:r>
      <w:r w:rsidR="00AE1CC3" w:rsidRPr="00F44ADC">
        <w:t xml:space="preserve"> broad categories</w:t>
      </w:r>
      <w:r w:rsidR="00BB1EEB">
        <w:t xml:space="preserve">: </w:t>
      </w:r>
    </w:p>
    <w:p w14:paraId="22A38B4E" w14:textId="6D317065" w:rsidR="00AE1CC3" w:rsidRPr="005D2E4B" w:rsidRDefault="0088038F" w:rsidP="007D56C8">
      <w:pPr>
        <w:pStyle w:val="Bullet"/>
        <w:ind w:left="709" w:hanging="283"/>
      </w:pPr>
      <w:r w:rsidRPr="005D2E4B">
        <w:t xml:space="preserve">high-level outcomes </w:t>
      </w:r>
    </w:p>
    <w:p w14:paraId="67F24074" w14:textId="216D81CA" w:rsidR="00086A32" w:rsidRPr="005D2E4B" w:rsidRDefault="0088038F" w:rsidP="007D56C8">
      <w:pPr>
        <w:pStyle w:val="Bullet"/>
        <w:ind w:left="709" w:hanging="283"/>
      </w:pPr>
      <w:r w:rsidRPr="005D2E4B">
        <w:t xml:space="preserve">social determinants </w:t>
      </w:r>
    </w:p>
    <w:p w14:paraId="00B8DF49" w14:textId="5FA60265" w:rsidR="00C0375E" w:rsidRDefault="0088038F" w:rsidP="007D56C8">
      <w:pPr>
        <w:pStyle w:val="Bullet"/>
        <w:ind w:left="709" w:hanging="283"/>
      </w:pPr>
      <w:r w:rsidRPr="005D2E4B">
        <w:t>family and individual-level factors</w:t>
      </w:r>
      <w:r w:rsidR="003503B2">
        <w:t>.</w:t>
      </w:r>
    </w:p>
    <w:p w14:paraId="43F04DA8" w14:textId="679B5723" w:rsidR="00F44ADC" w:rsidRPr="00F44ADC" w:rsidRDefault="00F270F1" w:rsidP="002C27AE">
      <w:pPr>
        <w:pStyle w:val="Heading3"/>
      </w:pPr>
      <w:r>
        <w:t xml:space="preserve">Criteria for </w:t>
      </w:r>
      <w:r w:rsidR="00941D2D">
        <w:t xml:space="preserve">including </w:t>
      </w:r>
      <w:r w:rsidR="00997F88">
        <w:t>indicator</w:t>
      </w:r>
      <w:r w:rsidR="00941D2D">
        <w:t>s</w:t>
      </w:r>
      <w:r>
        <w:t xml:space="preserve"> in the review</w:t>
      </w:r>
    </w:p>
    <w:p w14:paraId="74DFF215" w14:textId="147F3D58" w:rsidR="00F44ADC" w:rsidRPr="00F44ADC" w:rsidRDefault="00997F88" w:rsidP="009C164E">
      <w:pPr>
        <w:spacing w:after="40"/>
      </w:pPr>
      <w:r>
        <w:t>Indicator</w:t>
      </w:r>
      <w:r w:rsidR="00F44ADC" w:rsidRPr="00F44ADC">
        <w:t xml:space="preserve">s were included </w:t>
      </w:r>
      <w:r w:rsidR="00713085">
        <w:t xml:space="preserve">in the review </w:t>
      </w:r>
      <w:r w:rsidR="00F44ADC" w:rsidRPr="00F44ADC">
        <w:t>if they:</w:t>
      </w:r>
    </w:p>
    <w:p w14:paraId="4E56F77B" w14:textId="247AC18C" w:rsidR="00F44ADC" w:rsidRPr="00A57A47" w:rsidRDefault="008546B1" w:rsidP="00203F57">
      <w:pPr>
        <w:pStyle w:val="Bullet"/>
        <w:ind w:left="709"/>
      </w:pPr>
      <w:r w:rsidRPr="00A57A47">
        <w:t>w</w:t>
      </w:r>
      <w:r w:rsidR="00F44ADC" w:rsidRPr="00A57A47">
        <w:t>ere in active use or formally proposed within national suicide or mental health monitoring frameworks of high-income countries</w:t>
      </w:r>
    </w:p>
    <w:p w14:paraId="5ECA0AD7" w14:textId="77777777" w:rsidR="00203F57" w:rsidRDefault="008546B1" w:rsidP="00203F57">
      <w:pPr>
        <w:pStyle w:val="Bullet"/>
        <w:ind w:left="709"/>
      </w:pPr>
      <w:r w:rsidRPr="00A57A47">
        <w:t>w</w:t>
      </w:r>
      <w:r w:rsidR="00F44ADC" w:rsidRPr="00A57A47">
        <w:t xml:space="preserve">ere described in government </w:t>
      </w:r>
      <w:r w:rsidR="009C0D73" w:rsidRPr="00A57A47">
        <w:t xml:space="preserve">and international agency </w:t>
      </w:r>
      <w:r w:rsidR="00F44ADC" w:rsidRPr="00A57A47">
        <w:t xml:space="preserve">documents and data, or peer-reviewed literature published between </w:t>
      </w:r>
      <w:r w:rsidR="00A05D58" w:rsidRPr="00A57A47">
        <w:t>2005</w:t>
      </w:r>
      <w:r w:rsidR="00F44ADC" w:rsidRPr="00A57A47">
        <w:t xml:space="preserve"> and 2025</w:t>
      </w:r>
      <w:r w:rsidR="00F44ADC" w:rsidRPr="00F44ADC">
        <w:t>.</w:t>
      </w:r>
    </w:p>
    <w:p w14:paraId="374AFA63" w14:textId="77777777" w:rsidR="00203F57" w:rsidRDefault="00203F57" w:rsidP="00203F57">
      <w:pPr>
        <w:pStyle w:val="Bullet"/>
        <w:numPr>
          <w:ilvl w:val="0"/>
          <w:numId w:val="0"/>
        </w:numPr>
      </w:pPr>
    </w:p>
    <w:p w14:paraId="6F5B5E23" w14:textId="080EB539" w:rsidR="005C2524" w:rsidRPr="00A73CD6" w:rsidRDefault="00CC0BA0" w:rsidP="00963A27">
      <w:pPr>
        <w:pStyle w:val="Bullet"/>
        <w:numPr>
          <w:ilvl w:val="0"/>
          <w:numId w:val="0"/>
        </w:numPr>
        <w:ind w:right="-330"/>
      </w:pPr>
      <w:r>
        <w:t xml:space="preserve">Due to the scope of this </w:t>
      </w:r>
      <w:r w:rsidR="005B0A22">
        <w:t>paper, i</w:t>
      </w:r>
      <w:r w:rsidR="00997F88">
        <w:t>ndicator</w:t>
      </w:r>
      <w:r w:rsidR="009C0D73">
        <w:t>s were e</w:t>
      </w:r>
      <w:r w:rsidR="00F44ADC" w:rsidRPr="00F44ADC">
        <w:t xml:space="preserve">xcluded </w:t>
      </w:r>
      <w:r w:rsidR="009C0D73">
        <w:t>if they were focused on</w:t>
      </w:r>
      <w:r w:rsidR="004C04CD">
        <w:t xml:space="preserve"> interventions</w:t>
      </w:r>
      <w:r w:rsidR="00222E3E">
        <w:t>,</w:t>
      </w:r>
      <w:r w:rsidR="005B0A22">
        <w:rPr>
          <w:rStyle w:val="FootnoteReference"/>
        </w:rPr>
        <w:footnoteReference w:id="5"/>
      </w:r>
      <w:r w:rsidR="00222E3E">
        <w:t xml:space="preserve"> </w:t>
      </w:r>
      <w:r w:rsidR="008676CB">
        <w:t xml:space="preserve">including </w:t>
      </w:r>
      <w:r w:rsidR="008676CB" w:rsidRPr="00F44ADC">
        <w:t>program</w:t>
      </w:r>
      <w:r w:rsidR="008676CB">
        <w:t>me</w:t>
      </w:r>
      <w:r w:rsidR="008676CB" w:rsidRPr="00F44ADC">
        <w:t xml:space="preserve"> outputs</w:t>
      </w:r>
      <w:r w:rsidR="008676CB">
        <w:t xml:space="preserve"> or </w:t>
      </w:r>
      <w:r w:rsidR="008676CB" w:rsidRPr="00F44ADC">
        <w:t>implementation</w:t>
      </w:r>
      <w:r w:rsidR="008676CB">
        <w:t xml:space="preserve">; </w:t>
      </w:r>
      <w:r w:rsidR="008676CB" w:rsidRPr="00F44ADC">
        <w:t xml:space="preserve">or clinical </w:t>
      </w:r>
      <w:r w:rsidR="008676CB">
        <w:t>outcomes</w:t>
      </w:r>
      <w:r w:rsidR="00222E3E">
        <w:t>.</w:t>
      </w:r>
      <w:r w:rsidR="003545D5" w:rsidRPr="003545D5">
        <w:rPr>
          <w:rStyle w:val="FootnoteReference"/>
        </w:rPr>
        <w:t xml:space="preserve"> </w:t>
      </w:r>
      <w:r w:rsidR="008F5E60">
        <w:t>In</w:t>
      </w:r>
      <w:r w:rsidR="00784E49">
        <w:t xml:space="preserve"> </w:t>
      </w:r>
      <w:r w:rsidR="00430286">
        <w:t>considering</w:t>
      </w:r>
      <w:r w:rsidR="00784E49" w:rsidRPr="002344C4">
        <w:t xml:space="preserve"> </w:t>
      </w:r>
      <w:r w:rsidR="00784E49">
        <w:t>a</w:t>
      </w:r>
      <w:r w:rsidR="00784E49" w:rsidRPr="002344C4">
        <w:t xml:space="preserve"> set of </w:t>
      </w:r>
      <w:r w:rsidR="0049469E">
        <w:t>monitoring</w:t>
      </w:r>
      <w:r w:rsidR="00784E49" w:rsidRPr="002344C4">
        <w:t xml:space="preserve"> </w:t>
      </w:r>
      <w:r w:rsidR="00997F88">
        <w:t>indicator</w:t>
      </w:r>
      <w:r w:rsidR="004D126D">
        <w:t>s</w:t>
      </w:r>
      <w:r w:rsidR="008F5E60">
        <w:t xml:space="preserve">, we </w:t>
      </w:r>
      <w:r w:rsidR="00A43AF8">
        <w:t>used</w:t>
      </w:r>
      <w:r w:rsidR="00784E49" w:rsidRPr="002344C4">
        <w:t xml:space="preserve"> </w:t>
      </w:r>
      <w:r w:rsidR="00E01F4D">
        <w:t xml:space="preserve">the criteria shown in </w:t>
      </w:r>
      <w:r w:rsidR="003A015A">
        <w:fldChar w:fldCharType="begin"/>
      </w:r>
      <w:r w:rsidR="003A015A">
        <w:instrText xml:space="preserve"> REF _Ref202089747 \h </w:instrText>
      </w:r>
      <w:r w:rsidR="003A015A">
        <w:fldChar w:fldCharType="separate"/>
      </w:r>
      <w:r w:rsidR="00914243">
        <w:t xml:space="preserve">Table </w:t>
      </w:r>
      <w:r w:rsidR="00914243">
        <w:rPr>
          <w:noProof/>
        </w:rPr>
        <w:t>1</w:t>
      </w:r>
      <w:r w:rsidR="003A015A">
        <w:fldChar w:fldCharType="end"/>
      </w:r>
      <w:r w:rsidR="00B15A6F">
        <w:t xml:space="preserve"> as a guide</w:t>
      </w:r>
      <w:r w:rsidR="001376D9">
        <w:t>.</w:t>
      </w:r>
    </w:p>
    <w:p w14:paraId="33006DF6" w14:textId="13F616BD" w:rsidR="00784E49" w:rsidRPr="00B53C93" w:rsidRDefault="007742C8" w:rsidP="007742C8">
      <w:pPr>
        <w:pStyle w:val="Caption"/>
      </w:pPr>
      <w:bookmarkStart w:id="5" w:name="_Ref202089747"/>
      <w:r>
        <w:lastRenderedPageBreak/>
        <w:t xml:space="preserve">Table </w:t>
      </w:r>
      <w:r>
        <w:fldChar w:fldCharType="begin"/>
      </w:r>
      <w:r>
        <w:instrText xml:space="preserve"> SEQ Table \* ARABIC </w:instrText>
      </w:r>
      <w:r>
        <w:fldChar w:fldCharType="separate"/>
      </w:r>
      <w:r w:rsidR="00914243">
        <w:rPr>
          <w:noProof/>
        </w:rPr>
        <w:t>1</w:t>
      </w:r>
      <w:r>
        <w:rPr>
          <w:noProof/>
        </w:rPr>
        <w:fldChar w:fldCharType="end"/>
      </w:r>
      <w:bookmarkEnd w:id="5"/>
      <w:r>
        <w:t xml:space="preserve">: </w:t>
      </w:r>
      <w:r w:rsidR="00997F88">
        <w:t>Indicator</w:t>
      </w:r>
      <w:r w:rsidR="00784E49" w:rsidRPr="00B53C93">
        <w:t xml:space="preserve"> </w:t>
      </w:r>
      <w:r w:rsidR="005C2524">
        <w:t>c</w:t>
      </w:r>
      <w:r w:rsidR="00784E49" w:rsidRPr="00B53C93">
        <w:t>riteria</w:t>
      </w:r>
    </w:p>
    <w:tbl>
      <w:tblPr>
        <w:tblStyle w:val="PlainTable2"/>
        <w:tblW w:w="0" w:type="auto"/>
        <w:tblLook w:val="04A0" w:firstRow="1" w:lastRow="0" w:firstColumn="1" w:lastColumn="0" w:noHBand="0" w:noVBand="1"/>
      </w:tblPr>
      <w:tblGrid>
        <w:gridCol w:w="2193"/>
        <w:gridCol w:w="3175"/>
        <w:gridCol w:w="3175"/>
      </w:tblGrid>
      <w:tr w:rsidR="00397B95" w:rsidRPr="00B53C93" w14:paraId="1BFE240F" w14:textId="02AC228C" w:rsidTr="0075002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2873E00" w14:textId="77777777" w:rsidR="00397B95" w:rsidRPr="00B53C93" w:rsidRDefault="00397B95" w:rsidP="00750022">
            <w:pPr>
              <w:pStyle w:val="Tabletext"/>
              <w:rPr>
                <w:b w:val="0"/>
                <w:bCs w:val="0"/>
              </w:rPr>
            </w:pPr>
            <w:r w:rsidRPr="00B53C93">
              <w:t>Criterion</w:t>
            </w:r>
          </w:p>
        </w:tc>
        <w:tc>
          <w:tcPr>
            <w:tcW w:w="3175" w:type="dxa"/>
            <w:vAlign w:val="center"/>
            <w:hideMark/>
          </w:tcPr>
          <w:p w14:paraId="0962525B" w14:textId="585E16BD" w:rsidR="00397B95" w:rsidRPr="00B53C93" w:rsidRDefault="00397B95" w:rsidP="00750022">
            <w:pPr>
              <w:pStyle w:val="Tabletext"/>
              <w:cnfStyle w:val="100000000000" w:firstRow="1" w:lastRow="0" w:firstColumn="0" w:lastColumn="0" w:oddVBand="0" w:evenVBand="0" w:oddHBand="0" w:evenHBand="0" w:firstRowFirstColumn="0" w:firstRowLastColumn="0" w:lastRowFirstColumn="0" w:lastRowLastColumn="0"/>
              <w:rPr>
                <w:b w:val="0"/>
                <w:bCs w:val="0"/>
              </w:rPr>
            </w:pPr>
            <w:r w:rsidRPr="00B53C93">
              <w:t>Description</w:t>
            </w:r>
          </w:p>
        </w:tc>
        <w:tc>
          <w:tcPr>
            <w:tcW w:w="3175" w:type="dxa"/>
            <w:vAlign w:val="center"/>
          </w:tcPr>
          <w:p w14:paraId="20B60424" w14:textId="24949C54" w:rsidR="00397B95" w:rsidRPr="00750022" w:rsidRDefault="00D04AD5" w:rsidP="00750022">
            <w:pPr>
              <w:pStyle w:val="Tabletext"/>
              <w:cnfStyle w:val="100000000000" w:firstRow="1" w:lastRow="0" w:firstColumn="0" w:lastColumn="0" w:oddVBand="0" w:evenVBand="0" w:oddHBand="0" w:evenHBand="0" w:firstRowFirstColumn="0" w:firstRowLastColumn="0" w:lastRowFirstColumn="0" w:lastRowLastColumn="0"/>
            </w:pPr>
            <w:r w:rsidRPr="00750022">
              <w:t>Assessment guide</w:t>
            </w:r>
          </w:p>
        </w:tc>
      </w:tr>
      <w:tr w:rsidR="00397B95" w:rsidRPr="00B53C93" w14:paraId="51DF8498" w14:textId="61E18239" w:rsidTr="00750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52D07BE" w14:textId="77777777" w:rsidR="00397B95" w:rsidRPr="004F51A2" w:rsidRDefault="00397B95" w:rsidP="00750022">
            <w:pPr>
              <w:pStyle w:val="Tabletext"/>
            </w:pPr>
            <w:r w:rsidRPr="004F51A2">
              <w:t>Data quality</w:t>
            </w:r>
          </w:p>
        </w:tc>
        <w:tc>
          <w:tcPr>
            <w:tcW w:w="3175" w:type="dxa"/>
            <w:vAlign w:val="center"/>
            <w:hideMark/>
          </w:tcPr>
          <w:p w14:paraId="1B8ED71F" w14:textId="54F225CB" w:rsidR="00397B95" w:rsidRPr="00B53C93" w:rsidRDefault="007A523B" w:rsidP="00750022">
            <w:pPr>
              <w:pStyle w:val="Tabletext"/>
              <w:cnfStyle w:val="000000100000" w:firstRow="0" w:lastRow="0" w:firstColumn="0" w:lastColumn="0" w:oddVBand="0" w:evenVBand="0" w:oddHBand="1" w:evenHBand="0" w:firstRowFirstColumn="0" w:firstRowLastColumn="0" w:lastRowFirstColumn="0" w:lastRowLastColumn="0"/>
            </w:pPr>
            <w:r>
              <w:t>I</w:t>
            </w:r>
            <w:r w:rsidR="00997D6A" w:rsidRPr="00267FD0">
              <w:t xml:space="preserve">ndicator supported by </w:t>
            </w:r>
            <w:r w:rsidR="00B453A2">
              <w:t xml:space="preserve">regularly available </w:t>
            </w:r>
            <w:r w:rsidR="00997D6A" w:rsidRPr="00267FD0">
              <w:t>reliable, valid, and consistently collected data</w:t>
            </w:r>
          </w:p>
        </w:tc>
        <w:tc>
          <w:tcPr>
            <w:tcW w:w="3175" w:type="dxa"/>
            <w:vAlign w:val="center"/>
          </w:tcPr>
          <w:p w14:paraId="234DADAF" w14:textId="798CCCE0" w:rsidR="0014321A" w:rsidRPr="00750022" w:rsidRDefault="00750022" w:rsidP="00750022">
            <w:pPr>
              <w:pStyle w:val="Tabletext"/>
              <w:cnfStyle w:val="000000100000" w:firstRow="0" w:lastRow="0" w:firstColumn="0" w:lastColumn="0" w:oddVBand="0" w:evenVBand="0" w:oddHBand="1" w:evenHBand="0" w:firstRowFirstColumn="0" w:firstRowLastColumn="0" w:lastRowFirstColumn="0" w:lastRowLastColumn="0"/>
            </w:pPr>
            <w:r>
              <w:t>D</w:t>
            </w:r>
            <w:r w:rsidR="0014321A" w:rsidRPr="00750022">
              <w:t>ata are currently available or could be made available with acceptable effort</w:t>
            </w:r>
            <w:r w:rsidR="004A0E08">
              <w:t>. D</w:t>
            </w:r>
            <w:r w:rsidR="0014321A" w:rsidRPr="00750022">
              <w:t>ata are comparable over time</w:t>
            </w:r>
            <w:r w:rsidR="004A0E08">
              <w:t>.</w:t>
            </w:r>
          </w:p>
        </w:tc>
      </w:tr>
      <w:tr w:rsidR="00397B95" w:rsidRPr="00B53C93" w14:paraId="437C9FCE" w14:textId="0229FD5F" w:rsidTr="00750022">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FBA135C" w14:textId="5A349DDB" w:rsidR="00397B95" w:rsidRPr="004F51A2" w:rsidRDefault="00E641FC" w:rsidP="00750022">
            <w:pPr>
              <w:pStyle w:val="Tabletext"/>
            </w:pPr>
            <w:r>
              <w:t>R</w:t>
            </w:r>
            <w:r w:rsidR="00397B95" w:rsidRPr="004F51A2">
              <w:t>elevance</w:t>
            </w:r>
          </w:p>
        </w:tc>
        <w:tc>
          <w:tcPr>
            <w:tcW w:w="3175" w:type="dxa"/>
            <w:vAlign w:val="center"/>
            <w:hideMark/>
          </w:tcPr>
          <w:p w14:paraId="2085AE4E" w14:textId="1D124C21" w:rsidR="00397B95" w:rsidRPr="00B53C93" w:rsidRDefault="00397B95" w:rsidP="00750022">
            <w:pPr>
              <w:pStyle w:val="Tabletext"/>
              <w:cnfStyle w:val="000000000000" w:firstRow="0" w:lastRow="0" w:firstColumn="0" w:lastColumn="0" w:oddVBand="0" w:evenVBand="0" w:oddHBand="0" w:evenHBand="0" w:firstRowFirstColumn="0" w:firstRowLastColumn="0" w:lastRowFirstColumn="0" w:lastRowLastColumn="0"/>
            </w:pPr>
            <w:r w:rsidRPr="00B53C93">
              <w:t xml:space="preserve">Aligns with </w:t>
            </w:r>
            <w:r>
              <w:t xml:space="preserve">evidence supporting </w:t>
            </w:r>
            <w:r w:rsidRPr="00B53C93">
              <w:t xml:space="preserve">national suicide prevention </w:t>
            </w:r>
            <w:r w:rsidR="00966872">
              <w:t>monitoring</w:t>
            </w:r>
            <w:r>
              <w:t xml:space="preserve"> frameworks</w:t>
            </w:r>
            <w:r w:rsidRPr="00B53C93">
              <w:t xml:space="preserve"> </w:t>
            </w:r>
          </w:p>
        </w:tc>
        <w:tc>
          <w:tcPr>
            <w:tcW w:w="3175" w:type="dxa"/>
            <w:vAlign w:val="center"/>
          </w:tcPr>
          <w:p w14:paraId="1FE9E368" w14:textId="434145A4" w:rsidR="00397B95" w:rsidRPr="00750022" w:rsidRDefault="00750022" w:rsidP="00750022">
            <w:pPr>
              <w:pStyle w:val="Tabletext"/>
              <w:cnfStyle w:val="000000000000" w:firstRow="0" w:lastRow="0" w:firstColumn="0" w:lastColumn="0" w:oddVBand="0" w:evenVBand="0" w:oddHBand="0" w:evenHBand="0" w:firstRowFirstColumn="0" w:firstRowLastColumn="0" w:lastRowFirstColumn="0" w:lastRowLastColumn="0"/>
            </w:pPr>
            <w:r>
              <w:t>I</w:t>
            </w:r>
            <w:r w:rsidR="000F0E56" w:rsidRPr="00750022">
              <w:t>ndicators reflect issues of concern and can help track progress or identify gaps relevant to suicide and self-harm prevention</w:t>
            </w:r>
            <w:r w:rsidR="001C40BE">
              <w:t>.</w:t>
            </w:r>
          </w:p>
        </w:tc>
      </w:tr>
      <w:tr w:rsidR="00397B95" w:rsidRPr="00B53C93" w14:paraId="1F8319EB" w14:textId="29AD251A" w:rsidTr="00750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F33DF09" w14:textId="77777777" w:rsidR="00397B95" w:rsidRPr="004F51A2" w:rsidRDefault="00397B95" w:rsidP="00750022">
            <w:pPr>
              <w:pStyle w:val="Tabletext"/>
            </w:pPr>
            <w:r w:rsidRPr="004F51A2">
              <w:t>Population sensitivity</w:t>
            </w:r>
          </w:p>
        </w:tc>
        <w:tc>
          <w:tcPr>
            <w:tcW w:w="3175" w:type="dxa"/>
            <w:vAlign w:val="center"/>
            <w:hideMark/>
          </w:tcPr>
          <w:p w14:paraId="54000315" w14:textId="76BC8B3B" w:rsidR="00397B95" w:rsidRPr="00B53C93" w:rsidRDefault="0081387E" w:rsidP="00750022">
            <w:pPr>
              <w:pStyle w:val="Tabletext"/>
              <w:cnfStyle w:val="000000100000" w:firstRow="0" w:lastRow="0" w:firstColumn="0" w:lastColumn="0" w:oddVBand="0" w:evenVBand="0" w:oddHBand="1" w:evenHBand="0" w:firstRowFirstColumn="0" w:firstRowLastColumn="0" w:lastRowFirstColumn="0" w:lastRowLastColumn="0"/>
            </w:pPr>
            <w:r>
              <w:t>Enables</w:t>
            </w:r>
            <w:r w:rsidR="00397B95" w:rsidRPr="00B53C93">
              <w:t xml:space="preserve"> equity-focused reporting</w:t>
            </w:r>
          </w:p>
        </w:tc>
        <w:tc>
          <w:tcPr>
            <w:tcW w:w="3175" w:type="dxa"/>
            <w:vAlign w:val="center"/>
          </w:tcPr>
          <w:p w14:paraId="72750CD7" w14:textId="1B22D3E6" w:rsidR="00397B95" w:rsidRPr="00750022" w:rsidRDefault="007C3F44" w:rsidP="001C40BE">
            <w:pPr>
              <w:pStyle w:val="Tabletext"/>
              <w:cnfStyle w:val="000000100000" w:firstRow="0" w:lastRow="0" w:firstColumn="0" w:lastColumn="0" w:oddVBand="0" w:evenVBand="0" w:oddHBand="1" w:evenHBand="0" w:firstRowFirstColumn="0" w:firstRowLastColumn="0" w:lastRowFirstColumn="0" w:lastRowLastColumn="0"/>
            </w:pPr>
            <w:r w:rsidRPr="00750022">
              <w:t xml:space="preserve">Data can be </w:t>
            </w:r>
            <w:r w:rsidR="0077253D" w:rsidRPr="00750022">
              <w:t>meaningful</w:t>
            </w:r>
            <w:r w:rsidR="00966872">
              <w:t>ly</w:t>
            </w:r>
            <w:r w:rsidR="0077253D" w:rsidRPr="00750022">
              <w:t xml:space="preserve"> disaggregat</w:t>
            </w:r>
            <w:r w:rsidRPr="00750022">
              <w:t>ed</w:t>
            </w:r>
            <w:r w:rsidR="0077253D" w:rsidRPr="00750022">
              <w:t xml:space="preserve"> </w:t>
            </w:r>
            <w:r w:rsidR="00A977CE">
              <w:t>for key population groups,</w:t>
            </w:r>
            <w:r w:rsidR="00BE56A1">
              <w:rPr>
                <w:rStyle w:val="FootnoteReference"/>
              </w:rPr>
              <w:footnoteReference w:id="6"/>
            </w:r>
            <w:r w:rsidR="00A977CE">
              <w:t xml:space="preserve"> </w:t>
            </w:r>
            <w:r w:rsidR="0077253D" w:rsidRPr="00750022">
              <w:t xml:space="preserve">especially for Māori </w:t>
            </w:r>
            <w:r w:rsidR="006D5F9B">
              <w:t xml:space="preserve">and </w:t>
            </w:r>
            <w:r w:rsidR="0077253D" w:rsidRPr="00750022">
              <w:t>youth</w:t>
            </w:r>
            <w:r w:rsidR="001C40BE">
              <w:t>.</w:t>
            </w:r>
          </w:p>
        </w:tc>
      </w:tr>
      <w:tr w:rsidR="008F42D7" w:rsidRPr="00B53C93" w14:paraId="7D98421D" w14:textId="77777777" w:rsidTr="00750022">
        <w:tc>
          <w:tcPr>
            <w:cnfStyle w:val="001000000000" w:firstRow="0" w:lastRow="0" w:firstColumn="1" w:lastColumn="0" w:oddVBand="0" w:evenVBand="0" w:oddHBand="0" w:evenHBand="0" w:firstRowFirstColumn="0" w:firstRowLastColumn="0" w:lastRowFirstColumn="0" w:lastRowLastColumn="0"/>
            <w:tcW w:w="0" w:type="auto"/>
            <w:vAlign w:val="center"/>
          </w:tcPr>
          <w:p w14:paraId="7C9ADD50" w14:textId="1CCCFA2D" w:rsidR="008F42D7" w:rsidRPr="004F51A2" w:rsidRDefault="008F42D7" w:rsidP="00750022">
            <w:pPr>
              <w:pStyle w:val="Tabletext"/>
            </w:pPr>
            <w:r>
              <w:t>Sensitivity to change</w:t>
            </w:r>
          </w:p>
        </w:tc>
        <w:tc>
          <w:tcPr>
            <w:tcW w:w="3175" w:type="dxa"/>
            <w:vAlign w:val="center"/>
          </w:tcPr>
          <w:p w14:paraId="5C294630" w14:textId="02934B9E" w:rsidR="008F42D7" w:rsidRDefault="00707026" w:rsidP="00750022">
            <w:pPr>
              <w:pStyle w:val="Tabletext"/>
              <w:cnfStyle w:val="000000000000" w:firstRow="0" w:lastRow="0" w:firstColumn="0" w:lastColumn="0" w:oddVBand="0" w:evenVBand="0" w:oddHBand="0" w:evenHBand="0" w:firstRowFirstColumn="0" w:firstRowLastColumn="0" w:lastRowFirstColumn="0" w:lastRowLastColumn="0"/>
            </w:pPr>
            <w:r>
              <w:t>R</w:t>
            </w:r>
            <w:r w:rsidR="00CA507A">
              <w:t>eflects change over time</w:t>
            </w:r>
          </w:p>
        </w:tc>
        <w:tc>
          <w:tcPr>
            <w:tcW w:w="3175" w:type="dxa"/>
            <w:vAlign w:val="center"/>
          </w:tcPr>
          <w:p w14:paraId="367690A8" w14:textId="0500E4FB" w:rsidR="008F42D7" w:rsidRPr="00750022" w:rsidRDefault="00146216" w:rsidP="001C40BE">
            <w:pPr>
              <w:pStyle w:val="Tabletext"/>
              <w:cnfStyle w:val="000000000000" w:firstRow="0" w:lastRow="0" w:firstColumn="0" w:lastColumn="0" w:oddVBand="0" w:evenVBand="0" w:oddHBand="0" w:evenHBand="0" w:firstRowFirstColumn="0" w:firstRowLastColumn="0" w:lastRowFirstColumn="0" w:lastRowLastColumn="0"/>
            </w:pPr>
            <w:r>
              <w:t xml:space="preserve">Data reflects </w:t>
            </w:r>
            <w:r w:rsidR="004948E5">
              <w:t xml:space="preserve">change over </w:t>
            </w:r>
            <w:r w:rsidR="00483F82">
              <w:t xml:space="preserve">a reasonable </w:t>
            </w:r>
            <w:proofErr w:type="gramStart"/>
            <w:r w:rsidR="00483F82">
              <w:t>time period</w:t>
            </w:r>
            <w:proofErr w:type="gramEnd"/>
            <w:r w:rsidR="0016616E">
              <w:t xml:space="preserve">, </w:t>
            </w:r>
            <w:r w:rsidR="00F42B52">
              <w:t>particularly in response to interventions or changing conditions</w:t>
            </w:r>
            <w:r w:rsidR="00ED0CCF">
              <w:t>.</w:t>
            </w:r>
          </w:p>
        </w:tc>
      </w:tr>
    </w:tbl>
    <w:p w14:paraId="4B8D62F2" w14:textId="1D5A2491" w:rsidR="0070187A" w:rsidRPr="00376A76" w:rsidRDefault="0070187A" w:rsidP="0070187A">
      <w:pPr>
        <w:pStyle w:val="Tablenote"/>
        <w:rPr>
          <w:color w:val="FF0000"/>
          <w:highlight w:val="lightGray"/>
        </w:rPr>
      </w:pPr>
      <w:r>
        <w:t>Source: Amended from the US Association of State and Territo</w:t>
      </w:r>
      <w:r w:rsidR="002B5039">
        <w:t>rial Health Officials</w:t>
      </w:r>
      <w:r w:rsidR="009E2D60">
        <w:t xml:space="preserve"> Suicide Indicator Explorer Guide (ASTHO, 2024).</w:t>
      </w:r>
    </w:p>
    <w:p w14:paraId="51BA5FD3" w14:textId="09C35C10" w:rsidR="00EE74AF" w:rsidRDefault="00822E58" w:rsidP="00630595">
      <w:pPr>
        <w:pStyle w:val="Heading2"/>
        <w:ind w:left="851" w:hanging="851"/>
      </w:pPr>
      <w:bookmarkStart w:id="6" w:name="_Toc208223383"/>
      <w:r>
        <w:t>A note on analysis and reporting of indicators</w:t>
      </w:r>
      <w:bookmarkEnd w:id="6"/>
    </w:p>
    <w:p w14:paraId="77B1D7E3" w14:textId="56C774B7" w:rsidR="00665635" w:rsidRDefault="00371E0C" w:rsidP="00665635">
      <w:r>
        <w:t xml:space="preserve">Analysing and interpreting </w:t>
      </w:r>
      <w:r w:rsidR="00665635" w:rsidRPr="00665635">
        <w:t>the types of data</w:t>
      </w:r>
      <w:r w:rsidR="007E737A">
        <w:t xml:space="preserve"> </w:t>
      </w:r>
      <w:r w:rsidR="00206869">
        <w:t xml:space="preserve">discussed in this review </w:t>
      </w:r>
      <w:r w:rsidR="00246779">
        <w:t>will require</w:t>
      </w:r>
      <w:r w:rsidR="007E737A">
        <w:t xml:space="preserve"> </w:t>
      </w:r>
      <w:r w:rsidR="00485BA6">
        <w:t>epidemiological</w:t>
      </w:r>
      <w:r w:rsidR="00AF3B96">
        <w:t xml:space="preserve">, </w:t>
      </w:r>
      <w:r w:rsidR="00485BA6">
        <w:t xml:space="preserve">cultural </w:t>
      </w:r>
      <w:r w:rsidR="00AF3B96">
        <w:t xml:space="preserve">and lived experience </w:t>
      </w:r>
      <w:r w:rsidR="00485BA6">
        <w:t>expertise</w:t>
      </w:r>
      <w:r w:rsidR="00665635" w:rsidRPr="00665635">
        <w:t xml:space="preserve">. </w:t>
      </w:r>
    </w:p>
    <w:p w14:paraId="237E6AC6" w14:textId="2A36AA6D" w:rsidR="00206869" w:rsidRDefault="004B401A" w:rsidP="00206869">
      <w:proofErr w:type="gramStart"/>
      <w:r>
        <w:t>In particular, a</w:t>
      </w:r>
      <w:r w:rsidR="00206869" w:rsidRPr="00206869">
        <w:t>ny</w:t>
      </w:r>
      <w:proofErr w:type="gramEnd"/>
      <w:r w:rsidR="00206869" w:rsidRPr="00206869">
        <w:t xml:space="preserve"> indicator of suicide and self-harm </w:t>
      </w:r>
      <w:r w:rsidR="00DC4B7F">
        <w:t>outcomes or risk factors</w:t>
      </w:r>
      <w:r w:rsidR="00206869" w:rsidRPr="00206869">
        <w:t xml:space="preserve"> among Māori must take account of multiple factors</w:t>
      </w:r>
      <w:r w:rsidR="00DC4B7F">
        <w:t xml:space="preserve">. </w:t>
      </w:r>
      <w:r w:rsidR="00206869" w:rsidRPr="00206869">
        <w:t>Primarily, they must be based on the recognition that data related to Māori health and wellbeing tend to undercoun</w:t>
      </w:r>
      <w:r w:rsidR="006C77F4">
        <w:t>t</w:t>
      </w:r>
      <w:r w:rsidR="00206869" w:rsidRPr="00206869">
        <w:t xml:space="preserve"> and miscount Māori (Theodore et al</w:t>
      </w:r>
      <w:r w:rsidR="006C77F4">
        <w:t>.,</w:t>
      </w:r>
      <w:r w:rsidR="00206869" w:rsidRPr="00206869">
        <w:t xml:space="preserve"> 2023). </w:t>
      </w:r>
      <w:r w:rsidR="0030733C">
        <w:t>As</w:t>
      </w:r>
      <w:r w:rsidR="00206869" w:rsidRPr="00206869">
        <w:t xml:space="preserve"> Māori experience disparities related to suicide and self-harm, it is vital that indicators to measure suicide prevention do not further exclude and marginalise Māori</w:t>
      </w:r>
      <w:r w:rsidR="00E326C1">
        <w:t>.</w:t>
      </w:r>
    </w:p>
    <w:p w14:paraId="502C5CC9" w14:textId="170A62AF" w:rsidR="00286729" w:rsidRPr="00665635" w:rsidRDefault="0059369E" w:rsidP="00206869">
      <w:r w:rsidRPr="008266D7">
        <w:t xml:space="preserve">People with diverse sexual orientations and gender identity expressions also </w:t>
      </w:r>
      <w:r w:rsidR="008266D7" w:rsidRPr="008266D7">
        <w:t>experience</w:t>
      </w:r>
      <w:r w:rsidRPr="008266D7">
        <w:t xml:space="preserve"> </w:t>
      </w:r>
      <w:r w:rsidR="005B5B1B" w:rsidRPr="008266D7">
        <w:t xml:space="preserve">higher rates of </w:t>
      </w:r>
      <w:r w:rsidR="008266D7" w:rsidRPr="008266D7">
        <w:t>suicide and self-harm but capturing accurate and reliable data is highly challenging (</w:t>
      </w:r>
      <w:proofErr w:type="spellStart"/>
      <w:r w:rsidR="005C32BC" w:rsidRPr="005C32BC">
        <w:t>Alaçam</w:t>
      </w:r>
      <w:proofErr w:type="spellEnd"/>
      <w:r w:rsidR="008266D7" w:rsidRPr="008266D7">
        <w:t xml:space="preserve"> &amp; Yilmaz</w:t>
      </w:r>
      <w:r w:rsidR="00E41FE7">
        <w:t>,</w:t>
      </w:r>
      <w:r w:rsidR="008266D7" w:rsidRPr="008266D7">
        <w:t xml:space="preserve"> 2025). </w:t>
      </w:r>
      <w:r w:rsidR="00702196">
        <w:t xml:space="preserve">It cannot be assumed that </w:t>
      </w:r>
      <w:r w:rsidR="00286C2E" w:rsidRPr="00E85DB9">
        <w:t>the number of people who are part of this community is constant.</w:t>
      </w:r>
      <w:r w:rsidR="00286C2E" w:rsidRPr="008266D7">
        <w:t xml:space="preserve"> </w:t>
      </w:r>
      <w:r w:rsidR="00286C2E">
        <w:t>Further, p</w:t>
      </w:r>
      <w:r w:rsidR="008266D7" w:rsidRPr="008266D7">
        <w:t xml:space="preserve">eople may </w:t>
      </w:r>
      <w:r w:rsidR="00547A7A">
        <w:t>not</w:t>
      </w:r>
      <w:r w:rsidR="008266D7" w:rsidRPr="008266D7">
        <w:t xml:space="preserve"> disclose their sexual orientation</w:t>
      </w:r>
      <w:r w:rsidR="00547A7A">
        <w:t>s and gender identity</w:t>
      </w:r>
      <w:r w:rsidR="008266D7" w:rsidRPr="008266D7">
        <w:t xml:space="preserve"> to others</w:t>
      </w:r>
      <w:r w:rsidR="00073640">
        <w:t>.</w:t>
      </w:r>
    </w:p>
    <w:p w14:paraId="1410588B" w14:textId="37975BFF" w:rsidR="007804AB" w:rsidRPr="00630595" w:rsidRDefault="00553C7C" w:rsidP="007804AB">
      <w:pPr>
        <w:pStyle w:val="Heading1"/>
        <w:rPr>
          <w:b/>
          <w:bCs/>
        </w:rPr>
      </w:pPr>
      <w:bookmarkStart w:id="7" w:name="_Toc208223384"/>
      <w:r w:rsidRPr="00630595">
        <w:rPr>
          <w:b/>
          <w:bCs/>
        </w:rPr>
        <w:lastRenderedPageBreak/>
        <w:t>Potential</w:t>
      </w:r>
      <w:r w:rsidR="007804AB" w:rsidRPr="00630595">
        <w:rPr>
          <w:b/>
          <w:bCs/>
        </w:rPr>
        <w:t xml:space="preserve"> </w:t>
      </w:r>
      <w:r w:rsidR="00997F88" w:rsidRPr="00630595">
        <w:rPr>
          <w:b/>
          <w:bCs/>
        </w:rPr>
        <w:t>indicator</w:t>
      </w:r>
      <w:r w:rsidR="007804AB" w:rsidRPr="00630595">
        <w:rPr>
          <w:b/>
          <w:bCs/>
        </w:rPr>
        <w:t xml:space="preserve">s </w:t>
      </w:r>
      <w:r w:rsidRPr="00630595">
        <w:rPr>
          <w:b/>
          <w:bCs/>
        </w:rPr>
        <w:t>for national monitoring of</w:t>
      </w:r>
      <w:r w:rsidR="007804AB" w:rsidRPr="00630595">
        <w:rPr>
          <w:b/>
          <w:bCs/>
        </w:rPr>
        <w:t xml:space="preserve"> suicide and self-harm</w:t>
      </w:r>
      <w:bookmarkEnd w:id="7"/>
    </w:p>
    <w:p w14:paraId="17D55C2C" w14:textId="6551829C" w:rsidR="006A4DC2" w:rsidRPr="006A4DC2" w:rsidRDefault="006A4DC2" w:rsidP="006A4DC2">
      <w:r>
        <w:t xml:space="preserve">This section </w:t>
      </w:r>
      <w:r w:rsidR="003274B5">
        <w:t xml:space="preserve">of the paper </w:t>
      </w:r>
      <w:r>
        <w:t xml:space="preserve">discusses potential indicators </w:t>
      </w:r>
      <w:r w:rsidR="00CD62D7">
        <w:t xml:space="preserve">largely </w:t>
      </w:r>
      <w:r>
        <w:t xml:space="preserve">drawn from </w:t>
      </w:r>
      <w:r w:rsidR="00335141">
        <w:t xml:space="preserve">monitoring </w:t>
      </w:r>
      <w:r w:rsidR="00C90F23">
        <w:t xml:space="preserve">frameworks </w:t>
      </w:r>
      <w:r w:rsidR="00335141">
        <w:t xml:space="preserve">or registers </w:t>
      </w:r>
      <w:r w:rsidR="00C90F23">
        <w:t xml:space="preserve">used in </w:t>
      </w:r>
      <w:r w:rsidR="00335141">
        <w:t xml:space="preserve">Australia, </w:t>
      </w:r>
      <w:r w:rsidR="00C90F23">
        <w:t xml:space="preserve">Canada, England, </w:t>
      </w:r>
      <w:r w:rsidR="00335141">
        <w:t xml:space="preserve">Finland, Ireland, and </w:t>
      </w:r>
      <w:r w:rsidR="00C90F23">
        <w:t>the U</w:t>
      </w:r>
      <w:r w:rsidR="00D769D3">
        <w:t xml:space="preserve">nited </w:t>
      </w:r>
      <w:r w:rsidR="00C90F23">
        <w:t>S</w:t>
      </w:r>
      <w:r w:rsidR="00D769D3">
        <w:t>tates</w:t>
      </w:r>
      <w:r w:rsidR="00C90F23">
        <w:t xml:space="preserve">. The </w:t>
      </w:r>
      <w:r w:rsidR="007C3243">
        <w:t xml:space="preserve">indicators are </w:t>
      </w:r>
      <w:r w:rsidR="00DF0BA4">
        <w:t>categorised</w:t>
      </w:r>
      <w:r w:rsidR="007C3243">
        <w:t xml:space="preserve"> into </w:t>
      </w:r>
      <w:r w:rsidR="00F92804">
        <w:t>suicide and self-harm</w:t>
      </w:r>
      <w:r w:rsidR="00AE2E36">
        <w:t xml:space="preserve"> </w:t>
      </w:r>
      <w:r w:rsidR="00DF0BA4">
        <w:t>outcomes</w:t>
      </w:r>
      <w:r w:rsidR="00AE2E36">
        <w:t xml:space="preserve">, social determinants, </w:t>
      </w:r>
      <w:r w:rsidR="00B26E7A">
        <w:t>family,</w:t>
      </w:r>
      <w:r w:rsidR="00AE2E36">
        <w:t xml:space="preserve"> and individual</w:t>
      </w:r>
      <w:r w:rsidR="00636D85">
        <w:t>-level</w:t>
      </w:r>
      <w:r w:rsidR="00AE2E36">
        <w:t xml:space="preserve"> factors.</w:t>
      </w:r>
      <w:r w:rsidR="00F24B76">
        <w:t xml:space="preserve"> The</w:t>
      </w:r>
      <w:r w:rsidR="00587E55">
        <w:t xml:space="preserve"> </w:t>
      </w:r>
      <w:r w:rsidR="00703D69">
        <w:t xml:space="preserve">indicators </w:t>
      </w:r>
      <w:r w:rsidR="00F24B76">
        <w:t xml:space="preserve">are discussed with reference to the </w:t>
      </w:r>
      <w:r w:rsidR="00703D69">
        <w:t>international</w:t>
      </w:r>
      <w:r w:rsidR="00F24B76">
        <w:t xml:space="preserve"> evidence for the association </w:t>
      </w:r>
      <w:r w:rsidR="00703D69">
        <w:t xml:space="preserve">of the topic </w:t>
      </w:r>
      <w:r w:rsidR="00F24B76">
        <w:t xml:space="preserve">with suicide and self-harm, and the data quality </w:t>
      </w:r>
      <w:r w:rsidR="00526FD0">
        <w:t xml:space="preserve">to support using the indicator </w:t>
      </w:r>
      <w:r w:rsidR="00F24B76">
        <w:t xml:space="preserve">in </w:t>
      </w:r>
      <w:r w:rsidR="00F92804">
        <w:t>New Zealand</w:t>
      </w:r>
      <w:r w:rsidR="00F24B76">
        <w:t xml:space="preserve">. </w:t>
      </w:r>
    </w:p>
    <w:p w14:paraId="3307C5C4" w14:textId="77777777" w:rsidR="00C273E6" w:rsidRDefault="00FE34E3" w:rsidP="00E01442">
      <w:pPr>
        <w:pStyle w:val="Heading2"/>
        <w:ind w:left="851" w:hanging="851"/>
      </w:pPr>
      <w:bookmarkStart w:id="8" w:name="_Toc208223385"/>
      <w:r w:rsidRPr="00F54EB9">
        <w:t>Suicide</w:t>
      </w:r>
      <w:r>
        <w:t xml:space="preserve"> </w:t>
      </w:r>
      <w:r w:rsidR="00C273E6">
        <w:t>and self-harm outcome indicators</w:t>
      </w:r>
      <w:bookmarkEnd w:id="8"/>
      <w:r w:rsidR="00C273E6">
        <w:t xml:space="preserve"> </w:t>
      </w:r>
    </w:p>
    <w:p w14:paraId="14570C11" w14:textId="6EEB3BD0" w:rsidR="00F11B59" w:rsidRDefault="00C273E6" w:rsidP="00E01442">
      <w:pPr>
        <w:pStyle w:val="Heading3"/>
        <w:ind w:left="851" w:hanging="851"/>
      </w:pPr>
      <w:r>
        <w:t xml:space="preserve">Suicide </w:t>
      </w:r>
      <w:r w:rsidR="00A43000">
        <w:t>and suspected self-inflicted</w:t>
      </w:r>
      <w:r w:rsidR="00F11B59">
        <w:t xml:space="preserve"> </w:t>
      </w:r>
      <w:r w:rsidR="00A43000">
        <w:t xml:space="preserve">death </w:t>
      </w:r>
      <w:r w:rsidR="00F11B59">
        <w:t>rate</w:t>
      </w:r>
      <w:r w:rsidR="00A43000">
        <w:t>s</w:t>
      </w:r>
    </w:p>
    <w:p w14:paraId="34ECF691" w14:textId="232050FE" w:rsidR="004617E3" w:rsidRDefault="006C5992" w:rsidP="000F5B72">
      <w:r>
        <w:rPr>
          <w:lang w:eastAsia="en-NZ"/>
        </w:rPr>
        <w:t>The suicide mort</w:t>
      </w:r>
      <w:r w:rsidR="00CF0C51">
        <w:rPr>
          <w:lang w:eastAsia="en-NZ"/>
        </w:rPr>
        <w:t>al</w:t>
      </w:r>
      <w:r w:rsidR="007169D9">
        <w:rPr>
          <w:lang w:eastAsia="en-NZ"/>
        </w:rPr>
        <w:t xml:space="preserve">ity rate is an internationally used </w:t>
      </w:r>
      <w:r w:rsidR="00461394">
        <w:rPr>
          <w:lang w:eastAsia="en-NZ"/>
        </w:rPr>
        <w:t>outcome</w:t>
      </w:r>
      <w:r w:rsidR="004617E3" w:rsidRPr="004617E3">
        <w:rPr>
          <w:lang w:eastAsia="en-NZ"/>
        </w:rPr>
        <w:t xml:space="preserve"> </w:t>
      </w:r>
      <w:r w:rsidR="00997F88">
        <w:rPr>
          <w:lang w:eastAsia="en-NZ"/>
        </w:rPr>
        <w:t>indicator</w:t>
      </w:r>
      <w:r w:rsidR="004617E3" w:rsidRPr="004617E3">
        <w:rPr>
          <w:lang w:eastAsia="en-NZ"/>
        </w:rPr>
        <w:t xml:space="preserve"> </w:t>
      </w:r>
      <w:r w:rsidR="00461394">
        <w:rPr>
          <w:lang w:eastAsia="en-NZ"/>
        </w:rPr>
        <w:t>for</w:t>
      </w:r>
      <w:r w:rsidR="00587E55">
        <w:rPr>
          <w:lang w:eastAsia="en-NZ"/>
        </w:rPr>
        <w:t xml:space="preserve"> </w:t>
      </w:r>
      <w:r w:rsidR="004617E3" w:rsidRPr="004617E3">
        <w:rPr>
          <w:lang w:eastAsia="en-NZ"/>
        </w:rPr>
        <w:t>suicide prevention strategies</w:t>
      </w:r>
      <w:r w:rsidR="007169D9">
        <w:rPr>
          <w:lang w:eastAsia="en-NZ"/>
        </w:rPr>
        <w:t xml:space="preserve">. </w:t>
      </w:r>
      <w:r w:rsidR="00C452C8">
        <w:rPr>
          <w:lang w:eastAsia="en-NZ"/>
        </w:rPr>
        <w:t xml:space="preserve">The </w:t>
      </w:r>
      <w:r w:rsidR="00FF5663">
        <w:rPr>
          <w:lang w:eastAsia="en-NZ"/>
        </w:rPr>
        <w:t xml:space="preserve">age standardised </w:t>
      </w:r>
      <w:r w:rsidR="00CE1475">
        <w:rPr>
          <w:lang w:eastAsia="en-NZ"/>
        </w:rPr>
        <w:t>rate</w:t>
      </w:r>
      <w:r w:rsidR="002B5365">
        <w:rPr>
          <w:lang w:eastAsia="en-NZ"/>
        </w:rPr>
        <w:t xml:space="preserve"> of suicide deaths per 100,000 population and </w:t>
      </w:r>
      <w:r w:rsidR="00A43000">
        <w:rPr>
          <w:lang w:eastAsia="en-NZ"/>
        </w:rPr>
        <w:t xml:space="preserve">the age standardised </w:t>
      </w:r>
      <w:r w:rsidR="00CE1475">
        <w:rPr>
          <w:lang w:eastAsia="en-NZ"/>
        </w:rPr>
        <w:t>rate</w:t>
      </w:r>
      <w:r w:rsidR="00A43000">
        <w:rPr>
          <w:lang w:eastAsia="en-NZ"/>
        </w:rPr>
        <w:t xml:space="preserve"> of suspected self-</w:t>
      </w:r>
      <w:r w:rsidR="00CE1475">
        <w:rPr>
          <w:lang w:eastAsia="en-NZ"/>
        </w:rPr>
        <w:t>inflicted</w:t>
      </w:r>
      <w:r w:rsidR="00A43000">
        <w:rPr>
          <w:lang w:eastAsia="en-NZ"/>
        </w:rPr>
        <w:t xml:space="preserve"> </w:t>
      </w:r>
      <w:r w:rsidR="00CE1475">
        <w:rPr>
          <w:lang w:eastAsia="en-NZ"/>
        </w:rPr>
        <w:t>d</w:t>
      </w:r>
      <w:r w:rsidR="00A43000">
        <w:rPr>
          <w:lang w:eastAsia="en-NZ"/>
        </w:rPr>
        <w:t xml:space="preserve">eaths </w:t>
      </w:r>
      <w:r w:rsidR="00CE1475">
        <w:rPr>
          <w:lang w:eastAsia="en-NZ"/>
        </w:rPr>
        <w:t>per</w:t>
      </w:r>
      <w:r w:rsidR="00A43000">
        <w:rPr>
          <w:lang w:eastAsia="en-NZ"/>
        </w:rPr>
        <w:t xml:space="preserve"> 100,000 </w:t>
      </w:r>
      <w:r w:rsidR="00CE1475">
        <w:rPr>
          <w:lang w:eastAsia="en-NZ"/>
        </w:rPr>
        <w:t>population</w:t>
      </w:r>
      <w:r w:rsidR="006375D7">
        <w:rPr>
          <w:lang w:eastAsia="en-NZ"/>
        </w:rPr>
        <w:t xml:space="preserve"> </w:t>
      </w:r>
      <w:r w:rsidR="000B4B80">
        <w:rPr>
          <w:lang w:eastAsia="en-NZ"/>
        </w:rPr>
        <w:t xml:space="preserve">will </w:t>
      </w:r>
      <w:r w:rsidR="000B4B80">
        <w:t>be included in our set of indicators.</w:t>
      </w:r>
      <w:r w:rsidR="0073444F">
        <w:rPr>
          <w:rStyle w:val="FootnoteReference"/>
        </w:rPr>
        <w:footnoteReference w:id="7"/>
      </w:r>
      <w:r w:rsidR="000B4B80">
        <w:rPr>
          <w:lang w:eastAsia="en-NZ"/>
        </w:rPr>
        <w:t xml:space="preserve"> They </w:t>
      </w:r>
      <w:r w:rsidR="001557AF">
        <w:rPr>
          <w:lang w:eastAsia="en-NZ"/>
        </w:rPr>
        <w:t>suspected rate</w:t>
      </w:r>
      <w:r w:rsidR="00872111">
        <w:rPr>
          <w:lang w:eastAsia="en-NZ"/>
        </w:rPr>
        <w:t xml:space="preserve"> </w:t>
      </w:r>
      <w:r w:rsidR="001557AF">
        <w:rPr>
          <w:lang w:eastAsia="en-NZ"/>
        </w:rPr>
        <w:t xml:space="preserve">is </w:t>
      </w:r>
      <w:r w:rsidR="00872111">
        <w:rPr>
          <w:lang w:eastAsia="en-NZ"/>
        </w:rPr>
        <w:t>reported through</w:t>
      </w:r>
      <w:r w:rsidR="001A0706">
        <w:rPr>
          <w:lang w:eastAsia="en-NZ"/>
        </w:rPr>
        <w:t xml:space="preserve"> our </w:t>
      </w:r>
      <w:r w:rsidR="001557AF">
        <w:rPr>
          <w:lang w:eastAsia="en-NZ"/>
        </w:rPr>
        <w:t xml:space="preserve">System </w:t>
      </w:r>
      <w:r w:rsidR="008141C7">
        <w:rPr>
          <w:lang w:eastAsia="en-NZ"/>
        </w:rPr>
        <w:t>Performance Framework</w:t>
      </w:r>
      <w:r w:rsidR="00F543A6">
        <w:rPr>
          <w:lang w:eastAsia="en-NZ"/>
        </w:rPr>
        <w:t xml:space="preserve"> and</w:t>
      </w:r>
      <w:r w:rsidR="000B4B80">
        <w:rPr>
          <w:lang w:eastAsia="en-NZ"/>
        </w:rPr>
        <w:t xml:space="preserve"> </w:t>
      </w:r>
      <w:r w:rsidR="008141C7">
        <w:rPr>
          <w:lang w:eastAsia="en-NZ"/>
        </w:rPr>
        <w:t xml:space="preserve">both </w:t>
      </w:r>
      <w:r w:rsidR="000B4B80">
        <w:rPr>
          <w:lang w:eastAsia="en-NZ"/>
        </w:rPr>
        <w:t>are included as</w:t>
      </w:r>
      <w:r w:rsidR="00AA4471">
        <w:t xml:space="preserve"> longer-term</w:t>
      </w:r>
      <w:r w:rsidR="00D73A0C">
        <w:t xml:space="preserve"> outcome measures </w:t>
      </w:r>
      <w:r w:rsidR="00F543A6">
        <w:t>in</w:t>
      </w:r>
      <w:r w:rsidR="00D73A0C">
        <w:t xml:space="preserve"> the </w:t>
      </w:r>
      <w:r w:rsidR="00AA4471">
        <w:t xml:space="preserve">Suicide Prevention Action Plan </w:t>
      </w:r>
      <w:r w:rsidR="00D73A0C">
        <w:t>2025-29</w:t>
      </w:r>
      <w:r w:rsidR="001E68D2">
        <w:t xml:space="preserve"> (Ministry of Health, 2025)</w:t>
      </w:r>
      <w:r w:rsidR="000B4B80">
        <w:t>.</w:t>
      </w:r>
      <w:r w:rsidR="00D73A0C">
        <w:t xml:space="preserve"> </w:t>
      </w:r>
    </w:p>
    <w:p w14:paraId="039C8B4A" w14:textId="250FE0A6" w:rsidR="00AC2B2A" w:rsidRDefault="00DF7B05" w:rsidP="00E01442">
      <w:pPr>
        <w:pStyle w:val="Heading3"/>
        <w:ind w:left="851" w:hanging="851"/>
      </w:pPr>
      <w:r w:rsidRPr="002C27AE">
        <w:t>Hospital</w:t>
      </w:r>
      <w:r>
        <w:t xml:space="preserve"> admissions and s</w:t>
      </w:r>
      <w:r w:rsidR="00980446">
        <w:t>hort stay e</w:t>
      </w:r>
      <w:r w:rsidR="00703388">
        <w:t>mergency department</w:t>
      </w:r>
      <w:r w:rsidR="00C225A5">
        <w:t xml:space="preserve"> </w:t>
      </w:r>
      <w:r w:rsidR="00980446">
        <w:t xml:space="preserve">events </w:t>
      </w:r>
    </w:p>
    <w:p w14:paraId="23C2E8C7" w14:textId="1071FEED" w:rsidR="009659A4" w:rsidRPr="00A205DC" w:rsidRDefault="009E2817" w:rsidP="009659A4">
      <w:pPr>
        <w:rPr>
          <w:color w:val="FF0000"/>
          <w:lang w:eastAsia="en-NZ"/>
        </w:rPr>
      </w:pPr>
      <w:r>
        <w:rPr>
          <w:lang w:eastAsia="en-NZ"/>
        </w:rPr>
        <w:t>Non-fatal s</w:t>
      </w:r>
      <w:r w:rsidR="001B0056">
        <w:rPr>
          <w:lang w:eastAsia="en-NZ"/>
        </w:rPr>
        <w:t>elf-harm</w:t>
      </w:r>
      <w:r w:rsidR="001B0056" w:rsidRPr="004617E3">
        <w:rPr>
          <w:lang w:eastAsia="en-NZ"/>
        </w:rPr>
        <w:t xml:space="preserve"> is </w:t>
      </w:r>
      <w:r w:rsidR="00AB49AB">
        <w:rPr>
          <w:lang w:eastAsia="en-NZ"/>
        </w:rPr>
        <w:t xml:space="preserve">considerably </w:t>
      </w:r>
      <w:r w:rsidR="001B0056" w:rsidRPr="004617E3">
        <w:rPr>
          <w:lang w:eastAsia="en-NZ"/>
        </w:rPr>
        <w:t>more prevalent than suicide</w:t>
      </w:r>
      <w:r w:rsidR="001B0056">
        <w:rPr>
          <w:lang w:eastAsia="en-NZ"/>
        </w:rPr>
        <w:t>.</w:t>
      </w:r>
      <w:r w:rsidR="001B0056" w:rsidRPr="004617E3">
        <w:rPr>
          <w:lang w:eastAsia="en-NZ"/>
        </w:rPr>
        <w:t xml:space="preserve"> </w:t>
      </w:r>
      <w:r w:rsidR="001E3BCE">
        <w:rPr>
          <w:lang w:eastAsia="en-NZ"/>
        </w:rPr>
        <w:t>It</w:t>
      </w:r>
      <w:r w:rsidR="001B0056" w:rsidRPr="004617E3">
        <w:rPr>
          <w:lang w:eastAsia="en-NZ"/>
        </w:rPr>
        <w:t xml:space="preserve"> is </w:t>
      </w:r>
      <w:r w:rsidR="00DF7B05">
        <w:rPr>
          <w:lang w:eastAsia="en-NZ"/>
        </w:rPr>
        <w:t xml:space="preserve">also </w:t>
      </w:r>
      <w:r w:rsidR="001B0056" w:rsidRPr="004617E3">
        <w:rPr>
          <w:lang w:eastAsia="en-NZ"/>
        </w:rPr>
        <w:t>a predictor of future suicide partic</w:t>
      </w:r>
      <w:r w:rsidR="001B0056">
        <w:rPr>
          <w:lang w:eastAsia="en-NZ"/>
        </w:rPr>
        <w:t>ularly</w:t>
      </w:r>
      <w:r w:rsidR="001B0056" w:rsidRPr="004617E3">
        <w:rPr>
          <w:lang w:eastAsia="en-NZ"/>
        </w:rPr>
        <w:t xml:space="preserve"> in </w:t>
      </w:r>
      <w:r w:rsidR="001B0056">
        <w:rPr>
          <w:lang w:eastAsia="en-NZ"/>
        </w:rPr>
        <w:t xml:space="preserve">the </w:t>
      </w:r>
      <w:r w:rsidR="001B0056" w:rsidRPr="004617E3">
        <w:rPr>
          <w:lang w:eastAsia="en-NZ"/>
        </w:rPr>
        <w:t xml:space="preserve">12 months after </w:t>
      </w:r>
      <w:r w:rsidR="001B0056">
        <w:rPr>
          <w:lang w:eastAsia="en-NZ"/>
        </w:rPr>
        <w:t xml:space="preserve">the </w:t>
      </w:r>
      <w:r w:rsidR="001B0056" w:rsidRPr="004617E3">
        <w:rPr>
          <w:lang w:eastAsia="en-NZ"/>
        </w:rPr>
        <w:t>event (Carroll et al</w:t>
      </w:r>
      <w:r w:rsidR="001B0056">
        <w:rPr>
          <w:lang w:eastAsia="en-NZ"/>
        </w:rPr>
        <w:t xml:space="preserve">., </w:t>
      </w:r>
      <w:r w:rsidR="001B0056" w:rsidRPr="004617E3">
        <w:rPr>
          <w:lang w:eastAsia="en-NZ"/>
        </w:rPr>
        <w:t>2014</w:t>
      </w:r>
      <w:r w:rsidR="002110E1">
        <w:rPr>
          <w:lang w:eastAsia="en-NZ"/>
        </w:rPr>
        <w:t>; Hawton et al.</w:t>
      </w:r>
      <w:r w:rsidR="00A450C4">
        <w:rPr>
          <w:lang w:eastAsia="en-NZ"/>
        </w:rPr>
        <w:t>,</w:t>
      </w:r>
      <w:r w:rsidR="002110E1">
        <w:rPr>
          <w:lang w:eastAsia="en-NZ"/>
        </w:rPr>
        <w:t xml:space="preserve"> 2015</w:t>
      </w:r>
      <w:r w:rsidR="00EE1842">
        <w:rPr>
          <w:lang w:eastAsia="en-NZ"/>
        </w:rPr>
        <w:t>; Witt et al., 2019</w:t>
      </w:r>
      <w:r w:rsidR="001B0056" w:rsidRPr="004617E3">
        <w:rPr>
          <w:lang w:eastAsia="en-NZ"/>
        </w:rPr>
        <w:t>).</w:t>
      </w:r>
      <w:r w:rsidR="00C32FEA">
        <w:rPr>
          <w:lang w:eastAsia="en-NZ"/>
        </w:rPr>
        <w:t xml:space="preserve"> </w:t>
      </w:r>
    </w:p>
    <w:p w14:paraId="7DFE4A49" w14:textId="0CC28F08" w:rsidR="00C161D9" w:rsidRDefault="00F30E48" w:rsidP="00F30E48">
      <w:r w:rsidRPr="004617E3">
        <w:rPr>
          <w:lang w:eastAsia="en-NZ"/>
        </w:rPr>
        <w:t>E</w:t>
      </w:r>
      <w:r w:rsidR="004811CC">
        <w:rPr>
          <w:lang w:eastAsia="en-NZ"/>
        </w:rPr>
        <w:t>mergency department (ED)</w:t>
      </w:r>
      <w:r w:rsidRPr="004617E3">
        <w:rPr>
          <w:lang w:eastAsia="en-NZ"/>
        </w:rPr>
        <w:t xml:space="preserve"> data are more inclusive than hospitalisation data, as patients who present to ED but are </w:t>
      </w:r>
      <w:r w:rsidRPr="00F30E48">
        <w:t>not admitted to hospital will be include</w:t>
      </w:r>
      <w:r w:rsidR="00AF50CB">
        <w:t>d</w:t>
      </w:r>
      <w:r w:rsidRPr="00F30E48">
        <w:t>.</w:t>
      </w:r>
      <w:r w:rsidR="00D51978">
        <w:t xml:space="preserve"> </w:t>
      </w:r>
      <w:r w:rsidR="006C5277">
        <w:t xml:space="preserve">There are data limitations with </w:t>
      </w:r>
      <w:r w:rsidR="00673CA5">
        <w:t xml:space="preserve">our </w:t>
      </w:r>
      <w:r w:rsidR="00951813">
        <w:t>two</w:t>
      </w:r>
      <w:r w:rsidR="007E6A45">
        <w:t xml:space="preserve"> </w:t>
      </w:r>
      <w:r w:rsidR="00673CA5">
        <w:t>proposed</w:t>
      </w:r>
      <w:r w:rsidR="006C5277">
        <w:t xml:space="preserve"> indicator</w:t>
      </w:r>
      <w:r w:rsidR="00673CA5">
        <w:t>s</w:t>
      </w:r>
      <w:r w:rsidR="00E34685">
        <w:t xml:space="preserve"> (see </w:t>
      </w:r>
      <w:r w:rsidR="00E34685">
        <w:fldChar w:fldCharType="begin"/>
      </w:r>
      <w:r w:rsidR="00E34685">
        <w:instrText xml:space="preserve"> REF _Ref202191919 \h </w:instrText>
      </w:r>
      <w:r w:rsidR="00E34685">
        <w:fldChar w:fldCharType="separate"/>
      </w:r>
      <w:r w:rsidR="00914243">
        <w:t xml:space="preserve">Table </w:t>
      </w:r>
      <w:r w:rsidR="00914243">
        <w:rPr>
          <w:noProof/>
        </w:rPr>
        <w:t>2</w:t>
      </w:r>
      <w:r w:rsidR="00E34685">
        <w:fldChar w:fldCharType="end"/>
      </w:r>
      <w:r w:rsidR="00E34685">
        <w:t>)</w:t>
      </w:r>
      <w:r w:rsidR="00CC1F2A" w:rsidRPr="00CC1F2A">
        <w:t xml:space="preserve">. </w:t>
      </w:r>
      <w:r w:rsidR="005852CC">
        <w:t>In N</w:t>
      </w:r>
      <w:r w:rsidR="004224FB">
        <w:t xml:space="preserve">ew </w:t>
      </w:r>
      <w:r w:rsidR="005852CC">
        <w:t>Z</w:t>
      </w:r>
      <w:r w:rsidR="00EE6592">
        <w:t>ealand</w:t>
      </w:r>
      <w:r w:rsidR="005852CC">
        <w:t xml:space="preserve">, </w:t>
      </w:r>
      <w:r w:rsidR="00C043CE">
        <w:t>Fortune et al</w:t>
      </w:r>
      <w:r w:rsidR="00CF168E">
        <w:t>.</w:t>
      </w:r>
      <w:r w:rsidR="00C043CE">
        <w:t xml:space="preserve"> </w:t>
      </w:r>
      <w:r w:rsidR="00CF168E">
        <w:t xml:space="preserve">(2022) </w:t>
      </w:r>
      <w:r w:rsidR="00C043CE">
        <w:t xml:space="preserve">note that the </w:t>
      </w:r>
      <w:r w:rsidR="005852CC" w:rsidRPr="005852CC">
        <w:t xml:space="preserve">data on presentations to public hospitals undercount </w:t>
      </w:r>
      <w:r w:rsidR="00266C45">
        <w:t>self-harm</w:t>
      </w:r>
      <w:r w:rsidR="005852CC" w:rsidRPr="005852CC">
        <w:t xml:space="preserve"> presentations </w:t>
      </w:r>
      <w:r w:rsidR="00C043CE">
        <w:t>by</w:t>
      </w:r>
      <w:r w:rsidR="000D64CF">
        <w:t xml:space="preserve"> (an estimated)</w:t>
      </w:r>
      <w:r w:rsidR="005852CC" w:rsidRPr="005852CC">
        <w:t xml:space="preserve"> </w:t>
      </w:r>
      <w:r w:rsidR="005852CC" w:rsidRPr="003E576B">
        <w:t>50–60</w:t>
      </w:r>
      <w:r w:rsidR="00C168D8">
        <w:t xml:space="preserve"> percent</w:t>
      </w:r>
      <w:r w:rsidR="005852CC" w:rsidRPr="005852CC">
        <w:t>.</w:t>
      </w:r>
      <w:r w:rsidR="00587E55">
        <w:t xml:space="preserve"> </w:t>
      </w:r>
    </w:p>
    <w:p w14:paraId="33682A4B" w14:textId="462D1DBF" w:rsidR="00003737" w:rsidRDefault="006E6E37" w:rsidP="00003737">
      <w:r>
        <w:t>Note that</w:t>
      </w:r>
      <w:r w:rsidR="00D51978">
        <w:t xml:space="preserve"> </w:t>
      </w:r>
      <w:r>
        <w:t xml:space="preserve">the </w:t>
      </w:r>
      <w:r w:rsidR="00003737">
        <w:t>‘</w:t>
      </w:r>
      <w:r w:rsidR="00003737">
        <w:rPr>
          <w:lang w:eastAsia="en-NZ"/>
        </w:rPr>
        <w:t>n</w:t>
      </w:r>
      <w:r w:rsidR="00003737" w:rsidRPr="00732DC5">
        <w:rPr>
          <w:lang w:eastAsia="en-NZ"/>
        </w:rPr>
        <w:t>umber of self-harm hospitalisations per 100,000 population</w:t>
      </w:r>
      <w:r w:rsidR="00003737">
        <w:rPr>
          <w:lang w:eastAsia="en-NZ"/>
        </w:rPr>
        <w:t xml:space="preserve">’ is also included in the Suicide Prevention Action Plan 2025-29 </w:t>
      </w:r>
      <w:r w:rsidR="001E68D2">
        <w:rPr>
          <w:lang w:eastAsia="en-NZ"/>
        </w:rPr>
        <w:t xml:space="preserve">(Ministry of Health, 2025) </w:t>
      </w:r>
      <w:r w:rsidR="00003737">
        <w:rPr>
          <w:lang w:eastAsia="en-NZ"/>
        </w:rPr>
        <w:t>as a longer-term outcome measure.</w:t>
      </w:r>
    </w:p>
    <w:p w14:paraId="7808C404" w14:textId="6EFC9808" w:rsidR="006C3DC5" w:rsidRDefault="006C3DC5" w:rsidP="00E01442">
      <w:pPr>
        <w:pStyle w:val="Heading3"/>
        <w:ind w:left="851" w:hanging="851"/>
      </w:pPr>
      <w:r>
        <w:t>ACC claims for self-harm injuries</w:t>
      </w:r>
    </w:p>
    <w:p w14:paraId="26883CDC" w14:textId="2720AC30" w:rsidR="003F1F67" w:rsidRDefault="0073104F" w:rsidP="003F1F67">
      <w:proofErr w:type="gramStart"/>
      <w:r>
        <w:t>A majority of</w:t>
      </w:r>
      <w:proofErr w:type="gramEnd"/>
      <w:r w:rsidR="006616B2" w:rsidRPr="006616B2">
        <w:t xml:space="preserve"> episodes of </w:t>
      </w:r>
      <w:r>
        <w:t xml:space="preserve">self-harm do not come to </w:t>
      </w:r>
      <w:r w:rsidR="00786B5B">
        <w:t>medical</w:t>
      </w:r>
      <w:r w:rsidR="006616B2" w:rsidRPr="006616B2">
        <w:t xml:space="preserve"> </w:t>
      </w:r>
      <w:r w:rsidR="00786B5B">
        <w:t>(</w:t>
      </w:r>
      <w:r w:rsidR="006616B2" w:rsidRPr="006616B2">
        <w:t>or other service</w:t>
      </w:r>
      <w:r w:rsidR="00786B5B">
        <w:t>)</w:t>
      </w:r>
      <w:r w:rsidR="006616B2" w:rsidRPr="006616B2">
        <w:t xml:space="preserve"> attention</w:t>
      </w:r>
      <w:r w:rsidR="00786B5B">
        <w:t xml:space="preserve"> (</w:t>
      </w:r>
      <w:proofErr w:type="spellStart"/>
      <w:r w:rsidR="009A30FB" w:rsidRPr="009A30FB">
        <w:t>Geulayov</w:t>
      </w:r>
      <w:proofErr w:type="spellEnd"/>
      <w:r w:rsidR="009A30FB" w:rsidRPr="009A30FB">
        <w:t xml:space="preserve"> </w:t>
      </w:r>
      <w:r w:rsidR="009A30FB">
        <w:t xml:space="preserve">et al., 2018; </w:t>
      </w:r>
      <w:r w:rsidR="00816579">
        <w:t>Hawton et al., 2012</w:t>
      </w:r>
      <w:r w:rsidR="009A30FB">
        <w:t>)</w:t>
      </w:r>
      <w:r w:rsidR="00786B5B">
        <w:t>.</w:t>
      </w:r>
      <w:r w:rsidR="006616B2" w:rsidRPr="006616B2">
        <w:t xml:space="preserve"> </w:t>
      </w:r>
      <w:r w:rsidR="003F1F67">
        <w:t xml:space="preserve">Accident Compensation </w:t>
      </w:r>
      <w:r w:rsidR="003F1F67">
        <w:lastRenderedPageBreak/>
        <w:t xml:space="preserve">Corporation (ACC) claims for self-harm injuries data potentially </w:t>
      </w:r>
      <w:r w:rsidR="003F1F67" w:rsidRPr="00431700">
        <w:t xml:space="preserve">complement </w:t>
      </w:r>
      <w:r w:rsidR="003F1F67">
        <w:t>other</w:t>
      </w:r>
      <w:r w:rsidR="003F1F67" w:rsidRPr="00431700">
        <w:t xml:space="preserve"> self-harm </w:t>
      </w:r>
      <w:r w:rsidR="003F1F67">
        <w:t>data</w:t>
      </w:r>
      <w:r w:rsidR="00AA7D9F">
        <w:t xml:space="preserve"> (e.g., </w:t>
      </w:r>
      <w:r w:rsidR="00A766F1">
        <w:t>including cases of physical injury without attendance at ED or being hospitalised)</w:t>
      </w:r>
      <w:r w:rsidR="003F1F67">
        <w:t xml:space="preserve">. </w:t>
      </w:r>
      <w:r w:rsidR="000E7A71">
        <w:t>However, m</w:t>
      </w:r>
      <w:r w:rsidR="000E7A71" w:rsidRPr="00431700">
        <w:t>any self-harm events do not lead to a claim</w:t>
      </w:r>
      <w:r w:rsidR="00105095">
        <w:rPr>
          <w:rStyle w:val="FootnoteReference"/>
        </w:rPr>
        <w:footnoteReference w:id="8"/>
      </w:r>
      <w:r w:rsidR="000E7A71" w:rsidRPr="00431700">
        <w:t xml:space="preserve"> or are ineligible</w:t>
      </w:r>
      <w:r w:rsidR="0028368E">
        <w:t xml:space="preserve"> (e.g., there is no physical injury)</w:t>
      </w:r>
      <w:r w:rsidR="000E7A71">
        <w:t>.</w:t>
      </w:r>
      <w:r w:rsidR="000E7A71" w:rsidRPr="00431700">
        <w:t xml:space="preserve"> </w:t>
      </w:r>
      <w:r w:rsidR="000E7A71">
        <w:t>C</w:t>
      </w:r>
      <w:r w:rsidR="000E7A71" w:rsidRPr="00431700">
        <w:t xml:space="preserve">laiming may </w:t>
      </w:r>
      <w:r w:rsidR="000E7A71">
        <w:t xml:space="preserve">also </w:t>
      </w:r>
      <w:r w:rsidR="000E7A71" w:rsidRPr="00431700">
        <w:t xml:space="preserve">be less </w:t>
      </w:r>
      <w:r w:rsidR="000E7A71">
        <w:t xml:space="preserve">prevalent </w:t>
      </w:r>
      <w:r w:rsidR="000E7A71" w:rsidRPr="00431700">
        <w:t xml:space="preserve">among </w:t>
      </w:r>
      <w:proofErr w:type="gramStart"/>
      <w:r w:rsidR="000E7A71" w:rsidRPr="00431700">
        <w:t>particular groups</w:t>
      </w:r>
      <w:proofErr w:type="gramEnd"/>
      <w:r w:rsidR="000E7A71">
        <w:t>.</w:t>
      </w:r>
      <w:r w:rsidR="00631F83">
        <w:t xml:space="preserve"> </w:t>
      </w:r>
      <w:r w:rsidR="005213B2">
        <w:t xml:space="preserve">ACC have </w:t>
      </w:r>
      <w:r w:rsidR="00623A23">
        <w:t>identified that</w:t>
      </w:r>
      <w:r w:rsidR="005213B2" w:rsidRPr="005213B2">
        <w:t xml:space="preserve"> Māori, Pacific people, and Asian people, </w:t>
      </w:r>
      <w:r w:rsidR="00623A23">
        <w:t xml:space="preserve">have lower </w:t>
      </w:r>
      <w:r w:rsidR="005213B2" w:rsidRPr="005213B2">
        <w:t>claim rates than other population groups (even when adjusted for age)</w:t>
      </w:r>
      <w:r w:rsidR="00623A23">
        <w:t xml:space="preserve"> (ACC, 2025)</w:t>
      </w:r>
      <w:r w:rsidR="00B009FE">
        <w:t>.</w:t>
      </w:r>
      <w:r w:rsidR="00CF0DF1">
        <w:t xml:space="preserve"> </w:t>
      </w:r>
      <w:r w:rsidR="009103D0">
        <w:t>Further, information on the type of in</w:t>
      </w:r>
      <w:r w:rsidR="00E80A1E">
        <w:t>jury is not made available in their structured data set (ACC, 2024)</w:t>
      </w:r>
      <w:r w:rsidR="00A8241C">
        <w:t>. These limitations</w:t>
      </w:r>
      <w:r w:rsidR="00E80A1E">
        <w:t xml:space="preserve"> </w:t>
      </w:r>
      <w:r w:rsidR="00A8241C">
        <w:t xml:space="preserve">limit meaningful description of the data. </w:t>
      </w:r>
    </w:p>
    <w:p w14:paraId="03D02A40" w14:textId="1A70BB83" w:rsidR="00F93817" w:rsidRDefault="002C0F52" w:rsidP="00E01442">
      <w:pPr>
        <w:pStyle w:val="Heading3"/>
        <w:ind w:left="851" w:hanging="851"/>
      </w:pPr>
      <w:r>
        <w:t xml:space="preserve">Primary </w:t>
      </w:r>
      <w:r w:rsidRPr="000E5F3B">
        <w:t>care</w:t>
      </w:r>
      <w:r>
        <w:t xml:space="preserve"> </w:t>
      </w:r>
      <w:r w:rsidR="00C225A5">
        <w:t>self-harm</w:t>
      </w:r>
      <w:r w:rsidR="0059384A">
        <w:t xml:space="preserve"> encounters</w:t>
      </w:r>
    </w:p>
    <w:p w14:paraId="52BA31F4" w14:textId="2C8429B3" w:rsidR="001172EF" w:rsidRDefault="00A73FF4" w:rsidP="00AC7F2C">
      <w:pPr>
        <w:rPr>
          <w:lang w:eastAsia="en-NZ"/>
        </w:rPr>
      </w:pPr>
      <w:r>
        <w:rPr>
          <w:lang w:eastAsia="en-NZ"/>
        </w:rPr>
        <w:t>Little</w:t>
      </w:r>
      <w:r w:rsidR="003C1E4F" w:rsidRPr="003C1E4F">
        <w:rPr>
          <w:lang w:eastAsia="en-NZ"/>
        </w:rPr>
        <w:t xml:space="preserve"> is known about the frequency of self-harm in primary care patient populations</w:t>
      </w:r>
      <w:r w:rsidR="003E0C48">
        <w:rPr>
          <w:lang w:eastAsia="en-NZ"/>
        </w:rPr>
        <w:t xml:space="preserve">, nor how predictive </w:t>
      </w:r>
      <w:r w:rsidR="00D63982">
        <w:rPr>
          <w:lang w:eastAsia="en-NZ"/>
        </w:rPr>
        <w:t xml:space="preserve">of </w:t>
      </w:r>
      <w:r w:rsidR="00390B9B">
        <w:rPr>
          <w:lang w:eastAsia="en-NZ"/>
        </w:rPr>
        <w:t xml:space="preserve">future self-harm </w:t>
      </w:r>
      <w:r w:rsidR="002416AC">
        <w:rPr>
          <w:lang w:eastAsia="en-NZ"/>
        </w:rPr>
        <w:t xml:space="preserve">any primary care </w:t>
      </w:r>
      <w:r w:rsidR="00367C57">
        <w:rPr>
          <w:lang w:eastAsia="en-NZ"/>
        </w:rPr>
        <w:t>consultations are</w:t>
      </w:r>
      <w:r w:rsidR="00D63982">
        <w:rPr>
          <w:lang w:eastAsia="en-NZ"/>
        </w:rPr>
        <w:t xml:space="preserve">. </w:t>
      </w:r>
      <w:r w:rsidR="004801C0">
        <w:rPr>
          <w:lang w:eastAsia="en-NZ"/>
        </w:rPr>
        <w:t>H</w:t>
      </w:r>
      <w:r w:rsidR="00992FB6">
        <w:rPr>
          <w:lang w:eastAsia="en-NZ"/>
        </w:rPr>
        <w:t>owe</w:t>
      </w:r>
      <w:r w:rsidR="004801C0">
        <w:rPr>
          <w:lang w:eastAsia="en-NZ"/>
        </w:rPr>
        <w:t xml:space="preserve">ver </w:t>
      </w:r>
      <w:r w:rsidR="004617E3" w:rsidRPr="004617E3">
        <w:rPr>
          <w:lang w:eastAsia="en-NZ"/>
        </w:rPr>
        <w:t xml:space="preserve">primary care </w:t>
      </w:r>
      <w:r w:rsidR="004801C0">
        <w:rPr>
          <w:lang w:eastAsia="en-NZ"/>
        </w:rPr>
        <w:t>is a</w:t>
      </w:r>
      <w:r w:rsidR="004617E3" w:rsidRPr="004617E3">
        <w:rPr>
          <w:lang w:eastAsia="en-NZ"/>
        </w:rPr>
        <w:t xml:space="preserve"> point of contact with the health system</w:t>
      </w:r>
      <w:r w:rsidR="003B0104">
        <w:rPr>
          <w:lang w:eastAsia="en-NZ"/>
        </w:rPr>
        <w:t xml:space="preserve"> and some i</w:t>
      </w:r>
      <w:r w:rsidR="003B0104" w:rsidRPr="004617E3">
        <w:rPr>
          <w:lang w:eastAsia="en-NZ"/>
        </w:rPr>
        <w:t xml:space="preserve">ndividuals who self-harm </w:t>
      </w:r>
      <w:proofErr w:type="gramStart"/>
      <w:r w:rsidR="003B0104" w:rsidRPr="004617E3">
        <w:rPr>
          <w:lang w:eastAsia="en-NZ"/>
        </w:rPr>
        <w:t>engage</w:t>
      </w:r>
      <w:proofErr w:type="gramEnd"/>
      <w:r w:rsidR="003B0104" w:rsidRPr="004617E3">
        <w:rPr>
          <w:lang w:eastAsia="en-NZ"/>
        </w:rPr>
        <w:t xml:space="preserve"> with general practitioners</w:t>
      </w:r>
      <w:r w:rsidR="00134887">
        <w:rPr>
          <w:lang w:eastAsia="en-NZ"/>
        </w:rPr>
        <w:t xml:space="preserve"> </w:t>
      </w:r>
      <w:r w:rsidR="003B0104" w:rsidRPr="004617E3">
        <w:rPr>
          <w:lang w:eastAsia="en-NZ"/>
        </w:rPr>
        <w:t>before or after episodes</w:t>
      </w:r>
      <w:r w:rsidR="0049693B" w:rsidRPr="0049693B">
        <w:rPr>
          <w:lang w:eastAsia="en-NZ"/>
        </w:rPr>
        <w:t xml:space="preserve"> </w:t>
      </w:r>
      <w:r w:rsidR="0049693B">
        <w:rPr>
          <w:lang w:eastAsia="en-NZ"/>
        </w:rPr>
        <w:t>(</w:t>
      </w:r>
      <w:proofErr w:type="spellStart"/>
      <w:r w:rsidR="0049693B">
        <w:rPr>
          <w:lang w:eastAsia="en-NZ"/>
        </w:rPr>
        <w:t>Alothman</w:t>
      </w:r>
      <w:proofErr w:type="spellEnd"/>
      <w:r w:rsidR="0049693B">
        <w:rPr>
          <w:lang w:eastAsia="en-NZ"/>
        </w:rPr>
        <w:t xml:space="preserve"> et al., 2024</w:t>
      </w:r>
      <w:r w:rsidR="00D63982">
        <w:rPr>
          <w:lang w:eastAsia="en-NZ"/>
        </w:rPr>
        <w:t>;</w:t>
      </w:r>
      <w:r w:rsidR="00D63982" w:rsidRPr="00D63982">
        <w:rPr>
          <w:lang w:eastAsia="en-NZ"/>
        </w:rPr>
        <w:t xml:space="preserve"> </w:t>
      </w:r>
      <w:r w:rsidR="00D63982" w:rsidRPr="004617E3">
        <w:rPr>
          <w:lang w:eastAsia="en-NZ"/>
        </w:rPr>
        <w:t>DelPozo-Banos et al</w:t>
      </w:r>
      <w:r w:rsidR="00D63982">
        <w:rPr>
          <w:lang w:eastAsia="en-NZ"/>
        </w:rPr>
        <w:t>.,</w:t>
      </w:r>
      <w:r w:rsidR="00D63982" w:rsidRPr="004617E3">
        <w:rPr>
          <w:lang w:eastAsia="en-NZ"/>
        </w:rPr>
        <w:t xml:space="preserve"> 2024</w:t>
      </w:r>
      <w:r w:rsidR="0049693B">
        <w:rPr>
          <w:lang w:eastAsia="en-NZ"/>
        </w:rPr>
        <w:t>)</w:t>
      </w:r>
      <w:r w:rsidR="00FD38CF">
        <w:rPr>
          <w:lang w:eastAsia="en-NZ"/>
        </w:rPr>
        <w:t xml:space="preserve">. </w:t>
      </w:r>
      <w:r w:rsidR="00E91DD2">
        <w:rPr>
          <w:lang w:eastAsia="en-NZ"/>
        </w:rPr>
        <w:t>In</w:t>
      </w:r>
      <w:r w:rsidR="00FD38CF">
        <w:rPr>
          <w:lang w:eastAsia="en-NZ"/>
        </w:rPr>
        <w:t xml:space="preserve">cluding data from primary care </w:t>
      </w:r>
      <w:r w:rsidR="007C1ED8">
        <w:rPr>
          <w:lang w:eastAsia="en-NZ"/>
        </w:rPr>
        <w:t>provides a more comprehensive picture of self-harm</w:t>
      </w:r>
      <w:r w:rsidR="00DC4841">
        <w:rPr>
          <w:lang w:eastAsia="en-NZ"/>
        </w:rPr>
        <w:t xml:space="preserve">, although methods of calculating </w:t>
      </w:r>
      <w:r w:rsidR="00390B9B">
        <w:rPr>
          <w:lang w:eastAsia="en-NZ"/>
        </w:rPr>
        <w:t>the incidence or presentation rates are</w:t>
      </w:r>
      <w:r w:rsidR="001172EF">
        <w:rPr>
          <w:lang w:eastAsia="en-NZ"/>
        </w:rPr>
        <w:t xml:space="preserve"> complex</w:t>
      </w:r>
      <w:r w:rsidR="00992FB6">
        <w:rPr>
          <w:lang w:eastAsia="en-NZ"/>
        </w:rPr>
        <w:t xml:space="preserve"> </w:t>
      </w:r>
      <w:r w:rsidR="002A653D">
        <w:rPr>
          <w:lang w:eastAsia="en-NZ"/>
        </w:rPr>
        <w:t>(Carr et al., 2016)</w:t>
      </w:r>
      <w:r w:rsidR="00992FB6">
        <w:rPr>
          <w:lang w:eastAsia="en-NZ"/>
        </w:rPr>
        <w:t>.</w:t>
      </w:r>
      <w:r w:rsidR="00325112">
        <w:rPr>
          <w:lang w:eastAsia="en-NZ"/>
        </w:rPr>
        <w:t xml:space="preserve"> </w:t>
      </w:r>
      <w:r w:rsidR="00AC7F2C">
        <w:rPr>
          <w:lang w:eastAsia="en-NZ"/>
        </w:rPr>
        <w:t>The literature on this topic comes largely from the UK</w:t>
      </w:r>
      <w:r w:rsidR="00B4608C">
        <w:rPr>
          <w:lang w:eastAsia="en-NZ"/>
        </w:rPr>
        <w:t>,</w:t>
      </w:r>
      <w:r w:rsidR="00AC7F2C">
        <w:rPr>
          <w:lang w:eastAsia="en-NZ"/>
        </w:rPr>
        <w:t xml:space="preserve">, particularly </w:t>
      </w:r>
      <w:r w:rsidR="00DD626D">
        <w:rPr>
          <w:lang w:eastAsia="en-NZ"/>
        </w:rPr>
        <w:t>large-scale</w:t>
      </w:r>
      <w:r w:rsidR="00AC7F2C">
        <w:rPr>
          <w:lang w:eastAsia="en-NZ"/>
        </w:rPr>
        <w:t xml:space="preserve"> population studies in England and Wales</w:t>
      </w:r>
      <w:r w:rsidR="008836B2">
        <w:rPr>
          <w:lang w:eastAsia="en-NZ"/>
        </w:rPr>
        <w:t xml:space="preserve"> (</w:t>
      </w:r>
      <w:proofErr w:type="spellStart"/>
      <w:r w:rsidR="008836B2">
        <w:rPr>
          <w:lang w:eastAsia="en-NZ"/>
        </w:rPr>
        <w:t>Alothman</w:t>
      </w:r>
      <w:proofErr w:type="spellEnd"/>
      <w:r w:rsidR="008836B2">
        <w:rPr>
          <w:lang w:eastAsia="en-NZ"/>
        </w:rPr>
        <w:t xml:space="preserve"> et al., 2024;</w:t>
      </w:r>
      <w:r w:rsidR="008836B2" w:rsidRPr="00D63982">
        <w:rPr>
          <w:lang w:eastAsia="en-NZ"/>
        </w:rPr>
        <w:t xml:space="preserve"> </w:t>
      </w:r>
      <w:r w:rsidR="008836B2" w:rsidRPr="004617E3">
        <w:rPr>
          <w:lang w:eastAsia="en-NZ"/>
        </w:rPr>
        <w:t>DelPozo-Banos et al</w:t>
      </w:r>
      <w:r w:rsidR="008836B2">
        <w:rPr>
          <w:lang w:eastAsia="en-NZ"/>
        </w:rPr>
        <w:t>.,</w:t>
      </w:r>
      <w:r w:rsidR="008836B2" w:rsidRPr="004617E3">
        <w:rPr>
          <w:lang w:eastAsia="en-NZ"/>
        </w:rPr>
        <w:t xml:space="preserve"> 2024</w:t>
      </w:r>
      <w:r w:rsidR="008836B2">
        <w:rPr>
          <w:lang w:eastAsia="en-NZ"/>
        </w:rPr>
        <w:t>)</w:t>
      </w:r>
      <w:r w:rsidR="00AC7F2C">
        <w:rPr>
          <w:lang w:eastAsia="en-NZ"/>
        </w:rPr>
        <w:t>. Comparisons with New Zealand</w:t>
      </w:r>
      <w:r w:rsidR="00CF0DF1">
        <w:rPr>
          <w:lang w:eastAsia="en-NZ"/>
        </w:rPr>
        <w:t xml:space="preserve"> </w:t>
      </w:r>
      <w:r w:rsidR="00AC7F2C">
        <w:rPr>
          <w:lang w:eastAsia="en-NZ"/>
        </w:rPr>
        <w:t xml:space="preserve">may be limited </w:t>
      </w:r>
      <w:proofErr w:type="gramStart"/>
      <w:r w:rsidR="00AC7F2C">
        <w:rPr>
          <w:lang w:eastAsia="en-NZ"/>
        </w:rPr>
        <w:t xml:space="preserve">in particular </w:t>
      </w:r>
      <w:r w:rsidR="000615ED">
        <w:rPr>
          <w:lang w:eastAsia="en-NZ"/>
        </w:rPr>
        <w:t>by</w:t>
      </w:r>
      <w:proofErr w:type="gramEnd"/>
      <w:r w:rsidR="00AC7F2C">
        <w:rPr>
          <w:lang w:eastAsia="en-NZ"/>
        </w:rPr>
        <w:t xml:space="preserve"> </w:t>
      </w:r>
      <w:r w:rsidR="00B65A73">
        <w:rPr>
          <w:lang w:eastAsia="en-NZ"/>
        </w:rPr>
        <w:t>differences in</w:t>
      </w:r>
      <w:r w:rsidR="00AC7F2C">
        <w:rPr>
          <w:lang w:eastAsia="en-NZ"/>
        </w:rPr>
        <w:t xml:space="preserve"> direct cost</w:t>
      </w:r>
      <w:r w:rsidR="00B65A73">
        <w:rPr>
          <w:lang w:eastAsia="en-NZ"/>
        </w:rPr>
        <w:t>s</w:t>
      </w:r>
      <w:r w:rsidR="00AC7F2C">
        <w:rPr>
          <w:lang w:eastAsia="en-NZ"/>
        </w:rPr>
        <w:t xml:space="preserve"> to individual</w:t>
      </w:r>
      <w:r w:rsidR="00B65A73">
        <w:rPr>
          <w:lang w:eastAsia="en-NZ"/>
        </w:rPr>
        <w:t>s</w:t>
      </w:r>
      <w:r w:rsidR="00AC7F2C">
        <w:rPr>
          <w:lang w:eastAsia="en-NZ"/>
        </w:rPr>
        <w:t xml:space="preserve"> of seeing a GP in N</w:t>
      </w:r>
      <w:r w:rsidR="00DD626D">
        <w:rPr>
          <w:lang w:eastAsia="en-NZ"/>
        </w:rPr>
        <w:t xml:space="preserve">ew </w:t>
      </w:r>
      <w:r w:rsidR="00AC7F2C">
        <w:rPr>
          <w:lang w:eastAsia="en-NZ"/>
        </w:rPr>
        <w:t>Z</w:t>
      </w:r>
      <w:r w:rsidR="00DD626D">
        <w:rPr>
          <w:lang w:eastAsia="en-NZ"/>
        </w:rPr>
        <w:t>ealand</w:t>
      </w:r>
      <w:r w:rsidR="003B3EF3">
        <w:rPr>
          <w:lang w:eastAsia="en-NZ"/>
        </w:rPr>
        <w:t xml:space="preserve">, and lower </w:t>
      </w:r>
      <w:r w:rsidR="009243A2">
        <w:rPr>
          <w:lang w:eastAsia="en-NZ"/>
        </w:rPr>
        <w:t>access rates for particular groups</w:t>
      </w:r>
      <w:r w:rsidR="00E564E2">
        <w:rPr>
          <w:lang w:eastAsia="en-NZ"/>
        </w:rPr>
        <w:t xml:space="preserve"> (</w:t>
      </w:r>
      <w:proofErr w:type="spellStart"/>
      <w:r w:rsidR="00C33821" w:rsidRPr="00C33821">
        <w:rPr>
          <w:lang w:eastAsia="en-NZ"/>
        </w:rPr>
        <w:t>Irurzun</w:t>
      </w:r>
      <w:proofErr w:type="spellEnd"/>
      <w:r w:rsidR="00C33821" w:rsidRPr="00C33821">
        <w:rPr>
          <w:lang w:eastAsia="en-NZ"/>
        </w:rPr>
        <w:t>-Lopez et al</w:t>
      </w:r>
      <w:r w:rsidR="00AC7F2C">
        <w:rPr>
          <w:lang w:eastAsia="en-NZ"/>
        </w:rPr>
        <w:t>.</w:t>
      </w:r>
      <w:r w:rsidR="00C33821">
        <w:rPr>
          <w:lang w:eastAsia="en-NZ"/>
        </w:rPr>
        <w:t>, 2021).</w:t>
      </w:r>
      <w:r w:rsidR="00AC7F2C">
        <w:rPr>
          <w:lang w:eastAsia="en-NZ"/>
        </w:rPr>
        <w:t xml:space="preserve"> </w:t>
      </w:r>
    </w:p>
    <w:p w14:paraId="044E7127" w14:textId="50C3516E" w:rsidR="006A4D52" w:rsidRDefault="00E41D20" w:rsidP="00AC7F2C">
      <w:pPr>
        <w:rPr>
          <w:lang w:eastAsia="en-NZ"/>
        </w:rPr>
      </w:pPr>
      <w:r>
        <w:rPr>
          <w:lang w:eastAsia="en-NZ"/>
        </w:rPr>
        <w:t>We do not have access to data to support t</w:t>
      </w:r>
      <w:r w:rsidR="00231B8C">
        <w:rPr>
          <w:lang w:eastAsia="en-NZ"/>
        </w:rPr>
        <w:t xml:space="preserve">he potential indicator </w:t>
      </w:r>
      <w:r w:rsidR="00944E21">
        <w:rPr>
          <w:lang w:eastAsia="en-NZ"/>
        </w:rPr>
        <w:t>(</w:t>
      </w:r>
      <w:r w:rsidR="005B4F99">
        <w:t>r</w:t>
      </w:r>
      <w:r w:rsidR="00944E21" w:rsidRPr="00FE34E3">
        <w:t xml:space="preserve">ates of new cases </w:t>
      </w:r>
      <w:r w:rsidR="00944E21">
        <w:t>of self-harm in primary care per 1</w:t>
      </w:r>
      <w:r w:rsidR="00E30C3D">
        <w:t>0</w:t>
      </w:r>
      <w:r w:rsidR="00944E21">
        <w:t>0,000</w:t>
      </w:r>
      <w:r w:rsidR="00944E21" w:rsidRPr="00FE34E3">
        <w:t xml:space="preserve"> population</w:t>
      </w:r>
      <w:r w:rsidR="00944E21">
        <w:t xml:space="preserve">) </w:t>
      </w:r>
      <w:r w:rsidR="00231B8C">
        <w:rPr>
          <w:lang w:eastAsia="en-NZ"/>
        </w:rPr>
        <w:t>for this topic.</w:t>
      </w:r>
      <w:r w:rsidR="009136BE">
        <w:rPr>
          <w:lang w:eastAsia="en-NZ"/>
        </w:rPr>
        <w:t xml:space="preserve"> It is possible that data may become available through the </w:t>
      </w:r>
      <w:r w:rsidR="00F332C6">
        <w:rPr>
          <w:lang w:eastAsia="en-NZ"/>
        </w:rPr>
        <w:t>National Primary Care Dashboard.</w:t>
      </w:r>
      <w:r w:rsidR="00093095">
        <w:rPr>
          <w:rStyle w:val="FootnoteReference"/>
          <w:lang w:eastAsia="en-NZ"/>
        </w:rPr>
        <w:footnoteReference w:id="9"/>
      </w:r>
    </w:p>
    <w:p w14:paraId="45E020DD" w14:textId="77777777" w:rsidR="00AF35CE" w:rsidRDefault="00AF35CE" w:rsidP="00E01442">
      <w:pPr>
        <w:pStyle w:val="Heading3"/>
        <w:ind w:left="851" w:hanging="851"/>
      </w:pPr>
      <w:r>
        <w:t>Emergency service attendance</w:t>
      </w:r>
    </w:p>
    <w:p w14:paraId="4259A41D" w14:textId="0D242F59" w:rsidR="00AF35CE" w:rsidRDefault="00AF35CE" w:rsidP="00AF35CE">
      <w:pPr>
        <w:rPr>
          <w:lang w:eastAsia="en-NZ"/>
        </w:rPr>
      </w:pPr>
      <w:r>
        <w:rPr>
          <w:lang w:eastAsia="en-NZ"/>
        </w:rPr>
        <w:t xml:space="preserve">Ambulance and </w:t>
      </w:r>
      <w:r w:rsidR="00B0215E">
        <w:rPr>
          <w:lang w:eastAsia="en-NZ"/>
        </w:rPr>
        <w:t>p</w:t>
      </w:r>
      <w:r>
        <w:rPr>
          <w:lang w:eastAsia="en-NZ"/>
        </w:rPr>
        <w:t xml:space="preserve">olice data </w:t>
      </w:r>
      <w:r w:rsidRPr="004617E3">
        <w:rPr>
          <w:lang w:eastAsia="en-NZ"/>
        </w:rPr>
        <w:t xml:space="preserve">provide a view of non-fatal self-harm that may not result in hospital presentation, especially for </w:t>
      </w:r>
      <w:r>
        <w:rPr>
          <w:lang w:eastAsia="en-NZ"/>
        </w:rPr>
        <w:t>people who seek</w:t>
      </w:r>
      <w:r w:rsidRPr="004617E3">
        <w:rPr>
          <w:lang w:eastAsia="en-NZ"/>
        </w:rPr>
        <w:t xml:space="preserve"> help in less acute settings</w:t>
      </w:r>
      <w:r>
        <w:rPr>
          <w:lang w:eastAsia="en-NZ"/>
        </w:rPr>
        <w:t xml:space="preserve"> </w:t>
      </w:r>
      <w:r w:rsidRPr="004617E3">
        <w:rPr>
          <w:lang w:eastAsia="en-NZ"/>
        </w:rPr>
        <w:t>(Lubman et al</w:t>
      </w:r>
      <w:r w:rsidR="000223E3">
        <w:rPr>
          <w:lang w:eastAsia="en-NZ"/>
        </w:rPr>
        <w:t>.,</w:t>
      </w:r>
      <w:r w:rsidRPr="004617E3">
        <w:rPr>
          <w:lang w:eastAsia="en-NZ"/>
        </w:rPr>
        <w:t xml:space="preserve"> 2020)</w:t>
      </w:r>
      <w:r>
        <w:rPr>
          <w:lang w:eastAsia="en-NZ"/>
        </w:rPr>
        <w:t xml:space="preserve">. Regional analysis </w:t>
      </w:r>
      <w:r w:rsidRPr="004617E3">
        <w:rPr>
          <w:lang w:eastAsia="en-NZ"/>
        </w:rPr>
        <w:t>of police</w:t>
      </w:r>
      <w:r>
        <w:rPr>
          <w:lang w:eastAsia="en-NZ"/>
        </w:rPr>
        <w:t xml:space="preserve"> and/or ambulance </w:t>
      </w:r>
      <w:r w:rsidRPr="004617E3">
        <w:rPr>
          <w:lang w:eastAsia="en-NZ"/>
        </w:rPr>
        <w:t xml:space="preserve">attended </w:t>
      </w:r>
      <w:r>
        <w:rPr>
          <w:lang w:eastAsia="en-NZ"/>
        </w:rPr>
        <w:t xml:space="preserve">self-harm and </w:t>
      </w:r>
      <w:r w:rsidRPr="004617E3">
        <w:rPr>
          <w:lang w:eastAsia="en-NZ"/>
        </w:rPr>
        <w:t xml:space="preserve">suicide-related events </w:t>
      </w:r>
      <w:r>
        <w:rPr>
          <w:lang w:eastAsia="en-NZ"/>
        </w:rPr>
        <w:t xml:space="preserve">also </w:t>
      </w:r>
      <w:r w:rsidRPr="004617E3">
        <w:rPr>
          <w:lang w:eastAsia="en-NZ"/>
        </w:rPr>
        <w:t xml:space="preserve">helps identify areas where mental health crisis services </w:t>
      </w:r>
      <w:r w:rsidR="00FF0E3E">
        <w:rPr>
          <w:lang w:eastAsia="en-NZ"/>
        </w:rPr>
        <w:t xml:space="preserve">– and emergency services more generally - </w:t>
      </w:r>
      <w:r w:rsidRPr="004617E3">
        <w:rPr>
          <w:lang w:eastAsia="en-NZ"/>
        </w:rPr>
        <w:t>are insufficient</w:t>
      </w:r>
      <w:r w:rsidR="000223E3">
        <w:rPr>
          <w:lang w:eastAsia="en-NZ"/>
        </w:rPr>
        <w:t>.</w:t>
      </w:r>
      <w:r w:rsidR="00BB39FA">
        <w:rPr>
          <w:lang w:eastAsia="en-NZ"/>
        </w:rPr>
        <w:t xml:space="preserve"> </w:t>
      </w:r>
    </w:p>
    <w:p w14:paraId="0C7E4EEC" w14:textId="1E8B3A9E" w:rsidR="0070224F" w:rsidRDefault="00081A8B" w:rsidP="00AF35CE">
      <w:pPr>
        <w:rPr>
          <w:lang w:eastAsia="en-NZ"/>
        </w:rPr>
      </w:pPr>
      <w:r>
        <w:rPr>
          <w:lang w:eastAsia="en-NZ"/>
        </w:rPr>
        <w:t xml:space="preserve">Our potential indicator for ambulance </w:t>
      </w:r>
      <w:r w:rsidR="00AC2F35">
        <w:rPr>
          <w:lang w:eastAsia="en-NZ"/>
        </w:rPr>
        <w:t>attendance</w:t>
      </w:r>
      <w:r>
        <w:rPr>
          <w:lang w:eastAsia="en-NZ"/>
        </w:rPr>
        <w:t xml:space="preserve"> (</w:t>
      </w:r>
      <w:r w:rsidR="00EB78A1">
        <w:rPr>
          <w:lang w:eastAsia="en-NZ"/>
        </w:rPr>
        <w:t>n</w:t>
      </w:r>
      <w:r w:rsidR="008E181A" w:rsidRPr="008E181A">
        <w:rPr>
          <w:lang w:eastAsia="en-NZ"/>
        </w:rPr>
        <w:t xml:space="preserve">umber of ambulance attendances for </w:t>
      </w:r>
      <w:r w:rsidR="00DD08C2">
        <w:rPr>
          <w:lang w:eastAsia="en-NZ"/>
        </w:rPr>
        <w:t>self-harm</w:t>
      </w:r>
      <w:r w:rsidR="0096309E">
        <w:rPr>
          <w:rStyle w:val="FootnoteReference"/>
          <w:lang w:eastAsia="en-NZ"/>
        </w:rPr>
        <w:footnoteReference w:id="10"/>
      </w:r>
      <w:r>
        <w:rPr>
          <w:lang w:eastAsia="en-NZ"/>
        </w:rPr>
        <w:t>)</w:t>
      </w:r>
      <w:r w:rsidR="00207E9C">
        <w:rPr>
          <w:lang w:eastAsia="en-NZ"/>
        </w:rPr>
        <w:t xml:space="preserve"> can be disaggregated by key demographic </w:t>
      </w:r>
      <w:r w:rsidR="005F179A">
        <w:rPr>
          <w:lang w:eastAsia="en-NZ"/>
        </w:rPr>
        <w:t>characteristics</w:t>
      </w:r>
      <w:r w:rsidR="00207E9C">
        <w:rPr>
          <w:lang w:eastAsia="en-NZ"/>
        </w:rPr>
        <w:t xml:space="preserve">. </w:t>
      </w:r>
      <w:r w:rsidR="00207E9C">
        <w:rPr>
          <w:lang w:eastAsia="en-NZ"/>
        </w:rPr>
        <w:lastRenderedPageBreak/>
        <w:t>However</w:t>
      </w:r>
      <w:r w:rsidR="00EB78A1">
        <w:rPr>
          <w:lang w:eastAsia="en-NZ"/>
        </w:rPr>
        <w:t>,</w:t>
      </w:r>
      <w:r w:rsidR="00207E9C">
        <w:rPr>
          <w:lang w:eastAsia="en-NZ"/>
        </w:rPr>
        <w:t xml:space="preserve"> </w:t>
      </w:r>
      <w:r w:rsidR="00DB0C1F">
        <w:rPr>
          <w:lang w:eastAsia="en-NZ"/>
        </w:rPr>
        <w:t>analysis must take account of barriers to accessing emergency services</w:t>
      </w:r>
      <w:r w:rsidR="00AC2F35">
        <w:rPr>
          <w:lang w:eastAsia="en-NZ"/>
        </w:rPr>
        <w:t>.</w:t>
      </w:r>
      <w:r w:rsidR="005F179A">
        <w:rPr>
          <w:lang w:eastAsia="en-NZ"/>
        </w:rPr>
        <w:t xml:space="preserve"> For example,</w:t>
      </w:r>
      <w:r w:rsidR="00CF0DF1">
        <w:rPr>
          <w:lang w:eastAsia="en-NZ"/>
        </w:rPr>
        <w:t xml:space="preserve"> </w:t>
      </w:r>
      <w:r w:rsidR="0070224F">
        <w:rPr>
          <w:lang w:eastAsia="en-NZ"/>
        </w:rPr>
        <w:t xml:space="preserve">Lilley et al (2024) have shown overlapping disparities </w:t>
      </w:r>
      <w:r w:rsidR="0070224F" w:rsidRPr="009137FE">
        <w:rPr>
          <w:lang w:eastAsia="en-NZ"/>
        </w:rPr>
        <w:t xml:space="preserve">of </w:t>
      </w:r>
      <w:r w:rsidR="005F179A">
        <w:rPr>
          <w:lang w:eastAsia="en-NZ"/>
        </w:rPr>
        <w:t>geography</w:t>
      </w:r>
      <w:r w:rsidR="0070224F" w:rsidRPr="009137FE">
        <w:rPr>
          <w:lang w:eastAsia="en-NZ"/>
        </w:rPr>
        <w:t xml:space="preserve"> and ethnicity </w:t>
      </w:r>
      <w:r w:rsidR="005F179A">
        <w:rPr>
          <w:lang w:eastAsia="en-NZ"/>
        </w:rPr>
        <w:t xml:space="preserve">in </w:t>
      </w:r>
      <w:r w:rsidR="0070224F" w:rsidRPr="00086A53">
        <w:rPr>
          <w:lang w:eastAsia="en-NZ"/>
        </w:rPr>
        <w:t>out</w:t>
      </w:r>
      <w:r w:rsidR="0085517D">
        <w:rPr>
          <w:lang w:eastAsia="en-NZ"/>
        </w:rPr>
        <w:t xml:space="preserve"> </w:t>
      </w:r>
      <w:r w:rsidR="0070224F" w:rsidRPr="00086A53">
        <w:rPr>
          <w:lang w:eastAsia="en-NZ"/>
        </w:rPr>
        <w:t>of</w:t>
      </w:r>
      <w:r w:rsidR="0070224F">
        <w:rPr>
          <w:lang w:eastAsia="en-NZ"/>
        </w:rPr>
        <w:t xml:space="preserve"> </w:t>
      </w:r>
      <w:r w:rsidR="0070224F" w:rsidRPr="00086A53">
        <w:rPr>
          <w:lang w:eastAsia="en-NZ"/>
        </w:rPr>
        <w:t xml:space="preserve">hospital </w:t>
      </w:r>
      <w:r w:rsidR="0070224F">
        <w:rPr>
          <w:lang w:eastAsia="en-NZ"/>
        </w:rPr>
        <w:t>emergency service</w:t>
      </w:r>
      <w:r w:rsidR="0070224F" w:rsidRPr="00086A53">
        <w:rPr>
          <w:lang w:eastAsia="en-NZ"/>
        </w:rPr>
        <w:t xml:space="preserve"> transport</w:t>
      </w:r>
      <w:r w:rsidR="0070224F">
        <w:rPr>
          <w:lang w:eastAsia="en-NZ"/>
        </w:rPr>
        <w:t>.</w:t>
      </w:r>
    </w:p>
    <w:p w14:paraId="3016E999" w14:textId="77777777" w:rsidR="00782B94" w:rsidRDefault="00944E21" w:rsidP="00AF35CE">
      <w:pPr>
        <w:rPr>
          <w:lang w:eastAsia="en-NZ"/>
        </w:rPr>
      </w:pPr>
      <w:r>
        <w:rPr>
          <w:lang w:eastAsia="en-NZ"/>
        </w:rPr>
        <w:t>P</w:t>
      </w:r>
      <w:r w:rsidR="001C57AA">
        <w:rPr>
          <w:lang w:eastAsia="en-NZ"/>
        </w:rPr>
        <w:t>olice data (n</w:t>
      </w:r>
      <w:r w:rsidR="00EA4BFC" w:rsidRPr="00EA4BFC">
        <w:rPr>
          <w:lang w:eastAsia="en-NZ"/>
        </w:rPr>
        <w:t xml:space="preserve">umber of </w:t>
      </w:r>
      <w:r w:rsidR="00E66A07">
        <w:rPr>
          <w:lang w:eastAsia="en-NZ"/>
        </w:rPr>
        <w:t xml:space="preserve">responses to </w:t>
      </w:r>
      <w:r w:rsidR="00EA4BFC" w:rsidRPr="00EA4BFC">
        <w:rPr>
          <w:lang w:eastAsia="en-NZ"/>
        </w:rPr>
        <w:t xml:space="preserve">1X (threatens/attempts suicide) </w:t>
      </w:r>
      <w:r w:rsidR="00B12211">
        <w:rPr>
          <w:lang w:eastAsia="en-NZ"/>
        </w:rPr>
        <w:t>calls</w:t>
      </w:r>
      <w:r w:rsidR="0088229D">
        <w:rPr>
          <w:lang w:eastAsia="en-NZ"/>
        </w:rPr>
        <w:t xml:space="preserve">) </w:t>
      </w:r>
      <w:r w:rsidR="00060571">
        <w:rPr>
          <w:lang w:eastAsia="en-NZ"/>
        </w:rPr>
        <w:t>record</w:t>
      </w:r>
      <w:r w:rsidR="00D2531F" w:rsidRPr="00D2531F">
        <w:rPr>
          <w:lang w:eastAsia="en-NZ"/>
        </w:rPr>
        <w:t xml:space="preserve"> Police attendance to events and do not provide </w:t>
      </w:r>
      <w:r w:rsidR="00060571">
        <w:rPr>
          <w:lang w:eastAsia="en-NZ"/>
        </w:rPr>
        <w:t xml:space="preserve">demographic </w:t>
      </w:r>
      <w:r w:rsidR="00D2531F" w:rsidRPr="00D2531F">
        <w:rPr>
          <w:lang w:eastAsia="en-NZ"/>
        </w:rPr>
        <w:t>information about the people involved in events.</w:t>
      </w:r>
      <w:r w:rsidR="00A91E12">
        <w:rPr>
          <w:lang w:eastAsia="en-NZ"/>
        </w:rPr>
        <w:t xml:space="preserve"> </w:t>
      </w:r>
      <w:r w:rsidR="006622E2">
        <w:rPr>
          <w:lang w:eastAsia="en-NZ"/>
        </w:rPr>
        <w:t>We note that recent changes in police response to these call</w:t>
      </w:r>
      <w:r w:rsidR="008A2D99">
        <w:rPr>
          <w:lang w:eastAsia="en-NZ"/>
        </w:rPr>
        <w:t xml:space="preserve"> outs will </w:t>
      </w:r>
      <w:r w:rsidR="00523DAA">
        <w:rPr>
          <w:lang w:eastAsia="en-NZ"/>
        </w:rPr>
        <w:t>affect</w:t>
      </w:r>
      <w:r w:rsidR="008A2D99">
        <w:rPr>
          <w:lang w:eastAsia="en-NZ"/>
        </w:rPr>
        <w:t xml:space="preserve"> </w:t>
      </w:r>
      <w:r w:rsidR="00650046">
        <w:rPr>
          <w:lang w:eastAsia="en-NZ"/>
        </w:rPr>
        <w:t>data comparisons</w:t>
      </w:r>
      <w:r w:rsidR="008A2D99">
        <w:rPr>
          <w:lang w:eastAsia="en-NZ"/>
        </w:rPr>
        <w:t xml:space="preserve"> </w:t>
      </w:r>
      <w:r w:rsidR="00523DAA">
        <w:rPr>
          <w:lang w:eastAsia="en-NZ"/>
        </w:rPr>
        <w:t>over time.</w:t>
      </w:r>
    </w:p>
    <w:p w14:paraId="244F3F0E" w14:textId="5E741EE7" w:rsidR="001164E9" w:rsidRDefault="00281CD4" w:rsidP="00E01442">
      <w:pPr>
        <w:pStyle w:val="Heading3"/>
        <w:ind w:left="851" w:hanging="851"/>
      </w:pPr>
      <w:r>
        <w:t>Contacts with h</w:t>
      </w:r>
      <w:r w:rsidR="001164E9">
        <w:t>elplines</w:t>
      </w:r>
    </w:p>
    <w:p w14:paraId="326D6EA8" w14:textId="79A643DD" w:rsidR="001164E9" w:rsidRPr="001164E9" w:rsidRDefault="00746D33" w:rsidP="001164E9">
      <w:pPr>
        <w:rPr>
          <w:lang w:eastAsia="en-NZ"/>
        </w:rPr>
      </w:pPr>
      <w:r>
        <w:rPr>
          <w:lang w:eastAsia="en-NZ"/>
        </w:rPr>
        <w:t xml:space="preserve">We do not have a </w:t>
      </w:r>
      <w:r w:rsidR="00281CD4">
        <w:rPr>
          <w:lang w:eastAsia="en-NZ"/>
        </w:rPr>
        <w:t xml:space="preserve">potential </w:t>
      </w:r>
      <w:r>
        <w:rPr>
          <w:lang w:eastAsia="en-NZ"/>
        </w:rPr>
        <w:t xml:space="preserve">population level indicator of suicide </w:t>
      </w:r>
      <w:r w:rsidR="00281CD4">
        <w:rPr>
          <w:lang w:eastAsia="en-NZ"/>
        </w:rPr>
        <w:t>or self-harm r</w:t>
      </w:r>
      <w:r>
        <w:rPr>
          <w:lang w:eastAsia="en-NZ"/>
        </w:rPr>
        <w:t xml:space="preserve">elated </w:t>
      </w:r>
      <w:r w:rsidR="00CA44B8">
        <w:rPr>
          <w:lang w:eastAsia="en-NZ"/>
        </w:rPr>
        <w:t xml:space="preserve">contacts to phone or digital helplines. </w:t>
      </w:r>
      <w:r w:rsidR="001164E9">
        <w:rPr>
          <w:lang w:eastAsia="en-NZ"/>
        </w:rPr>
        <w:t>In New Zealand</w:t>
      </w:r>
      <w:r w:rsidR="00B82C17">
        <w:rPr>
          <w:lang w:eastAsia="en-NZ"/>
        </w:rPr>
        <w:t xml:space="preserve">, suicide and self-harm related calls are handled by multiple helplines. </w:t>
      </w:r>
      <w:r w:rsidR="00CA44B8">
        <w:rPr>
          <w:lang w:eastAsia="en-NZ"/>
        </w:rPr>
        <w:t>There is not a single</w:t>
      </w:r>
      <w:r w:rsidR="00D137A1">
        <w:rPr>
          <w:lang w:eastAsia="en-NZ"/>
        </w:rPr>
        <w:t>, standard</w:t>
      </w:r>
      <w:r w:rsidR="003B21AD">
        <w:rPr>
          <w:lang w:eastAsia="en-NZ"/>
        </w:rPr>
        <w:t>ised</w:t>
      </w:r>
      <w:r w:rsidR="00D137A1">
        <w:rPr>
          <w:lang w:eastAsia="en-NZ"/>
        </w:rPr>
        <w:t xml:space="preserve"> method for categorising suicide o</w:t>
      </w:r>
      <w:r w:rsidR="003B21AD">
        <w:rPr>
          <w:lang w:eastAsia="en-NZ"/>
        </w:rPr>
        <w:t>r</w:t>
      </w:r>
      <w:r w:rsidR="00D137A1">
        <w:rPr>
          <w:lang w:eastAsia="en-NZ"/>
        </w:rPr>
        <w:t xml:space="preserve"> self-harm related contacts</w:t>
      </w:r>
      <w:r w:rsidR="00515B72">
        <w:rPr>
          <w:lang w:eastAsia="en-NZ"/>
        </w:rPr>
        <w:t>, or established procedures for data sharing</w:t>
      </w:r>
      <w:r w:rsidR="00D137A1">
        <w:rPr>
          <w:lang w:eastAsia="en-NZ"/>
        </w:rPr>
        <w:t>.</w:t>
      </w:r>
    </w:p>
    <w:p w14:paraId="466C6227" w14:textId="77777777" w:rsidR="001164E9" w:rsidRDefault="001164E9" w:rsidP="00AF35CE">
      <w:pPr>
        <w:rPr>
          <w:lang w:eastAsia="en-NZ"/>
        </w:rPr>
      </w:pPr>
    </w:p>
    <w:p w14:paraId="020DCABE" w14:textId="7190D487" w:rsidR="001164E9" w:rsidRDefault="001164E9" w:rsidP="00AF35CE">
      <w:pPr>
        <w:rPr>
          <w:lang w:eastAsia="en-NZ"/>
        </w:rPr>
        <w:sectPr w:rsidR="001164E9" w:rsidSect="000363C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0"/>
          <w:cols w:space="708"/>
          <w:titlePg/>
          <w:docGrid w:linePitch="360"/>
        </w:sectPr>
      </w:pPr>
    </w:p>
    <w:p w14:paraId="619540CB" w14:textId="38240775" w:rsidR="00C920CC" w:rsidRPr="00C920CC" w:rsidRDefault="00C920CC" w:rsidP="00C920CC">
      <w:pPr>
        <w:pStyle w:val="Caption"/>
      </w:pPr>
      <w:bookmarkStart w:id="9" w:name="_Ref202191919"/>
      <w:r>
        <w:lastRenderedPageBreak/>
        <w:t xml:space="preserve">Table </w:t>
      </w:r>
      <w:r w:rsidR="007742C8">
        <w:fldChar w:fldCharType="begin"/>
      </w:r>
      <w:r w:rsidR="007742C8">
        <w:instrText xml:space="preserve"> SEQ Table \* ARABIC </w:instrText>
      </w:r>
      <w:r w:rsidR="007742C8">
        <w:fldChar w:fldCharType="separate"/>
      </w:r>
      <w:r w:rsidR="00914243">
        <w:rPr>
          <w:noProof/>
        </w:rPr>
        <w:t>2</w:t>
      </w:r>
      <w:r w:rsidR="007742C8">
        <w:rPr>
          <w:noProof/>
        </w:rPr>
        <w:fldChar w:fldCharType="end"/>
      </w:r>
      <w:bookmarkEnd w:id="9"/>
      <w:r>
        <w:t xml:space="preserve">: </w:t>
      </w:r>
      <w:r w:rsidR="00AC2B8D">
        <w:t xml:space="preserve">Potential suicide and self-harm outcome </w:t>
      </w:r>
      <w:r w:rsidR="00997F88">
        <w:t>indicator</w:t>
      </w:r>
      <w:r w:rsidR="00AC2B8D">
        <w:t>s</w:t>
      </w:r>
    </w:p>
    <w:tbl>
      <w:tblPr>
        <w:tblStyle w:val="PlainTable2"/>
        <w:tblW w:w="14859" w:type="dxa"/>
        <w:tblLook w:val="04A0" w:firstRow="1" w:lastRow="0" w:firstColumn="1" w:lastColumn="0" w:noHBand="0" w:noVBand="1"/>
      </w:tblPr>
      <w:tblGrid>
        <w:gridCol w:w="2441"/>
        <w:gridCol w:w="4365"/>
        <w:gridCol w:w="1758"/>
        <w:gridCol w:w="1927"/>
        <w:gridCol w:w="1928"/>
        <w:gridCol w:w="2440"/>
      </w:tblGrid>
      <w:tr w:rsidR="00B41AAE" w:rsidRPr="00FE34E3" w14:paraId="68D3B34D" w14:textId="41F0C7F9" w:rsidTr="002C27AE">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441" w:type="dxa"/>
            <w:noWrap/>
          </w:tcPr>
          <w:p w14:paraId="7E96ADD8" w14:textId="61D6034C" w:rsidR="00B41AAE" w:rsidRPr="00F94764" w:rsidRDefault="002C7678" w:rsidP="00F94764">
            <w:pPr>
              <w:pStyle w:val="Tabletext"/>
            </w:pPr>
            <w:r>
              <w:t>Indicator</w:t>
            </w:r>
          </w:p>
        </w:tc>
        <w:tc>
          <w:tcPr>
            <w:tcW w:w="4365" w:type="dxa"/>
            <w:noWrap/>
          </w:tcPr>
          <w:p w14:paraId="75982516" w14:textId="477F2BA3" w:rsidR="00B41AAE" w:rsidRPr="00F94764" w:rsidRDefault="002C7678" w:rsidP="00F94764">
            <w:pPr>
              <w:pStyle w:val="Tabletext"/>
              <w:cnfStyle w:val="100000000000" w:firstRow="1" w:lastRow="0" w:firstColumn="0" w:lastColumn="0" w:oddVBand="0" w:evenVBand="0" w:oddHBand="0" w:evenHBand="0" w:firstRowFirstColumn="0" w:firstRowLastColumn="0" w:lastRowFirstColumn="0" w:lastRowLastColumn="0"/>
            </w:pPr>
            <w:r>
              <w:t>Definition</w:t>
            </w:r>
          </w:p>
        </w:tc>
        <w:tc>
          <w:tcPr>
            <w:tcW w:w="1758" w:type="dxa"/>
          </w:tcPr>
          <w:p w14:paraId="07916D88" w14:textId="419E3936" w:rsidR="00B41AAE" w:rsidRPr="00F94764" w:rsidRDefault="00B41AAE" w:rsidP="00F94764">
            <w:pPr>
              <w:pStyle w:val="Tabletext"/>
              <w:cnfStyle w:val="100000000000" w:firstRow="1" w:lastRow="0" w:firstColumn="0" w:lastColumn="0" w:oddVBand="0" w:evenVBand="0" w:oddHBand="0" w:evenHBand="0" w:firstRowFirstColumn="0" w:firstRowLastColumn="0" w:lastRowFirstColumn="0" w:lastRowLastColumn="0"/>
            </w:pPr>
            <w:r w:rsidRPr="00F94764">
              <w:t>Data source</w:t>
            </w:r>
          </w:p>
        </w:tc>
        <w:tc>
          <w:tcPr>
            <w:tcW w:w="1927" w:type="dxa"/>
          </w:tcPr>
          <w:p w14:paraId="3C0BE4CE" w14:textId="06F2F811" w:rsidR="00B41AAE" w:rsidRPr="00F94764" w:rsidRDefault="00B41AAE" w:rsidP="00F94764">
            <w:pPr>
              <w:pStyle w:val="Tabletext"/>
              <w:cnfStyle w:val="100000000000" w:firstRow="1" w:lastRow="0" w:firstColumn="0" w:lastColumn="0" w:oddVBand="0" w:evenVBand="0" w:oddHBand="0" w:evenHBand="0" w:firstRowFirstColumn="0" w:firstRowLastColumn="0" w:lastRowFirstColumn="0" w:lastRowLastColumn="0"/>
            </w:pPr>
            <w:r w:rsidRPr="00F94764">
              <w:t>Data quality</w:t>
            </w:r>
          </w:p>
        </w:tc>
        <w:tc>
          <w:tcPr>
            <w:tcW w:w="1928" w:type="dxa"/>
          </w:tcPr>
          <w:p w14:paraId="260DE7C5" w14:textId="18591DEA" w:rsidR="00B41AAE" w:rsidRPr="00F94764" w:rsidRDefault="00B41AAE" w:rsidP="00F94764">
            <w:pPr>
              <w:pStyle w:val="Tabletext"/>
              <w:cnfStyle w:val="100000000000" w:firstRow="1" w:lastRow="0" w:firstColumn="0" w:lastColumn="0" w:oddVBand="0" w:evenVBand="0" w:oddHBand="0" w:evenHBand="0" w:firstRowFirstColumn="0" w:firstRowLastColumn="0" w:lastRowFirstColumn="0" w:lastRowLastColumn="0"/>
            </w:pPr>
            <w:r w:rsidRPr="00F94764">
              <w:t>Population sensitivity*</w:t>
            </w:r>
          </w:p>
        </w:tc>
        <w:tc>
          <w:tcPr>
            <w:tcW w:w="2440" w:type="dxa"/>
          </w:tcPr>
          <w:p w14:paraId="4D347B4A" w14:textId="5AD0ADA6" w:rsidR="00B41AAE" w:rsidRPr="00F94764" w:rsidRDefault="00B41AAE" w:rsidP="00F94764">
            <w:pPr>
              <w:pStyle w:val="Tabletext"/>
              <w:cnfStyle w:val="100000000000" w:firstRow="1" w:lastRow="0" w:firstColumn="0" w:lastColumn="0" w:oddVBand="0" w:evenVBand="0" w:oddHBand="0" w:evenHBand="0" w:firstRowFirstColumn="0" w:firstRowLastColumn="0" w:lastRowFirstColumn="0" w:lastRowLastColumn="0"/>
            </w:pPr>
            <w:r>
              <w:t>Recommend</w:t>
            </w:r>
            <w:r w:rsidR="00C4376D">
              <w:t>ation</w:t>
            </w:r>
          </w:p>
        </w:tc>
      </w:tr>
      <w:tr w:rsidR="00B41AAE" w:rsidRPr="00FE34E3" w14:paraId="466B319C" w14:textId="1953F662" w:rsidTr="002C27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1" w:type="dxa"/>
            <w:noWrap/>
            <w:hideMark/>
          </w:tcPr>
          <w:p w14:paraId="02771FDC" w14:textId="1A989593" w:rsidR="00B41AAE" w:rsidRPr="001F37BB" w:rsidRDefault="00B41AAE" w:rsidP="00F94764">
            <w:pPr>
              <w:pStyle w:val="Tabletext"/>
            </w:pPr>
            <w:r w:rsidRPr="001F37BB">
              <w:t>Suicide rate</w:t>
            </w:r>
          </w:p>
        </w:tc>
        <w:tc>
          <w:tcPr>
            <w:tcW w:w="4365" w:type="dxa"/>
            <w:noWrap/>
            <w:hideMark/>
          </w:tcPr>
          <w:p w14:paraId="2F0DFB37" w14:textId="2DDD52CE" w:rsidR="00B41AAE" w:rsidRPr="00F94764" w:rsidRDefault="00B41AAE" w:rsidP="00F94764">
            <w:pPr>
              <w:pStyle w:val="Tabletext"/>
              <w:cnfStyle w:val="000000100000" w:firstRow="0" w:lastRow="0" w:firstColumn="0" w:lastColumn="0" w:oddVBand="0" w:evenVBand="0" w:oddHBand="1" w:evenHBand="0" w:firstRowFirstColumn="0" w:firstRowLastColumn="0" w:lastRowFirstColumn="0" w:lastRowLastColumn="0"/>
            </w:pPr>
            <w:r w:rsidRPr="00F94764">
              <w:t>Age-standardised rate of suicide per 100,000 population</w:t>
            </w:r>
          </w:p>
        </w:tc>
        <w:tc>
          <w:tcPr>
            <w:tcW w:w="1758" w:type="dxa"/>
          </w:tcPr>
          <w:p w14:paraId="14795542" w14:textId="5FF1A971" w:rsidR="00B41AAE" w:rsidRPr="00F94764" w:rsidRDefault="00B41AAE" w:rsidP="00F94764">
            <w:pPr>
              <w:pStyle w:val="Tabletext"/>
              <w:cnfStyle w:val="000000100000" w:firstRow="0" w:lastRow="0" w:firstColumn="0" w:lastColumn="0" w:oddVBand="0" w:evenVBand="0" w:oddHBand="1" w:evenHBand="0" w:firstRowFirstColumn="0" w:firstRowLastColumn="0" w:lastRowFirstColumn="0" w:lastRowLastColumn="0"/>
            </w:pPr>
            <w:r w:rsidRPr="00F94764">
              <w:t xml:space="preserve">Health </w:t>
            </w:r>
            <w:r>
              <w:t>NZ</w:t>
            </w:r>
            <w:r w:rsidR="003642F2">
              <w:t>,</w:t>
            </w:r>
            <w:r w:rsidRPr="00F94764">
              <w:t xml:space="preserve"> New Zealand Mortality Collection</w:t>
            </w:r>
          </w:p>
        </w:tc>
        <w:tc>
          <w:tcPr>
            <w:tcW w:w="1927" w:type="dxa"/>
          </w:tcPr>
          <w:p w14:paraId="0B3F3273" w14:textId="1E5FA061" w:rsidR="00B41AAE" w:rsidRPr="00F94764" w:rsidRDefault="00B41AAE" w:rsidP="00F94764">
            <w:pPr>
              <w:pStyle w:val="Tabletext"/>
              <w:cnfStyle w:val="000000100000" w:firstRow="0" w:lastRow="0" w:firstColumn="0" w:lastColumn="0" w:oddVBand="0" w:evenVBand="0" w:oddHBand="1" w:evenHBand="0" w:firstRowFirstColumn="0" w:firstRowLastColumn="0" w:lastRowFirstColumn="0" w:lastRowLastColumn="0"/>
            </w:pPr>
            <w:r w:rsidRPr="00F94764">
              <w:t xml:space="preserve">Data available </w:t>
            </w:r>
            <w:r>
              <w:t xml:space="preserve">annually </w:t>
            </w:r>
            <w:r w:rsidRPr="00F94764">
              <w:t>and comparable over time</w:t>
            </w:r>
          </w:p>
        </w:tc>
        <w:tc>
          <w:tcPr>
            <w:tcW w:w="1928" w:type="dxa"/>
          </w:tcPr>
          <w:p w14:paraId="3C2F0393" w14:textId="6F9644AC" w:rsidR="00B41AAE" w:rsidRPr="00F94764" w:rsidRDefault="00B41AAE" w:rsidP="00F94764">
            <w:pPr>
              <w:pStyle w:val="Tabletext"/>
              <w:cnfStyle w:val="000000100000" w:firstRow="0" w:lastRow="0" w:firstColumn="0" w:lastColumn="0" w:oddVBand="0" w:evenVBand="0" w:oddHBand="1" w:evenHBand="0" w:firstRowFirstColumn="0" w:firstRowLastColumn="0" w:lastRowFirstColumn="0" w:lastRowLastColumn="0"/>
            </w:pPr>
            <w:r w:rsidRPr="00F94764">
              <w:t>Data available by ethnicity, sex, age group</w:t>
            </w:r>
          </w:p>
        </w:tc>
        <w:tc>
          <w:tcPr>
            <w:tcW w:w="2440" w:type="dxa"/>
          </w:tcPr>
          <w:p w14:paraId="451FD323" w14:textId="63AED99D" w:rsidR="00B41AAE" w:rsidRPr="00F94764" w:rsidRDefault="00B41AAE" w:rsidP="00F94764">
            <w:pPr>
              <w:pStyle w:val="Tabletext"/>
              <w:cnfStyle w:val="000000100000" w:firstRow="0" w:lastRow="0" w:firstColumn="0" w:lastColumn="0" w:oddVBand="0" w:evenVBand="0" w:oddHBand="1" w:evenHBand="0" w:firstRowFirstColumn="0" w:firstRowLastColumn="0" w:lastRowFirstColumn="0" w:lastRowLastColumn="0"/>
            </w:pPr>
            <w:r>
              <w:t>Include</w:t>
            </w:r>
          </w:p>
        </w:tc>
      </w:tr>
      <w:tr w:rsidR="00B41AAE" w:rsidRPr="00FE34E3" w14:paraId="1BAD0CDF" w14:textId="2CF72202" w:rsidTr="002C27AE">
        <w:trPr>
          <w:trHeight w:val="300"/>
        </w:trPr>
        <w:tc>
          <w:tcPr>
            <w:cnfStyle w:val="001000000000" w:firstRow="0" w:lastRow="0" w:firstColumn="1" w:lastColumn="0" w:oddVBand="0" w:evenVBand="0" w:oddHBand="0" w:evenHBand="0" w:firstRowFirstColumn="0" w:firstRowLastColumn="0" w:lastRowFirstColumn="0" w:lastRowLastColumn="0"/>
            <w:tcW w:w="2441" w:type="dxa"/>
            <w:noWrap/>
          </w:tcPr>
          <w:p w14:paraId="43736EF6" w14:textId="4B121A42" w:rsidR="00B41AAE" w:rsidRPr="00F94764" w:rsidRDefault="00B41AAE" w:rsidP="00F94764">
            <w:pPr>
              <w:pStyle w:val="Tabletext"/>
            </w:pPr>
            <w:r w:rsidRPr="00F94764">
              <w:t>Suspected self-inflicted death rate</w:t>
            </w:r>
          </w:p>
        </w:tc>
        <w:tc>
          <w:tcPr>
            <w:tcW w:w="4365" w:type="dxa"/>
            <w:noWrap/>
          </w:tcPr>
          <w:p w14:paraId="3E74A364" w14:textId="433285D5" w:rsidR="00B41AAE" w:rsidRPr="00F94764" w:rsidRDefault="00B41AAE" w:rsidP="00F94764">
            <w:pPr>
              <w:pStyle w:val="Tabletext"/>
              <w:cnfStyle w:val="000000000000" w:firstRow="0" w:lastRow="0" w:firstColumn="0" w:lastColumn="0" w:oddVBand="0" w:evenVBand="0" w:oddHBand="0" w:evenHBand="0" w:firstRowFirstColumn="0" w:firstRowLastColumn="0" w:lastRowFirstColumn="0" w:lastRowLastColumn="0"/>
            </w:pPr>
            <w:r w:rsidRPr="00F94764">
              <w:t>Age standardised rate of suspected self-inflicted death per 100,000 population</w:t>
            </w:r>
          </w:p>
        </w:tc>
        <w:tc>
          <w:tcPr>
            <w:tcW w:w="1758" w:type="dxa"/>
          </w:tcPr>
          <w:p w14:paraId="7E9FAE95" w14:textId="674045CA" w:rsidR="00B41AAE" w:rsidRPr="00F94764" w:rsidRDefault="00B41AAE" w:rsidP="00F94764">
            <w:pPr>
              <w:pStyle w:val="Tabletext"/>
              <w:cnfStyle w:val="000000000000" w:firstRow="0" w:lastRow="0" w:firstColumn="0" w:lastColumn="0" w:oddVBand="0" w:evenVBand="0" w:oddHBand="0" w:evenHBand="0" w:firstRowFirstColumn="0" w:firstRowLastColumn="0" w:lastRowFirstColumn="0" w:lastRowLastColumn="0"/>
            </w:pPr>
            <w:r w:rsidRPr="00F94764">
              <w:t xml:space="preserve">Health </w:t>
            </w:r>
            <w:proofErr w:type="gramStart"/>
            <w:r>
              <w:t>NZ</w:t>
            </w:r>
            <w:r w:rsidR="003642F2">
              <w:t xml:space="preserve">, </w:t>
            </w:r>
            <w:r w:rsidRPr="00F94764">
              <w:t xml:space="preserve"> Ministry</w:t>
            </w:r>
            <w:proofErr w:type="gramEnd"/>
            <w:r w:rsidRPr="00F94764">
              <w:t xml:space="preserve"> of Justice's case management system</w:t>
            </w:r>
          </w:p>
        </w:tc>
        <w:tc>
          <w:tcPr>
            <w:tcW w:w="1927" w:type="dxa"/>
          </w:tcPr>
          <w:p w14:paraId="32974EDE" w14:textId="17CDA4E6" w:rsidR="00B41AAE" w:rsidRPr="00F94764" w:rsidRDefault="00B41AAE" w:rsidP="00F94764">
            <w:pPr>
              <w:pStyle w:val="Tabletext"/>
              <w:cnfStyle w:val="000000000000" w:firstRow="0" w:lastRow="0" w:firstColumn="0" w:lastColumn="0" w:oddVBand="0" w:evenVBand="0" w:oddHBand="0" w:evenHBand="0" w:firstRowFirstColumn="0" w:firstRowLastColumn="0" w:lastRowFirstColumn="0" w:lastRowLastColumn="0"/>
            </w:pPr>
            <w:r w:rsidRPr="00F94764">
              <w:t xml:space="preserve">Data available </w:t>
            </w:r>
            <w:r>
              <w:t xml:space="preserve">annually </w:t>
            </w:r>
            <w:r w:rsidRPr="00F94764">
              <w:t>and comparable over time</w:t>
            </w:r>
          </w:p>
        </w:tc>
        <w:tc>
          <w:tcPr>
            <w:tcW w:w="1928" w:type="dxa"/>
          </w:tcPr>
          <w:p w14:paraId="3813FE5C" w14:textId="1796638A" w:rsidR="00B41AAE" w:rsidRPr="00F94764" w:rsidRDefault="00B41AAE" w:rsidP="00F94764">
            <w:pPr>
              <w:pStyle w:val="Tabletext"/>
              <w:cnfStyle w:val="000000000000" w:firstRow="0" w:lastRow="0" w:firstColumn="0" w:lastColumn="0" w:oddVBand="0" w:evenVBand="0" w:oddHBand="0" w:evenHBand="0" w:firstRowFirstColumn="0" w:firstRowLastColumn="0" w:lastRowFirstColumn="0" w:lastRowLastColumn="0"/>
            </w:pPr>
            <w:r w:rsidRPr="00F94764">
              <w:t>Data available by ethnicity, sex, age group</w:t>
            </w:r>
          </w:p>
        </w:tc>
        <w:tc>
          <w:tcPr>
            <w:tcW w:w="2440" w:type="dxa"/>
          </w:tcPr>
          <w:p w14:paraId="1FE07BB3" w14:textId="13035CCE" w:rsidR="00B41AAE" w:rsidRPr="00F94764" w:rsidRDefault="00B41AAE" w:rsidP="00F94764">
            <w:pPr>
              <w:pStyle w:val="Tabletext"/>
              <w:cnfStyle w:val="000000000000" w:firstRow="0" w:lastRow="0" w:firstColumn="0" w:lastColumn="0" w:oddVBand="0" w:evenVBand="0" w:oddHBand="0" w:evenHBand="0" w:firstRowFirstColumn="0" w:firstRowLastColumn="0" w:lastRowFirstColumn="0" w:lastRowLastColumn="0"/>
            </w:pPr>
            <w:r>
              <w:t>Include</w:t>
            </w:r>
          </w:p>
        </w:tc>
      </w:tr>
      <w:tr w:rsidR="00B41AAE" w:rsidRPr="00FC6301" w14:paraId="58B40F39" w14:textId="4723A941" w:rsidTr="002C27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1" w:type="dxa"/>
            <w:noWrap/>
          </w:tcPr>
          <w:p w14:paraId="743DDEDD" w14:textId="4D7AF8C9" w:rsidR="00B41AAE" w:rsidRPr="00F94764" w:rsidRDefault="00B41AAE" w:rsidP="005840BA">
            <w:pPr>
              <w:pStyle w:val="Tabletext"/>
            </w:pPr>
            <w:r>
              <w:t>Self-harm hospitalisation rate</w:t>
            </w:r>
          </w:p>
        </w:tc>
        <w:tc>
          <w:tcPr>
            <w:tcW w:w="4365" w:type="dxa"/>
            <w:noWrap/>
          </w:tcPr>
          <w:p w14:paraId="049BB6C8" w14:textId="63689515" w:rsidR="00B41AAE" w:rsidRPr="00F94764" w:rsidRDefault="00B41AAE" w:rsidP="005840BA">
            <w:pPr>
              <w:pStyle w:val="Tabletext"/>
              <w:cnfStyle w:val="000000100000" w:firstRow="0" w:lastRow="0" w:firstColumn="0" w:lastColumn="0" w:oddVBand="0" w:evenVBand="0" w:oddHBand="1" w:evenHBand="0" w:firstRowFirstColumn="0" w:firstRowLastColumn="0" w:lastRowFirstColumn="0" w:lastRowLastColumn="0"/>
            </w:pPr>
            <w:r w:rsidRPr="00747FAD">
              <w:t>Age standardised rate of non-fatal intentional self-harm hospitalisation per 100,000 population</w:t>
            </w:r>
            <w:r>
              <w:t xml:space="preserve"> </w:t>
            </w:r>
          </w:p>
        </w:tc>
        <w:tc>
          <w:tcPr>
            <w:tcW w:w="1758" w:type="dxa"/>
          </w:tcPr>
          <w:p w14:paraId="64BFB8BF" w14:textId="299E7AEC" w:rsidR="00B41AAE" w:rsidRPr="00F94764" w:rsidRDefault="00B41AAE" w:rsidP="005840BA">
            <w:pPr>
              <w:pStyle w:val="Tabletext"/>
              <w:cnfStyle w:val="000000100000" w:firstRow="0" w:lastRow="0" w:firstColumn="0" w:lastColumn="0" w:oddVBand="0" w:evenVBand="0" w:oddHBand="1" w:evenHBand="0" w:firstRowFirstColumn="0" w:firstRowLastColumn="0" w:lastRowFirstColumn="0" w:lastRowLastColumn="0"/>
            </w:pPr>
            <w:r>
              <w:t>Health NZ, National Minimum Data Set</w:t>
            </w:r>
          </w:p>
        </w:tc>
        <w:tc>
          <w:tcPr>
            <w:tcW w:w="1927" w:type="dxa"/>
          </w:tcPr>
          <w:p w14:paraId="2A1F6A07" w14:textId="6ED97AB8" w:rsidR="00B41AAE" w:rsidRPr="00F94764" w:rsidRDefault="00B41AAE" w:rsidP="005840BA">
            <w:pPr>
              <w:pStyle w:val="Tabletext"/>
              <w:cnfStyle w:val="000000100000" w:firstRow="0" w:lastRow="0" w:firstColumn="0" w:lastColumn="0" w:oddVBand="0" w:evenVBand="0" w:oddHBand="1" w:evenHBand="0" w:firstRowFirstColumn="0" w:firstRowLastColumn="0" w:lastRowFirstColumn="0" w:lastRowLastColumn="0"/>
            </w:pPr>
            <w:r w:rsidRPr="00F94764">
              <w:t xml:space="preserve">Data available </w:t>
            </w:r>
            <w:r>
              <w:t xml:space="preserve">annually </w:t>
            </w:r>
            <w:r w:rsidRPr="00F94764">
              <w:t>and comparable over time</w:t>
            </w:r>
          </w:p>
        </w:tc>
        <w:tc>
          <w:tcPr>
            <w:tcW w:w="1928" w:type="dxa"/>
          </w:tcPr>
          <w:p w14:paraId="123364F0" w14:textId="72BE9481" w:rsidR="00B41AAE" w:rsidRPr="00F94764" w:rsidRDefault="00B41AAE" w:rsidP="005840BA">
            <w:pPr>
              <w:pStyle w:val="Tabletext"/>
              <w:cnfStyle w:val="000000100000" w:firstRow="0" w:lastRow="0" w:firstColumn="0" w:lastColumn="0" w:oddVBand="0" w:evenVBand="0" w:oddHBand="1" w:evenHBand="0" w:firstRowFirstColumn="0" w:firstRowLastColumn="0" w:lastRowFirstColumn="0" w:lastRowLastColumn="0"/>
            </w:pPr>
            <w:r w:rsidRPr="00F94764">
              <w:t>Data available by ethnicity, sex, age group</w:t>
            </w:r>
          </w:p>
        </w:tc>
        <w:tc>
          <w:tcPr>
            <w:tcW w:w="2440" w:type="dxa"/>
          </w:tcPr>
          <w:p w14:paraId="3E210418" w14:textId="1E7E7D4A" w:rsidR="00B41AAE" w:rsidRPr="00F94764" w:rsidRDefault="00B41AAE" w:rsidP="005840BA">
            <w:pPr>
              <w:pStyle w:val="Tabletext"/>
              <w:cnfStyle w:val="000000100000" w:firstRow="0" w:lastRow="0" w:firstColumn="0" w:lastColumn="0" w:oddVBand="0" w:evenVBand="0" w:oddHBand="1" w:evenHBand="0" w:firstRowFirstColumn="0" w:firstRowLastColumn="0" w:lastRowFirstColumn="0" w:lastRowLastColumn="0"/>
            </w:pPr>
            <w:r>
              <w:t>Include</w:t>
            </w:r>
          </w:p>
        </w:tc>
      </w:tr>
      <w:tr w:rsidR="00B41AAE" w:rsidRPr="00FC6301" w14:paraId="4D26881D" w14:textId="2610BE8D" w:rsidTr="002C27AE">
        <w:trPr>
          <w:trHeight w:val="300"/>
        </w:trPr>
        <w:tc>
          <w:tcPr>
            <w:cnfStyle w:val="001000000000" w:firstRow="0" w:lastRow="0" w:firstColumn="1" w:lastColumn="0" w:oddVBand="0" w:evenVBand="0" w:oddHBand="0" w:evenHBand="0" w:firstRowFirstColumn="0" w:firstRowLastColumn="0" w:lastRowFirstColumn="0" w:lastRowLastColumn="0"/>
            <w:tcW w:w="2441" w:type="dxa"/>
            <w:noWrap/>
            <w:hideMark/>
          </w:tcPr>
          <w:p w14:paraId="7440376E" w14:textId="77777777" w:rsidR="00B41AAE" w:rsidRPr="00F94764" w:rsidRDefault="00B41AAE" w:rsidP="00F94764">
            <w:pPr>
              <w:pStyle w:val="Tabletext"/>
            </w:pPr>
            <w:r w:rsidRPr="00F94764">
              <w:t xml:space="preserve">ACC claims for self-harm injuries </w:t>
            </w:r>
          </w:p>
        </w:tc>
        <w:tc>
          <w:tcPr>
            <w:tcW w:w="4365" w:type="dxa"/>
            <w:noWrap/>
            <w:hideMark/>
          </w:tcPr>
          <w:p w14:paraId="0960443D" w14:textId="751EA8DB" w:rsidR="00B41AAE" w:rsidRPr="00F94764" w:rsidRDefault="00B41AAE" w:rsidP="00F94764">
            <w:pPr>
              <w:pStyle w:val="Tabletext"/>
              <w:cnfStyle w:val="000000000000" w:firstRow="0" w:lastRow="0" w:firstColumn="0" w:lastColumn="0" w:oddVBand="0" w:evenVBand="0" w:oddHBand="0" w:evenHBand="0" w:firstRowFirstColumn="0" w:firstRowLastColumn="0" w:lastRowFirstColumn="0" w:lastRowLastColumn="0"/>
            </w:pPr>
            <w:r w:rsidRPr="00F94764">
              <w:t>Number of self-harm claims and self-harm claims as a percentage of all ACC claims</w:t>
            </w:r>
          </w:p>
        </w:tc>
        <w:tc>
          <w:tcPr>
            <w:tcW w:w="1758" w:type="dxa"/>
          </w:tcPr>
          <w:p w14:paraId="5EE68111" w14:textId="75A58477" w:rsidR="00B41AAE" w:rsidRPr="00F94764" w:rsidRDefault="00B41AAE" w:rsidP="00F94764">
            <w:pPr>
              <w:pStyle w:val="Tabletext"/>
              <w:cnfStyle w:val="000000000000" w:firstRow="0" w:lastRow="0" w:firstColumn="0" w:lastColumn="0" w:oddVBand="0" w:evenVBand="0" w:oddHBand="0" w:evenHBand="0" w:firstRowFirstColumn="0" w:firstRowLastColumn="0" w:lastRowFirstColumn="0" w:lastRowLastColumn="0"/>
            </w:pPr>
            <w:r w:rsidRPr="00F94764">
              <w:t>ACC</w:t>
            </w:r>
          </w:p>
        </w:tc>
        <w:tc>
          <w:tcPr>
            <w:tcW w:w="1927" w:type="dxa"/>
          </w:tcPr>
          <w:p w14:paraId="4D256343" w14:textId="01C803A3" w:rsidR="00B41AAE" w:rsidRPr="00F94764" w:rsidRDefault="00B41AAE" w:rsidP="00F94764">
            <w:pPr>
              <w:pStyle w:val="Tabletext"/>
              <w:cnfStyle w:val="000000000000" w:firstRow="0" w:lastRow="0" w:firstColumn="0" w:lastColumn="0" w:oddVBand="0" w:evenVBand="0" w:oddHBand="0" w:evenHBand="0" w:firstRowFirstColumn="0" w:firstRowLastColumn="0" w:lastRowFirstColumn="0" w:lastRowLastColumn="0"/>
            </w:pPr>
            <w:r w:rsidRPr="00F94764">
              <w:t>Incomplete</w:t>
            </w:r>
          </w:p>
        </w:tc>
        <w:tc>
          <w:tcPr>
            <w:tcW w:w="1928" w:type="dxa"/>
          </w:tcPr>
          <w:p w14:paraId="10F8F44A" w14:textId="71403D02" w:rsidR="00B41AAE" w:rsidRPr="00F94764" w:rsidRDefault="00B41AAE" w:rsidP="00F94764">
            <w:pPr>
              <w:pStyle w:val="Tabletext"/>
              <w:cnfStyle w:val="000000000000" w:firstRow="0" w:lastRow="0" w:firstColumn="0" w:lastColumn="0" w:oddVBand="0" w:evenVBand="0" w:oddHBand="0" w:evenHBand="0" w:firstRowFirstColumn="0" w:firstRowLastColumn="0" w:lastRowFirstColumn="0" w:lastRowLastColumn="0"/>
            </w:pPr>
            <w:r w:rsidRPr="00F94764">
              <w:t>-</w:t>
            </w:r>
          </w:p>
        </w:tc>
        <w:tc>
          <w:tcPr>
            <w:tcW w:w="2440" w:type="dxa"/>
          </w:tcPr>
          <w:p w14:paraId="6B6AE509" w14:textId="7C13F910" w:rsidR="00B41AAE" w:rsidRPr="00F94764" w:rsidRDefault="00B41AAE" w:rsidP="00F94764">
            <w:pPr>
              <w:pStyle w:val="Tabletext"/>
              <w:cnfStyle w:val="000000000000" w:firstRow="0" w:lastRow="0" w:firstColumn="0" w:lastColumn="0" w:oddVBand="0" w:evenVBand="0" w:oddHBand="0" w:evenHBand="0" w:firstRowFirstColumn="0" w:firstRowLastColumn="0" w:lastRowFirstColumn="0" w:lastRowLastColumn="0"/>
            </w:pPr>
            <w:r>
              <w:t>Exclude</w:t>
            </w:r>
          </w:p>
        </w:tc>
      </w:tr>
      <w:tr w:rsidR="00B41AAE" w:rsidRPr="00FE34E3" w14:paraId="4290AD7E" w14:textId="56CB9527" w:rsidTr="002C27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1" w:type="dxa"/>
            <w:noWrap/>
            <w:hideMark/>
          </w:tcPr>
          <w:p w14:paraId="33417C94" w14:textId="30B4B85B" w:rsidR="00B41AAE" w:rsidRPr="00F94764" w:rsidRDefault="00B41AAE" w:rsidP="00F94764">
            <w:pPr>
              <w:pStyle w:val="Tabletext"/>
            </w:pPr>
            <w:r w:rsidRPr="00F94764">
              <w:t>Primary care self-harm encounters</w:t>
            </w:r>
          </w:p>
        </w:tc>
        <w:tc>
          <w:tcPr>
            <w:tcW w:w="4365" w:type="dxa"/>
            <w:noWrap/>
            <w:hideMark/>
          </w:tcPr>
          <w:p w14:paraId="7255043E" w14:textId="5C40193F" w:rsidR="00B41AAE" w:rsidRPr="00F94764" w:rsidRDefault="00B41AAE" w:rsidP="00F94764">
            <w:pPr>
              <w:pStyle w:val="Tabletext"/>
              <w:cnfStyle w:val="000000100000" w:firstRow="0" w:lastRow="0" w:firstColumn="0" w:lastColumn="0" w:oddVBand="0" w:evenVBand="0" w:oddHBand="1" w:evenHBand="0" w:firstRowFirstColumn="0" w:firstRowLastColumn="0" w:lastRowFirstColumn="0" w:lastRowLastColumn="0"/>
            </w:pPr>
            <w:r w:rsidRPr="00F94764">
              <w:t xml:space="preserve">Age standardised rate of new cases of self-harm in primary care per 100,000 population </w:t>
            </w:r>
          </w:p>
        </w:tc>
        <w:tc>
          <w:tcPr>
            <w:tcW w:w="1758" w:type="dxa"/>
          </w:tcPr>
          <w:p w14:paraId="4A531E91" w14:textId="7E5F3AC9" w:rsidR="00B41AAE" w:rsidRPr="00F94764" w:rsidRDefault="00B41AAE" w:rsidP="00F94764">
            <w:pPr>
              <w:pStyle w:val="Tabletext"/>
              <w:cnfStyle w:val="000000100000" w:firstRow="0" w:lastRow="0" w:firstColumn="0" w:lastColumn="0" w:oddVBand="0" w:evenVBand="0" w:oddHBand="1" w:evenHBand="0" w:firstRowFirstColumn="0" w:firstRowLastColumn="0" w:lastRowFirstColumn="0" w:lastRowLastColumn="0"/>
            </w:pPr>
            <w:r>
              <w:t>-</w:t>
            </w:r>
          </w:p>
        </w:tc>
        <w:tc>
          <w:tcPr>
            <w:tcW w:w="1927" w:type="dxa"/>
          </w:tcPr>
          <w:p w14:paraId="2CCF18BC" w14:textId="265F2E4D" w:rsidR="00B41AAE" w:rsidRPr="00F94764" w:rsidRDefault="00B41AAE" w:rsidP="00F94764">
            <w:pPr>
              <w:pStyle w:val="Tabletext"/>
              <w:cnfStyle w:val="000000100000" w:firstRow="0" w:lastRow="0" w:firstColumn="0" w:lastColumn="0" w:oddVBand="0" w:evenVBand="0" w:oddHBand="1" w:evenHBand="0" w:firstRowFirstColumn="0" w:firstRowLastColumn="0" w:lastRowFirstColumn="0" w:lastRowLastColumn="0"/>
            </w:pPr>
            <w:r>
              <w:t>-</w:t>
            </w:r>
          </w:p>
        </w:tc>
        <w:tc>
          <w:tcPr>
            <w:tcW w:w="1928" w:type="dxa"/>
          </w:tcPr>
          <w:p w14:paraId="69D09FD2" w14:textId="2C800E6D" w:rsidR="00B41AAE" w:rsidRPr="00F94764" w:rsidRDefault="00B41AAE" w:rsidP="00F94764">
            <w:pPr>
              <w:pStyle w:val="Tabletext"/>
              <w:cnfStyle w:val="000000100000" w:firstRow="0" w:lastRow="0" w:firstColumn="0" w:lastColumn="0" w:oddVBand="0" w:evenVBand="0" w:oddHBand="1" w:evenHBand="0" w:firstRowFirstColumn="0" w:firstRowLastColumn="0" w:lastRowFirstColumn="0" w:lastRowLastColumn="0"/>
            </w:pPr>
            <w:r>
              <w:t>-</w:t>
            </w:r>
          </w:p>
        </w:tc>
        <w:tc>
          <w:tcPr>
            <w:tcW w:w="2440" w:type="dxa"/>
          </w:tcPr>
          <w:p w14:paraId="5B25D8A0" w14:textId="23106A87" w:rsidR="00B41AAE" w:rsidRDefault="00B41AAE" w:rsidP="00F94764">
            <w:pPr>
              <w:pStyle w:val="Tabletext"/>
              <w:cnfStyle w:val="000000100000" w:firstRow="0" w:lastRow="0" w:firstColumn="0" w:lastColumn="0" w:oddVBand="0" w:evenVBand="0" w:oddHBand="1" w:evenHBand="0" w:firstRowFirstColumn="0" w:firstRowLastColumn="0" w:lastRowFirstColumn="0" w:lastRowLastColumn="0"/>
            </w:pPr>
            <w:r>
              <w:t>Exclude</w:t>
            </w:r>
          </w:p>
        </w:tc>
      </w:tr>
      <w:tr w:rsidR="00B41AAE" w:rsidRPr="00FE34E3" w14:paraId="495067CA" w14:textId="24C569D9" w:rsidTr="002C27AE">
        <w:trPr>
          <w:trHeight w:val="300"/>
        </w:trPr>
        <w:tc>
          <w:tcPr>
            <w:cnfStyle w:val="001000000000" w:firstRow="0" w:lastRow="0" w:firstColumn="1" w:lastColumn="0" w:oddVBand="0" w:evenVBand="0" w:oddHBand="0" w:evenHBand="0" w:firstRowFirstColumn="0" w:firstRowLastColumn="0" w:lastRowFirstColumn="0" w:lastRowLastColumn="0"/>
            <w:tcW w:w="2441" w:type="dxa"/>
            <w:noWrap/>
            <w:hideMark/>
          </w:tcPr>
          <w:p w14:paraId="6847ABE2" w14:textId="39DC7279" w:rsidR="00B41AAE" w:rsidRPr="00F94764" w:rsidRDefault="00B41AAE" w:rsidP="00F94764">
            <w:pPr>
              <w:pStyle w:val="Tabletext"/>
            </w:pPr>
            <w:r w:rsidRPr="00F94764">
              <w:t>Ambulance attendances for self-harm</w:t>
            </w:r>
          </w:p>
        </w:tc>
        <w:tc>
          <w:tcPr>
            <w:tcW w:w="4365" w:type="dxa"/>
            <w:noWrap/>
            <w:hideMark/>
          </w:tcPr>
          <w:p w14:paraId="2099DA17" w14:textId="1553AEF3" w:rsidR="00B41AAE" w:rsidRPr="00F94764" w:rsidRDefault="00B41AAE" w:rsidP="00F94764">
            <w:pPr>
              <w:pStyle w:val="Tabletext"/>
              <w:cnfStyle w:val="000000000000" w:firstRow="0" w:lastRow="0" w:firstColumn="0" w:lastColumn="0" w:oddVBand="0" w:evenVBand="0" w:oddHBand="0" w:evenHBand="0" w:firstRowFirstColumn="0" w:firstRowLastColumn="0" w:lastRowFirstColumn="0" w:lastRowLastColumn="0"/>
            </w:pPr>
            <w:r w:rsidRPr="00F94764">
              <w:t>Number of ambulance attendances for self-harm</w:t>
            </w:r>
          </w:p>
        </w:tc>
        <w:tc>
          <w:tcPr>
            <w:tcW w:w="1758" w:type="dxa"/>
          </w:tcPr>
          <w:p w14:paraId="635757FE" w14:textId="226889AD" w:rsidR="00B41AAE" w:rsidRPr="00F94764" w:rsidRDefault="00B41AAE" w:rsidP="00F94764">
            <w:pPr>
              <w:pStyle w:val="Tabletext"/>
              <w:cnfStyle w:val="000000000000" w:firstRow="0" w:lastRow="0" w:firstColumn="0" w:lastColumn="0" w:oddVBand="0" w:evenVBand="0" w:oddHBand="0" w:evenHBand="0" w:firstRowFirstColumn="0" w:firstRowLastColumn="0" w:lastRowFirstColumn="0" w:lastRowLastColumn="0"/>
            </w:pPr>
            <w:r w:rsidRPr="00F94764">
              <w:t>Ambulance services electronic patient care records (</w:t>
            </w:r>
            <w:proofErr w:type="spellStart"/>
            <w:r w:rsidRPr="00F94764">
              <w:t>ePCR</w:t>
            </w:r>
            <w:proofErr w:type="spellEnd"/>
            <w:r w:rsidRPr="00F94764">
              <w:t>)</w:t>
            </w:r>
          </w:p>
        </w:tc>
        <w:tc>
          <w:tcPr>
            <w:tcW w:w="1927" w:type="dxa"/>
          </w:tcPr>
          <w:p w14:paraId="5F313054" w14:textId="6BD9C879" w:rsidR="00B41AAE" w:rsidRPr="00F94764" w:rsidRDefault="00B41AAE" w:rsidP="00F94764">
            <w:pPr>
              <w:pStyle w:val="Tabletext"/>
              <w:cnfStyle w:val="000000000000" w:firstRow="0" w:lastRow="0" w:firstColumn="0" w:lastColumn="0" w:oddVBand="0" w:evenVBand="0" w:oddHBand="0" w:evenHBand="0" w:firstRowFirstColumn="0" w:firstRowLastColumn="0" w:lastRowFirstColumn="0" w:lastRowLastColumn="0"/>
            </w:pPr>
            <w:r w:rsidRPr="00F94764">
              <w:t xml:space="preserve">Data available </w:t>
            </w:r>
            <w:r>
              <w:t xml:space="preserve">annually </w:t>
            </w:r>
            <w:r w:rsidRPr="00F94764">
              <w:t>and comparable over time</w:t>
            </w:r>
          </w:p>
        </w:tc>
        <w:tc>
          <w:tcPr>
            <w:tcW w:w="1928" w:type="dxa"/>
          </w:tcPr>
          <w:p w14:paraId="4306EA0A" w14:textId="206E3510" w:rsidR="00B41AAE" w:rsidRPr="00F94764" w:rsidRDefault="00B41AAE" w:rsidP="00F94764">
            <w:pPr>
              <w:pStyle w:val="Tabletext"/>
              <w:cnfStyle w:val="000000000000" w:firstRow="0" w:lastRow="0" w:firstColumn="0" w:lastColumn="0" w:oddVBand="0" w:evenVBand="0" w:oddHBand="0" w:evenHBand="0" w:firstRowFirstColumn="0" w:firstRowLastColumn="0" w:lastRowFirstColumn="0" w:lastRowLastColumn="0"/>
            </w:pPr>
            <w:r w:rsidRPr="00F94764">
              <w:t>Data available by ethnicity, sex, age group</w:t>
            </w:r>
          </w:p>
        </w:tc>
        <w:tc>
          <w:tcPr>
            <w:tcW w:w="2440" w:type="dxa"/>
          </w:tcPr>
          <w:p w14:paraId="447A7A01" w14:textId="1F0537D5" w:rsidR="00B41AAE" w:rsidRPr="00F94764" w:rsidRDefault="00B41AAE" w:rsidP="00F94764">
            <w:pPr>
              <w:pStyle w:val="Tabletext"/>
              <w:cnfStyle w:val="000000000000" w:firstRow="0" w:lastRow="0" w:firstColumn="0" w:lastColumn="0" w:oddVBand="0" w:evenVBand="0" w:oddHBand="0" w:evenHBand="0" w:firstRowFirstColumn="0" w:firstRowLastColumn="0" w:lastRowFirstColumn="0" w:lastRowLastColumn="0"/>
            </w:pPr>
            <w:r>
              <w:t>Include</w:t>
            </w:r>
          </w:p>
        </w:tc>
      </w:tr>
      <w:tr w:rsidR="00B41AAE" w:rsidRPr="00FE34E3" w14:paraId="286B15F4" w14:textId="50BFC3CD" w:rsidTr="002C27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1" w:type="dxa"/>
            <w:noWrap/>
            <w:hideMark/>
          </w:tcPr>
          <w:p w14:paraId="2CAA9C81" w14:textId="329EC0FA" w:rsidR="00B41AAE" w:rsidRPr="00F94764" w:rsidRDefault="00B41AAE" w:rsidP="00F94764">
            <w:pPr>
              <w:pStyle w:val="Tabletext"/>
            </w:pPr>
            <w:r w:rsidRPr="00F94764">
              <w:t>Police attendances for crises</w:t>
            </w:r>
          </w:p>
        </w:tc>
        <w:tc>
          <w:tcPr>
            <w:tcW w:w="4365" w:type="dxa"/>
            <w:noWrap/>
            <w:hideMark/>
          </w:tcPr>
          <w:p w14:paraId="2842DED3" w14:textId="284108F3" w:rsidR="00B41AAE" w:rsidRPr="00F94764" w:rsidRDefault="00B41AAE" w:rsidP="00F94764">
            <w:pPr>
              <w:pStyle w:val="Tabletext"/>
              <w:cnfStyle w:val="000000100000" w:firstRow="0" w:lastRow="0" w:firstColumn="0" w:lastColumn="0" w:oddVBand="0" w:evenVBand="0" w:oddHBand="1" w:evenHBand="0" w:firstRowFirstColumn="0" w:firstRowLastColumn="0" w:lastRowFirstColumn="0" w:lastRowLastColumn="0"/>
            </w:pPr>
            <w:r w:rsidRPr="00F94764">
              <w:t xml:space="preserve">Number of 1X (threatens/attempts suicide) coded </w:t>
            </w:r>
            <w:r w:rsidR="00ED7E65">
              <w:t xml:space="preserve">responses to </w:t>
            </w:r>
            <w:r w:rsidRPr="00F94764">
              <w:t xml:space="preserve">call-outs </w:t>
            </w:r>
          </w:p>
        </w:tc>
        <w:tc>
          <w:tcPr>
            <w:tcW w:w="1758" w:type="dxa"/>
          </w:tcPr>
          <w:p w14:paraId="7EA74B10" w14:textId="5F99257C" w:rsidR="00B41AAE" w:rsidRPr="00F94764" w:rsidRDefault="00B41AAE" w:rsidP="00F94764">
            <w:pPr>
              <w:pStyle w:val="Tabletext"/>
              <w:cnfStyle w:val="000000100000" w:firstRow="0" w:lastRow="0" w:firstColumn="0" w:lastColumn="0" w:oddVBand="0" w:evenVBand="0" w:oddHBand="1" w:evenHBand="0" w:firstRowFirstColumn="0" w:firstRowLastColumn="0" w:lastRowFirstColumn="0" w:lastRowLastColumn="0"/>
            </w:pPr>
            <w:r w:rsidRPr="00F94764">
              <w:t>Police</w:t>
            </w:r>
          </w:p>
        </w:tc>
        <w:tc>
          <w:tcPr>
            <w:tcW w:w="1927" w:type="dxa"/>
          </w:tcPr>
          <w:p w14:paraId="245FDCDD" w14:textId="7105386E" w:rsidR="00B41AAE" w:rsidRPr="00F94764" w:rsidRDefault="00B41AAE" w:rsidP="00F94764">
            <w:pPr>
              <w:pStyle w:val="Tabletext"/>
              <w:cnfStyle w:val="000000100000" w:firstRow="0" w:lastRow="0" w:firstColumn="0" w:lastColumn="0" w:oddVBand="0" w:evenVBand="0" w:oddHBand="1" w:evenHBand="0" w:firstRowFirstColumn="0" w:firstRowLastColumn="0" w:lastRowFirstColumn="0" w:lastRowLastColumn="0"/>
            </w:pPr>
            <w:r w:rsidRPr="00F94764">
              <w:t xml:space="preserve">Data available </w:t>
            </w:r>
            <w:r>
              <w:t>annually</w:t>
            </w:r>
            <w:r w:rsidR="00523DAA">
              <w:t xml:space="preserve">. </w:t>
            </w:r>
            <w:r w:rsidR="007871F6">
              <w:t>Recent changes in response will affect comparison over time.</w:t>
            </w:r>
            <w:r>
              <w:t xml:space="preserve"> </w:t>
            </w:r>
          </w:p>
        </w:tc>
        <w:tc>
          <w:tcPr>
            <w:tcW w:w="1928" w:type="dxa"/>
          </w:tcPr>
          <w:p w14:paraId="17790332" w14:textId="02BB930E" w:rsidR="00B41AAE" w:rsidRPr="00F94764" w:rsidRDefault="00B41AAE" w:rsidP="00F94764">
            <w:pPr>
              <w:pStyle w:val="Tabletext"/>
              <w:cnfStyle w:val="000000100000" w:firstRow="0" w:lastRow="0" w:firstColumn="0" w:lastColumn="0" w:oddVBand="0" w:evenVBand="0" w:oddHBand="1" w:evenHBand="0" w:firstRowFirstColumn="0" w:firstRowLastColumn="0" w:lastRowFirstColumn="0" w:lastRowLastColumn="0"/>
            </w:pPr>
            <w:r>
              <w:t>Data not available by ethnicity, sex, age group</w:t>
            </w:r>
            <w:r w:rsidRPr="00F94764">
              <w:t xml:space="preserve"> </w:t>
            </w:r>
          </w:p>
        </w:tc>
        <w:tc>
          <w:tcPr>
            <w:tcW w:w="2440" w:type="dxa"/>
          </w:tcPr>
          <w:p w14:paraId="67C77B84" w14:textId="72A8A769" w:rsidR="00B41AAE" w:rsidRDefault="00721048" w:rsidP="00F94764">
            <w:pPr>
              <w:pStyle w:val="Tabletext"/>
              <w:cnfStyle w:val="000000100000" w:firstRow="0" w:lastRow="0" w:firstColumn="0" w:lastColumn="0" w:oddVBand="0" w:evenVBand="0" w:oddHBand="1" w:evenHBand="0" w:firstRowFirstColumn="0" w:firstRowLastColumn="0" w:lastRowFirstColumn="0" w:lastRowLastColumn="0"/>
            </w:pPr>
            <w:r>
              <w:t>Include</w:t>
            </w:r>
            <w:r w:rsidR="00963C1D">
              <w:t xml:space="preserve"> – noting that further work is </w:t>
            </w:r>
            <w:r w:rsidR="00D970F0">
              <w:t>needed</w:t>
            </w:r>
            <w:r w:rsidR="00963C1D">
              <w:t xml:space="preserve"> to confirm the suitability of this indicator.</w:t>
            </w:r>
            <w:r w:rsidR="00CF0DF1">
              <w:t xml:space="preserve"> </w:t>
            </w:r>
          </w:p>
        </w:tc>
      </w:tr>
    </w:tbl>
    <w:p w14:paraId="1C942E83" w14:textId="24101743" w:rsidR="00782B94" w:rsidRDefault="005677A8" w:rsidP="00884D70">
      <w:pPr>
        <w:pStyle w:val="Tablenote"/>
      </w:pPr>
      <w:r>
        <w:t>*</w:t>
      </w:r>
      <w:r w:rsidR="002740C2">
        <w:t>R</w:t>
      </w:r>
      <w:r w:rsidR="002740C2" w:rsidRPr="002740C2">
        <w:t xml:space="preserve">ates </w:t>
      </w:r>
      <w:r w:rsidR="002740C2">
        <w:t>for some variables may be</w:t>
      </w:r>
      <w:r w:rsidR="002740C2" w:rsidRPr="002740C2">
        <w:t xml:space="preserve"> suppressed </w:t>
      </w:r>
      <w:r w:rsidR="002740C2">
        <w:t>if</w:t>
      </w:r>
      <w:r w:rsidR="002740C2" w:rsidRPr="002740C2">
        <w:t xml:space="preserve"> based on very small numbers</w:t>
      </w:r>
      <w:r w:rsidR="002740C2">
        <w:t>. Data may also be available for other variables.</w:t>
      </w:r>
    </w:p>
    <w:p w14:paraId="7CECFABB" w14:textId="77777777" w:rsidR="0006020B" w:rsidRDefault="0006020B" w:rsidP="00884D70">
      <w:pPr>
        <w:pStyle w:val="Tablenote"/>
        <w:sectPr w:rsidR="0006020B" w:rsidSect="003642F2">
          <w:headerReference w:type="default" r:id="rId24"/>
          <w:pgSz w:w="16838" w:h="11906" w:orient="landscape"/>
          <w:pgMar w:top="1440" w:right="1440" w:bottom="1440" w:left="1440" w:header="708" w:footer="708" w:gutter="0"/>
          <w:cols w:space="708"/>
          <w:docGrid w:linePitch="360"/>
        </w:sectPr>
      </w:pPr>
    </w:p>
    <w:p w14:paraId="2C2E51C5" w14:textId="6725892F" w:rsidR="00FE34E3" w:rsidRPr="00D909EC" w:rsidRDefault="00FE34E3" w:rsidP="00884D70">
      <w:pPr>
        <w:pStyle w:val="Tablenote"/>
      </w:pPr>
    </w:p>
    <w:p w14:paraId="27914A9E" w14:textId="02B33C9F" w:rsidR="004C059F" w:rsidRDefault="00E35419" w:rsidP="00E01442">
      <w:pPr>
        <w:pStyle w:val="Heading2"/>
        <w:ind w:left="851" w:hanging="851"/>
      </w:pPr>
      <w:bookmarkStart w:id="10" w:name="_Toc208223386"/>
      <w:r>
        <w:t>S</w:t>
      </w:r>
      <w:r w:rsidR="004C059F" w:rsidRPr="00E11D3E">
        <w:t>ocial determinants</w:t>
      </w:r>
      <w:bookmarkEnd w:id="10"/>
      <w:r w:rsidR="004C059F" w:rsidRPr="00E11D3E">
        <w:t xml:space="preserve"> </w:t>
      </w:r>
    </w:p>
    <w:p w14:paraId="4B81230B" w14:textId="4E62AB3F" w:rsidR="003A5C4A" w:rsidRDefault="00C549CF" w:rsidP="004C059F">
      <w:r>
        <w:t xml:space="preserve">The </w:t>
      </w:r>
      <w:r w:rsidR="0042154A">
        <w:t>research</w:t>
      </w:r>
      <w:r>
        <w:t xml:space="preserve"> literature shows</w:t>
      </w:r>
      <w:r w:rsidR="004C059F" w:rsidRPr="00E11D3E">
        <w:t xml:space="preserve"> </w:t>
      </w:r>
      <w:r>
        <w:t xml:space="preserve">a relationship between </w:t>
      </w:r>
      <w:r w:rsidR="0042154A">
        <w:t>social determinants of health</w:t>
      </w:r>
      <w:r w:rsidR="00A91E23">
        <w:rPr>
          <w:rStyle w:val="FootnoteReference"/>
        </w:rPr>
        <w:footnoteReference w:id="11"/>
      </w:r>
      <w:r w:rsidR="00134887">
        <w:t xml:space="preserve"> </w:t>
      </w:r>
      <w:r w:rsidR="0042154A">
        <w:t>and suicide and self-harm</w:t>
      </w:r>
      <w:r w:rsidR="004C059F" w:rsidRPr="00E11D3E">
        <w:t xml:space="preserve"> </w:t>
      </w:r>
      <w:r w:rsidR="001B5942">
        <w:t>(</w:t>
      </w:r>
      <w:r w:rsidR="00324419">
        <w:t>Gallagher et al</w:t>
      </w:r>
      <w:r w:rsidR="00DA53DF">
        <w:t>.</w:t>
      </w:r>
      <w:r w:rsidR="00324419">
        <w:t xml:space="preserve"> 2025</w:t>
      </w:r>
      <w:r w:rsidR="001B5942">
        <w:t>)</w:t>
      </w:r>
      <w:r w:rsidR="000D1088">
        <w:t>.</w:t>
      </w:r>
      <w:r w:rsidR="00F32490">
        <w:t xml:space="preserve"> </w:t>
      </w:r>
      <w:r w:rsidR="000D1088">
        <w:t>Internationally, i</w:t>
      </w:r>
      <w:r w:rsidR="00A771A8">
        <w:t>ndigenous people</w:t>
      </w:r>
      <w:r w:rsidR="000D1088">
        <w:t>s</w:t>
      </w:r>
      <w:r w:rsidR="00A771A8">
        <w:t xml:space="preserve"> </w:t>
      </w:r>
      <w:r w:rsidR="00595DA8">
        <w:t>experienc</w:t>
      </w:r>
      <w:r w:rsidR="000D1088">
        <w:t>e</w:t>
      </w:r>
      <w:r w:rsidR="002D1C5A">
        <w:t xml:space="preserve"> </w:t>
      </w:r>
      <w:r w:rsidR="000D1088">
        <w:t>relatively</w:t>
      </w:r>
      <w:r w:rsidR="00643158">
        <w:t xml:space="preserve"> poorer social conditions </w:t>
      </w:r>
      <w:r w:rsidR="00F4117B">
        <w:t xml:space="preserve">and are </w:t>
      </w:r>
      <w:r w:rsidR="000D1088">
        <w:t xml:space="preserve">disproportionately </w:t>
      </w:r>
      <w:r w:rsidR="00F4117B">
        <w:t>affected by high rates of suicide and se</w:t>
      </w:r>
      <w:r w:rsidR="000D1088">
        <w:t>l</w:t>
      </w:r>
      <w:r w:rsidR="00F4117B">
        <w:t xml:space="preserve">f-harm (and other </w:t>
      </w:r>
      <w:r w:rsidR="000D1088">
        <w:t>negative</w:t>
      </w:r>
      <w:r w:rsidR="00F4117B">
        <w:t xml:space="preserve"> health outcomes)</w:t>
      </w:r>
      <w:r w:rsidR="000D1088">
        <w:t xml:space="preserve"> </w:t>
      </w:r>
      <w:r w:rsidR="00A771A8">
        <w:t xml:space="preserve">(WHO, 2025). </w:t>
      </w:r>
      <w:r w:rsidR="0011483F">
        <w:t>The</w:t>
      </w:r>
      <w:r w:rsidR="00F32490" w:rsidRPr="00E11D3E">
        <w:t xml:space="preserve"> relationship between </w:t>
      </w:r>
      <w:r w:rsidR="00F32490">
        <w:t>social determinants</w:t>
      </w:r>
      <w:r w:rsidR="00F32490" w:rsidRPr="00E11D3E">
        <w:t xml:space="preserve"> and suicide is complex</w:t>
      </w:r>
      <w:r w:rsidR="004E7417">
        <w:t>, but all factors</w:t>
      </w:r>
      <w:r w:rsidR="00660AE5">
        <w:t>,</w:t>
      </w:r>
      <w:r w:rsidR="004E7417">
        <w:t xml:space="preserve"> </w:t>
      </w:r>
      <w:r w:rsidR="00ED0093">
        <w:t>in some way</w:t>
      </w:r>
      <w:r w:rsidR="00660AE5">
        <w:t>,</w:t>
      </w:r>
      <w:r w:rsidR="00ED0093">
        <w:t xml:space="preserve"> reflect social determinants (</w:t>
      </w:r>
      <w:proofErr w:type="spellStart"/>
      <w:r w:rsidR="00ED0093">
        <w:t>Pirkis</w:t>
      </w:r>
      <w:proofErr w:type="spellEnd"/>
      <w:r w:rsidR="00ED0093">
        <w:t xml:space="preserve"> et al., </w:t>
      </w:r>
      <w:r w:rsidR="00BE2A3F">
        <w:t>2024</w:t>
      </w:r>
      <w:r w:rsidR="00221F2C">
        <w:t>)</w:t>
      </w:r>
      <w:r w:rsidR="005704F7">
        <w:t xml:space="preserve">. Indicators for the </w:t>
      </w:r>
      <w:r w:rsidR="00820B84">
        <w:t>selected social determinants</w:t>
      </w:r>
      <w:r w:rsidR="005704F7">
        <w:t xml:space="preserve"> discussed below are </w:t>
      </w:r>
      <w:r w:rsidR="00820B84">
        <w:t>listed</w:t>
      </w:r>
      <w:r w:rsidR="005704F7">
        <w:t xml:space="preserve"> in</w:t>
      </w:r>
      <w:r w:rsidR="00820B84">
        <w:t xml:space="preserve"> </w:t>
      </w:r>
      <w:r w:rsidR="00820B84">
        <w:fldChar w:fldCharType="begin"/>
      </w:r>
      <w:r w:rsidR="00820B84">
        <w:instrText xml:space="preserve"> REF _Ref201827275 \h </w:instrText>
      </w:r>
      <w:r w:rsidR="00820B84">
        <w:fldChar w:fldCharType="separate"/>
      </w:r>
      <w:r w:rsidR="00914243">
        <w:t xml:space="preserve">Table </w:t>
      </w:r>
      <w:r w:rsidR="00914243">
        <w:rPr>
          <w:noProof/>
        </w:rPr>
        <w:t>3</w:t>
      </w:r>
      <w:r w:rsidR="00820B84">
        <w:fldChar w:fldCharType="end"/>
      </w:r>
      <w:r w:rsidR="00820B84">
        <w:t>.</w:t>
      </w:r>
    </w:p>
    <w:p w14:paraId="45D3537A" w14:textId="62C3EF0F" w:rsidR="002635ED" w:rsidRDefault="002635ED" w:rsidP="00E01442">
      <w:pPr>
        <w:pStyle w:val="Heading3"/>
        <w:ind w:left="851" w:hanging="851"/>
      </w:pPr>
      <w:r w:rsidRPr="00604EC5">
        <w:t>Education</w:t>
      </w:r>
    </w:p>
    <w:p w14:paraId="58B2BACA" w14:textId="71BE997D" w:rsidR="002635ED" w:rsidRDefault="00A3179B" w:rsidP="002635ED">
      <w:r w:rsidRPr="006962FC">
        <w:t>Education engagement</w:t>
      </w:r>
      <w:r>
        <w:t xml:space="preserve"> </w:t>
      </w:r>
      <w:r w:rsidR="00B902F9">
        <w:t>and school belonging are</w:t>
      </w:r>
      <w:r w:rsidRPr="006962FC">
        <w:t xml:space="preserve"> protective factor</w:t>
      </w:r>
      <w:r w:rsidR="00B902F9">
        <w:t>s</w:t>
      </w:r>
      <w:r w:rsidRPr="006962FC">
        <w:t xml:space="preserve"> in youth suicide prevention</w:t>
      </w:r>
      <w:r w:rsidR="007626C2">
        <w:t xml:space="preserve">. </w:t>
      </w:r>
      <w:r w:rsidR="00844DA2">
        <w:t>Conversely, e</w:t>
      </w:r>
      <w:r w:rsidR="002635ED" w:rsidRPr="00390550">
        <w:t>arly school leaving</w:t>
      </w:r>
      <w:r w:rsidR="00CB2B16">
        <w:t>, absenteeism,</w:t>
      </w:r>
      <w:r w:rsidR="002635ED">
        <w:t xml:space="preserve"> </w:t>
      </w:r>
      <w:r w:rsidR="002635ED" w:rsidRPr="00390550">
        <w:t xml:space="preserve">and educational exclusion are linked with higher rates of </w:t>
      </w:r>
      <w:r w:rsidR="002635ED">
        <w:t xml:space="preserve">adolescent </w:t>
      </w:r>
      <w:r w:rsidR="00CB2B16">
        <w:t xml:space="preserve">self-harm and </w:t>
      </w:r>
      <w:r w:rsidR="002635ED" w:rsidRPr="00390550">
        <w:t>suicidal behavio</w:t>
      </w:r>
      <w:r w:rsidR="002635ED">
        <w:t>u</w:t>
      </w:r>
      <w:r w:rsidR="002635ED" w:rsidRPr="00390550">
        <w:t>r</w:t>
      </w:r>
      <w:r w:rsidR="002635ED">
        <w:t xml:space="preserve"> (</w:t>
      </w:r>
      <w:proofErr w:type="spellStart"/>
      <w:r w:rsidR="002635ED">
        <w:t>Castellví</w:t>
      </w:r>
      <w:proofErr w:type="spellEnd"/>
      <w:r w:rsidR="002635ED">
        <w:t xml:space="preserve"> et al., 2020; </w:t>
      </w:r>
      <w:r w:rsidR="007626C2">
        <w:t>Clark et al., 2022;</w:t>
      </w:r>
      <w:r w:rsidR="0053677D">
        <w:t xml:space="preserve"> </w:t>
      </w:r>
      <w:r w:rsidR="002635ED">
        <w:t>Diogu et al., 2025; Epstein et al., 2019</w:t>
      </w:r>
      <w:r w:rsidR="003F4D81">
        <w:t xml:space="preserve">; </w:t>
      </w:r>
      <w:r w:rsidR="00913611" w:rsidRPr="00913611">
        <w:t xml:space="preserve">Ngā Pou </w:t>
      </w:r>
      <w:proofErr w:type="spellStart"/>
      <w:r w:rsidR="00913611" w:rsidRPr="00913611">
        <w:t>Arawhenua</w:t>
      </w:r>
      <w:proofErr w:type="spellEnd"/>
      <w:r w:rsidR="00913611">
        <w:t xml:space="preserve"> et al, 2020</w:t>
      </w:r>
      <w:r w:rsidR="002635ED">
        <w:t xml:space="preserve">). </w:t>
      </w:r>
      <w:r w:rsidR="004C6278">
        <w:t xml:space="preserve">In New Zealand, Māori are more likely to be </w:t>
      </w:r>
      <w:r w:rsidR="000E29AB">
        <w:t>absent</w:t>
      </w:r>
      <w:r w:rsidR="00E12D51">
        <w:t xml:space="preserve"> (Ministry of Education, 2025)</w:t>
      </w:r>
      <w:r w:rsidR="000E29AB">
        <w:t xml:space="preserve">, </w:t>
      </w:r>
      <w:r w:rsidR="00E12D51">
        <w:t>leave school early (Ministry of Education, 202</w:t>
      </w:r>
      <w:r w:rsidR="005D42BF">
        <w:t>3</w:t>
      </w:r>
      <w:r w:rsidR="00384AF7">
        <w:t>)</w:t>
      </w:r>
      <w:r w:rsidR="00E12D51">
        <w:t xml:space="preserve">, and be </w:t>
      </w:r>
      <w:r w:rsidR="004C6278">
        <w:t xml:space="preserve">excluded from school (after controlling for variables associated with school exclusion) (Agnew et al., 2024). </w:t>
      </w:r>
      <w:r w:rsidR="002635ED">
        <w:t>Low education levels are associated with self-harm in young adults (post-school) (Lunde et al., 2020) and older adults (60+ years) (Troya et al., 2019).</w:t>
      </w:r>
      <w:r w:rsidR="0071390A">
        <w:t xml:space="preserve"> </w:t>
      </w:r>
    </w:p>
    <w:p w14:paraId="7485079B" w14:textId="2C87A816" w:rsidR="003F1EDF" w:rsidRDefault="003F1EDF" w:rsidP="002635ED">
      <w:r>
        <w:t xml:space="preserve">Internationally, </w:t>
      </w:r>
      <w:r w:rsidR="002D55C9">
        <w:t xml:space="preserve">adolescent </w:t>
      </w:r>
      <w:r w:rsidRPr="003F1EDF">
        <w:t>bullying victimi</w:t>
      </w:r>
      <w:r>
        <w:t>s</w:t>
      </w:r>
      <w:r w:rsidRPr="003F1EDF">
        <w:t>ation</w:t>
      </w:r>
      <w:r w:rsidR="00594151">
        <w:t xml:space="preserve"> (by another student</w:t>
      </w:r>
      <w:r w:rsidR="00123D8B">
        <w:t xml:space="preserve"> or students but not necessarily at school)</w:t>
      </w:r>
      <w:r w:rsidRPr="003F1EDF">
        <w:t xml:space="preserve"> </w:t>
      </w:r>
      <w:r>
        <w:t>is</w:t>
      </w:r>
      <w:r w:rsidRPr="003F1EDF">
        <w:t xml:space="preserve"> significantly associated with higher odds for a suicide attempt</w:t>
      </w:r>
      <w:r w:rsidR="002D55C9">
        <w:t xml:space="preserve"> (Koyan</w:t>
      </w:r>
      <w:r w:rsidR="001F59AE">
        <w:t xml:space="preserve">agi et al., 2019). </w:t>
      </w:r>
    </w:p>
    <w:p w14:paraId="3FF9929E" w14:textId="0B963B13" w:rsidR="002635ED" w:rsidRDefault="009F7AEA" w:rsidP="002635ED">
      <w:r>
        <w:t>Administrative</w:t>
      </w:r>
      <w:r w:rsidR="00363D8A">
        <w:t xml:space="preserve"> data </w:t>
      </w:r>
      <w:r>
        <w:t xml:space="preserve">is available </w:t>
      </w:r>
      <w:r w:rsidR="004D76AF">
        <w:t xml:space="preserve">annually </w:t>
      </w:r>
      <w:r w:rsidR="00EC386B">
        <w:t xml:space="preserve">(or </w:t>
      </w:r>
      <w:r w:rsidR="00AE3E52">
        <w:t xml:space="preserve">more often) </w:t>
      </w:r>
      <w:r>
        <w:t>to monitor</w:t>
      </w:r>
      <w:r w:rsidR="00363D8A">
        <w:t xml:space="preserve"> </w:t>
      </w:r>
      <w:r w:rsidR="006A7F7B">
        <w:t xml:space="preserve">early </w:t>
      </w:r>
      <w:r w:rsidR="00363D8A">
        <w:t xml:space="preserve">school </w:t>
      </w:r>
      <w:r w:rsidR="006A7F7B">
        <w:t>leaving, a</w:t>
      </w:r>
      <w:r w:rsidR="001E4715">
        <w:t xml:space="preserve">bsenteeism, and </w:t>
      </w:r>
      <w:r w:rsidR="00363D8A">
        <w:t xml:space="preserve">exclusions, and </w:t>
      </w:r>
      <w:r>
        <w:t>young people not in education, training or employment.</w:t>
      </w:r>
      <w:r w:rsidR="004B5E3F">
        <w:t xml:space="preserve"> </w:t>
      </w:r>
      <w:r w:rsidR="002635ED">
        <w:t xml:space="preserve">Data for </w:t>
      </w:r>
      <w:r w:rsidR="00A3179B">
        <w:t>the</w:t>
      </w:r>
      <w:r w:rsidR="004B5E3F">
        <w:t xml:space="preserve"> other</w:t>
      </w:r>
      <w:r w:rsidR="00A3179B">
        <w:t xml:space="preserve"> </w:t>
      </w:r>
      <w:r w:rsidR="0036219D">
        <w:t xml:space="preserve">youth-focused </w:t>
      </w:r>
      <w:r w:rsidR="00A3179B">
        <w:t>education related</w:t>
      </w:r>
      <w:r w:rsidR="002635ED">
        <w:t xml:space="preserve"> indicator</w:t>
      </w:r>
      <w:r w:rsidR="00A3179B">
        <w:t>s</w:t>
      </w:r>
      <w:r w:rsidR="002635ED">
        <w:t xml:space="preserve"> </w:t>
      </w:r>
      <w:r w:rsidR="00AE3E52">
        <w:t xml:space="preserve">(engagement and bullying) </w:t>
      </w:r>
      <w:r w:rsidR="00CE5496">
        <w:t>will</w:t>
      </w:r>
      <w:r w:rsidR="00266A55">
        <w:t xml:space="preserve"> come from </w:t>
      </w:r>
      <w:r w:rsidR="002635ED">
        <w:t xml:space="preserve">the </w:t>
      </w:r>
      <w:r w:rsidR="004D76AF">
        <w:t xml:space="preserve">three-yearly </w:t>
      </w:r>
      <w:r w:rsidR="002635ED">
        <w:t>Youth Health and Wellbeing Survey</w:t>
      </w:r>
      <w:r w:rsidR="007E7728">
        <w:t>.</w:t>
      </w:r>
      <w:r w:rsidR="00557EFD">
        <w:rPr>
          <w:rStyle w:val="FootnoteReference"/>
        </w:rPr>
        <w:footnoteReference w:id="12"/>
      </w:r>
      <w:r w:rsidR="002635ED">
        <w:t xml:space="preserve"> </w:t>
      </w:r>
      <w:r w:rsidR="0036219D">
        <w:t xml:space="preserve">Data for </w:t>
      </w:r>
      <w:r w:rsidR="00A35269">
        <w:t>an</w:t>
      </w:r>
      <w:r w:rsidR="009C73CC">
        <w:t xml:space="preserve"> adult education level</w:t>
      </w:r>
      <w:r w:rsidR="0036219D">
        <w:t xml:space="preserve"> indictor</w:t>
      </w:r>
      <w:r w:rsidR="009C73CC">
        <w:t xml:space="preserve"> </w:t>
      </w:r>
      <w:r w:rsidR="00A35269">
        <w:t>could come</w:t>
      </w:r>
      <w:r w:rsidR="0036219D">
        <w:t xml:space="preserve"> from Stats NZ’s Household Economic Survey.</w:t>
      </w:r>
      <w:r w:rsidR="00BC35BD">
        <w:t xml:space="preserve"> </w:t>
      </w:r>
      <w:proofErr w:type="gramStart"/>
      <w:r w:rsidR="00BC35BD">
        <w:t>However</w:t>
      </w:r>
      <w:proofErr w:type="gramEnd"/>
      <w:r w:rsidR="00BC35BD">
        <w:t xml:space="preserve"> thi</w:t>
      </w:r>
      <w:r w:rsidR="001C334D">
        <w:t>s indicator lacks sensitivity</w:t>
      </w:r>
      <w:r w:rsidR="0078312C">
        <w:t xml:space="preserve"> (</w:t>
      </w:r>
      <w:r w:rsidR="00DA1BD3">
        <w:t>that is, the aggregate education level of adults changes slowly over time)</w:t>
      </w:r>
      <w:r w:rsidR="00A35269">
        <w:t>.</w:t>
      </w:r>
      <w:r w:rsidR="001C334D">
        <w:t xml:space="preserve"> </w:t>
      </w:r>
    </w:p>
    <w:p w14:paraId="69087CA9" w14:textId="77777777" w:rsidR="002635ED" w:rsidRDefault="002635ED" w:rsidP="00E01442">
      <w:pPr>
        <w:pStyle w:val="Heading3"/>
        <w:tabs>
          <w:tab w:val="left" w:pos="851"/>
        </w:tabs>
        <w:ind w:left="851" w:hanging="851"/>
      </w:pPr>
      <w:r>
        <w:t>Unemployment</w:t>
      </w:r>
    </w:p>
    <w:p w14:paraId="6788E2E6" w14:textId="595AA560" w:rsidR="002635ED" w:rsidRDefault="002635ED" w:rsidP="002635ED">
      <w:r>
        <w:t>Amongst</w:t>
      </w:r>
      <w:r w:rsidRPr="00B61C21">
        <w:t xml:space="preserve"> social determinants </w:t>
      </w:r>
      <w:r>
        <w:t>relating to</w:t>
      </w:r>
      <w:r w:rsidRPr="00B61C21">
        <w:t xml:space="preserve"> suicide mortality</w:t>
      </w:r>
      <w:r w:rsidR="00894698">
        <w:t xml:space="preserve"> (of adults)</w:t>
      </w:r>
      <w:r>
        <w:t>,</w:t>
      </w:r>
      <w:r w:rsidRPr="00B61C21">
        <w:t xml:space="preserve"> </w:t>
      </w:r>
      <w:r>
        <w:t>much of the available</w:t>
      </w:r>
      <w:r w:rsidRPr="00B61C21">
        <w:t xml:space="preserve"> evidence relate</w:t>
      </w:r>
      <w:r>
        <w:t>s</w:t>
      </w:r>
      <w:r w:rsidRPr="00B61C21">
        <w:t xml:space="preserve"> to </w:t>
      </w:r>
      <w:r w:rsidRPr="00F90C4D">
        <w:t>unemployment and job insecurity (Gallagher, 2025). Unemployment is associated with increased odds of suicidality (Amiri</w:t>
      </w:r>
      <w:r w:rsidR="00AE0AEA">
        <w:t xml:space="preserve">, </w:t>
      </w:r>
      <w:r w:rsidRPr="00F90C4D">
        <w:t>202</w:t>
      </w:r>
      <w:r w:rsidR="0097377D">
        <w:t>1</w:t>
      </w:r>
      <w:r w:rsidRPr="00F90C4D">
        <w:t>) with long-term unemployment</w:t>
      </w:r>
      <w:r w:rsidR="00134887">
        <w:t xml:space="preserve"> </w:t>
      </w:r>
      <w:r w:rsidRPr="00F90C4D">
        <w:t>associated with a greater incidence of suicide (Milner et al.,</w:t>
      </w:r>
      <w:r>
        <w:t xml:space="preserve"> </w:t>
      </w:r>
      <w:r w:rsidRPr="00F90C4D">
        <w:t>2013).</w:t>
      </w:r>
      <w:r w:rsidR="003C6EB0">
        <w:t xml:space="preserve"> </w:t>
      </w:r>
      <w:r w:rsidR="00846EA5">
        <w:t xml:space="preserve">Data for our </w:t>
      </w:r>
      <w:r w:rsidR="00686FCA">
        <w:t>potential</w:t>
      </w:r>
      <w:r w:rsidR="00846EA5">
        <w:t xml:space="preserve"> indicator (the unemployment rate)</w:t>
      </w:r>
      <w:r>
        <w:t xml:space="preserve"> </w:t>
      </w:r>
      <w:r w:rsidR="00846EA5">
        <w:t>comes</w:t>
      </w:r>
      <w:r>
        <w:t xml:space="preserve"> from </w:t>
      </w:r>
      <w:r w:rsidR="00FB435A">
        <w:t>Stats NZ’s</w:t>
      </w:r>
      <w:r>
        <w:t xml:space="preserve"> continuous Household Labour Force Survey. </w:t>
      </w:r>
    </w:p>
    <w:p w14:paraId="5A8197EE" w14:textId="53607F42" w:rsidR="004E59F6" w:rsidRDefault="00B636FF" w:rsidP="00E01442">
      <w:pPr>
        <w:pStyle w:val="Heading3"/>
        <w:ind w:left="851" w:hanging="851"/>
      </w:pPr>
      <w:r>
        <w:lastRenderedPageBreak/>
        <w:t xml:space="preserve">Housing </w:t>
      </w:r>
      <w:r w:rsidR="0030245D">
        <w:t>deprivation</w:t>
      </w:r>
    </w:p>
    <w:p w14:paraId="5EEB0F58" w14:textId="42C58938" w:rsidR="005C1573" w:rsidRDefault="004C1980" w:rsidP="0021670F">
      <w:r>
        <w:t xml:space="preserve">In </w:t>
      </w:r>
      <w:r w:rsidR="00127260">
        <w:t>a</w:t>
      </w:r>
      <w:r>
        <w:t xml:space="preserve"> systematic review of</w:t>
      </w:r>
      <w:r w:rsidR="00F209D1">
        <w:t xml:space="preserve"> international studies of the health effects of housing unaffordability and foreclosure</w:t>
      </w:r>
      <w:r w:rsidR="00DB32CA">
        <w:t xml:space="preserve">, </w:t>
      </w:r>
      <w:r w:rsidR="00045724" w:rsidRPr="00FA0FB0">
        <w:t xml:space="preserve">Downing </w:t>
      </w:r>
      <w:r w:rsidR="00254A7E">
        <w:t>(</w:t>
      </w:r>
      <w:r w:rsidR="00045724" w:rsidRPr="00FA0FB0">
        <w:t>2016</w:t>
      </w:r>
      <w:r w:rsidR="00254A7E">
        <w:t>)</w:t>
      </w:r>
      <w:r w:rsidR="00045724" w:rsidRPr="00FA0FB0">
        <w:t xml:space="preserve"> </w:t>
      </w:r>
      <w:r w:rsidR="005D1B12">
        <w:t>concluded that</w:t>
      </w:r>
      <w:r w:rsidR="00045724" w:rsidRPr="00FA0FB0">
        <w:t xml:space="preserve"> housing unaffordability </w:t>
      </w:r>
      <w:r w:rsidR="005D1B12">
        <w:t xml:space="preserve">was </w:t>
      </w:r>
      <w:r w:rsidR="00045724" w:rsidRPr="00FA0FB0">
        <w:t>related to poorer self-reported health but not related to psych</w:t>
      </w:r>
      <w:r w:rsidR="005D1B12">
        <w:t>ological</w:t>
      </w:r>
      <w:r w:rsidR="00045724" w:rsidRPr="00FA0FB0">
        <w:t xml:space="preserve"> distress in the same way </w:t>
      </w:r>
      <w:r w:rsidR="00362C34">
        <w:t>as</w:t>
      </w:r>
      <w:r w:rsidR="00045724" w:rsidRPr="00FA0FB0">
        <w:t xml:space="preserve"> foreclosure</w:t>
      </w:r>
      <w:r w:rsidR="005D1B12">
        <w:t xml:space="preserve"> on a </w:t>
      </w:r>
      <w:r w:rsidR="00254A7E">
        <w:t>mortgage.</w:t>
      </w:r>
      <w:r w:rsidR="00990579">
        <w:t xml:space="preserve"> </w:t>
      </w:r>
      <w:r w:rsidR="00050EA9">
        <w:t>A later</w:t>
      </w:r>
      <w:r w:rsidR="005016D5">
        <w:t xml:space="preserve"> </w:t>
      </w:r>
      <w:r w:rsidR="0054679E">
        <w:t>systematic</w:t>
      </w:r>
      <w:r w:rsidR="005016D5">
        <w:t xml:space="preserve"> review of </w:t>
      </w:r>
      <w:r w:rsidR="0054679E">
        <w:t>studies</w:t>
      </w:r>
      <w:r w:rsidR="005016D5">
        <w:t xml:space="preserve"> </w:t>
      </w:r>
      <w:r w:rsidR="0054679E">
        <w:t xml:space="preserve">from OECD countries </w:t>
      </w:r>
      <w:r w:rsidR="005016D5">
        <w:t xml:space="preserve">exploring the association between </w:t>
      </w:r>
      <w:r w:rsidR="0054679E">
        <w:t>housing</w:t>
      </w:r>
      <w:r w:rsidR="005016D5">
        <w:t xml:space="preserve"> </w:t>
      </w:r>
      <w:r w:rsidR="0054679E">
        <w:t>insecurity</w:t>
      </w:r>
      <w:r w:rsidR="005016D5">
        <w:t xml:space="preserve"> and mental health among renters drew a </w:t>
      </w:r>
      <w:r w:rsidR="0054679E">
        <w:t>similar</w:t>
      </w:r>
      <w:r w:rsidR="005016D5">
        <w:t xml:space="preserve"> </w:t>
      </w:r>
      <w:r w:rsidR="00771063">
        <w:t>conclusion</w:t>
      </w:r>
      <w:r w:rsidR="00BB04FF">
        <w:t>, finding that ‘</w:t>
      </w:r>
      <w:r w:rsidR="00BB04FF" w:rsidRPr="00BB04FF">
        <w:t xml:space="preserve">the evidence for other mental health outcomes such as </w:t>
      </w:r>
      <w:r w:rsidR="00771063">
        <w:t>…</w:t>
      </w:r>
      <w:r w:rsidR="00BB04FF" w:rsidRPr="00BB04FF">
        <w:t xml:space="preserve">, suicidal ideation or </w:t>
      </w:r>
      <w:proofErr w:type="spellStart"/>
      <w:r w:rsidR="00BB04FF" w:rsidRPr="00BB04FF">
        <w:t>behavior</w:t>
      </w:r>
      <w:proofErr w:type="spellEnd"/>
      <w:r w:rsidR="00BB04FF" w:rsidRPr="00BB04FF">
        <w:t xml:space="preserve"> </w:t>
      </w:r>
      <w:r w:rsidR="00771063">
        <w:t>…</w:t>
      </w:r>
      <w:r w:rsidR="00BB04FF" w:rsidRPr="00BB04FF">
        <w:t xml:space="preserve"> was more limited and inconsistent</w:t>
      </w:r>
      <w:r w:rsidR="0066208A">
        <w:t>’</w:t>
      </w:r>
      <w:r w:rsidR="00BB04FF" w:rsidRPr="00BB04FF">
        <w:t xml:space="preserve"> </w:t>
      </w:r>
      <w:r w:rsidR="00BB04FF">
        <w:t>(</w:t>
      </w:r>
      <w:proofErr w:type="spellStart"/>
      <w:r w:rsidR="0054679E">
        <w:t>Talmatzky</w:t>
      </w:r>
      <w:proofErr w:type="spellEnd"/>
      <w:r w:rsidR="0054679E">
        <w:t xml:space="preserve"> et al</w:t>
      </w:r>
      <w:r w:rsidR="00A73FA9">
        <w:t>.,</w:t>
      </w:r>
      <w:r w:rsidR="0054679E">
        <w:t xml:space="preserve"> 2023</w:t>
      </w:r>
      <w:r w:rsidR="00266316">
        <w:t>, p.23</w:t>
      </w:r>
      <w:r w:rsidR="0054679E">
        <w:t>)</w:t>
      </w:r>
      <w:r w:rsidR="00771063">
        <w:t>.</w:t>
      </w:r>
    </w:p>
    <w:p w14:paraId="026BAF5B" w14:textId="04FD9AFD" w:rsidR="009555CD" w:rsidRDefault="00613B8C" w:rsidP="009555CD">
      <w:r w:rsidRPr="00AC0846">
        <w:t>People experiencing homelessness face significantly higher rates of suicidal ideation and attempts compared to the general population (Ayano et al.</w:t>
      </w:r>
      <w:r w:rsidR="00A73FA9">
        <w:t>,</w:t>
      </w:r>
      <w:r w:rsidRPr="00AC0846">
        <w:t xml:space="preserve"> 2019)</w:t>
      </w:r>
      <w:r w:rsidR="00A3526F">
        <w:t>.</w:t>
      </w:r>
      <w:r w:rsidR="009B286F">
        <w:t xml:space="preserve"> </w:t>
      </w:r>
      <w:r w:rsidR="00DD563B">
        <w:t>S</w:t>
      </w:r>
      <w:r w:rsidR="00DD563B" w:rsidRPr="001712A1">
        <w:t xml:space="preserve">everal </w:t>
      </w:r>
      <w:r w:rsidR="00DD563B">
        <w:t xml:space="preserve">large-scale </w:t>
      </w:r>
      <w:r w:rsidR="00DD563B" w:rsidRPr="001712A1">
        <w:t xml:space="preserve">studies, including </w:t>
      </w:r>
      <w:r w:rsidR="00DD563B" w:rsidRPr="00A20091">
        <w:t>from Canada (Hwang</w:t>
      </w:r>
      <w:r w:rsidR="00DD563B">
        <w:t xml:space="preserve"> et al., 2009; </w:t>
      </w:r>
      <w:proofErr w:type="spellStart"/>
      <w:r w:rsidR="00DD563B">
        <w:t>Sinyor</w:t>
      </w:r>
      <w:proofErr w:type="spellEnd"/>
      <w:r w:rsidR="00DD563B">
        <w:t xml:space="preserve"> et al. 2017)</w:t>
      </w:r>
      <w:r w:rsidR="00DD563B" w:rsidRPr="001712A1">
        <w:t xml:space="preserve">, </w:t>
      </w:r>
      <w:r w:rsidR="00DD563B">
        <w:t>and Denmark (Nilsson</w:t>
      </w:r>
      <w:r w:rsidR="00DD563B" w:rsidRPr="00390550">
        <w:t xml:space="preserve"> et al., 201</w:t>
      </w:r>
      <w:r w:rsidR="00DD563B">
        <w:t xml:space="preserve">4) </w:t>
      </w:r>
      <w:r w:rsidR="00DD563B" w:rsidRPr="001712A1">
        <w:t xml:space="preserve">demonstrate that homelessness and precarious housing are correlated with </w:t>
      </w:r>
      <w:r w:rsidR="00DD563B">
        <w:t>higher</w:t>
      </w:r>
      <w:r w:rsidR="00DD563B" w:rsidRPr="001712A1">
        <w:t xml:space="preserve"> rates of suicide and suicidal ideation</w:t>
      </w:r>
      <w:r w:rsidR="00DD563B">
        <w:t xml:space="preserve">. This appears to be related to the prevalence of co-occurring factors including substance misuse and mental illness. </w:t>
      </w:r>
      <w:r w:rsidR="009B286F">
        <w:t>However,</w:t>
      </w:r>
      <w:r w:rsidRPr="00AC0846">
        <w:t xml:space="preserve"> </w:t>
      </w:r>
      <w:proofErr w:type="spellStart"/>
      <w:r w:rsidR="00B10625">
        <w:t>Brackertz</w:t>
      </w:r>
      <w:proofErr w:type="spellEnd"/>
      <w:r w:rsidR="00B10625">
        <w:t xml:space="preserve"> (2020) notes t</w:t>
      </w:r>
      <w:r w:rsidR="00B10625" w:rsidRPr="001712A1">
        <w:t xml:space="preserve">he </w:t>
      </w:r>
      <w:r w:rsidR="00B10625">
        <w:t xml:space="preserve">small </w:t>
      </w:r>
      <w:r w:rsidR="00B10625" w:rsidRPr="001712A1">
        <w:t xml:space="preserve">evidence </w:t>
      </w:r>
      <w:r w:rsidR="00B10625">
        <w:t xml:space="preserve">base </w:t>
      </w:r>
      <w:r w:rsidR="00B10625" w:rsidRPr="001712A1">
        <w:t xml:space="preserve">on the links between homelessness and suicide. </w:t>
      </w:r>
    </w:p>
    <w:p w14:paraId="2FDB5A7B" w14:textId="48938A79" w:rsidR="00851A93" w:rsidRDefault="003079E2" w:rsidP="009555CD">
      <w:r>
        <w:t>In New Zealand, c</w:t>
      </w:r>
      <w:r w:rsidR="00BA3B01">
        <w:t xml:space="preserve">ensus data (five yearly) </w:t>
      </w:r>
      <w:r w:rsidR="00EF0AF3">
        <w:t xml:space="preserve">previously </w:t>
      </w:r>
      <w:r w:rsidR="006802CB">
        <w:t>provide</w:t>
      </w:r>
      <w:r w:rsidR="00EF0AF3">
        <w:t>d</w:t>
      </w:r>
      <w:r w:rsidR="006802CB">
        <w:t xml:space="preserve"> the most robust estimates</w:t>
      </w:r>
      <w:r w:rsidR="00D16222">
        <w:t xml:space="preserve"> of </w:t>
      </w:r>
      <w:r w:rsidR="005F343F">
        <w:t>housing deprivation</w:t>
      </w:r>
      <w:r w:rsidR="005F343F">
        <w:rPr>
          <w:rStyle w:val="FootnoteReference"/>
        </w:rPr>
        <w:footnoteReference w:id="13"/>
      </w:r>
      <w:r w:rsidR="006802CB">
        <w:t xml:space="preserve"> (</w:t>
      </w:r>
      <w:r w:rsidR="00A417E4">
        <w:t>Ministry of Housing and Urban Development</w:t>
      </w:r>
      <w:r w:rsidR="006802CB">
        <w:t>, 2025).</w:t>
      </w:r>
      <w:r w:rsidR="000D48CC">
        <w:t xml:space="preserve"> </w:t>
      </w:r>
      <w:r w:rsidR="004D32BD">
        <w:t>With the cessation of the census, it i</w:t>
      </w:r>
      <w:r w:rsidR="00A8385F">
        <w:t>s</w:t>
      </w:r>
      <w:r w:rsidR="004D32BD">
        <w:t xml:space="preserve"> not yet </w:t>
      </w:r>
      <w:r w:rsidR="00A8385F">
        <w:t>known</w:t>
      </w:r>
      <w:r w:rsidR="004D32BD">
        <w:t xml:space="preserve"> </w:t>
      </w:r>
      <w:r w:rsidR="00A8385F">
        <w:t xml:space="preserve">how or whether this data will be collected. </w:t>
      </w:r>
      <w:r w:rsidR="00CB7115">
        <w:t>Service data</w:t>
      </w:r>
      <w:r w:rsidR="006C4BDD">
        <w:t>,</w:t>
      </w:r>
      <w:r w:rsidR="00CB7115">
        <w:t xml:space="preserve"> such as applications </w:t>
      </w:r>
      <w:r w:rsidR="00787C65">
        <w:t>for social housing</w:t>
      </w:r>
      <w:r w:rsidR="006C4BDD">
        <w:t>,</w:t>
      </w:r>
      <w:r w:rsidR="00787C65">
        <w:t xml:space="preserve"> </w:t>
      </w:r>
      <w:r w:rsidR="00F25770">
        <w:t>does not measure homelessness.</w:t>
      </w:r>
      <w:r w:rsidR="00AC3D45">
        <w:t xml:space="preserve"> </w:t>
      </w:r>
      <w:r w:rsidR="005B5985">
        <w:t>Service data is also</w:t>
      </w:r>
      <w:r w:rsidR="003026E0" w:rsidRPr="003026E0">
        <w:t xml:space="preserve"> subject to shifting criteria for eligibility</w:t>
      </w:r>
      <w:r w:rsidR="004D258D">
        <w:t>.</w:t>
      </w:r>
    </w:p>
    <w:p w14:paraId="6FC448CD" w14:textId="018B7D7B" w:rsidR="0030639D" w:rsidRDefault="00CB671C" w:rsidP="00E01442">
      <w:pPr>
        <w:pStyle w:val="Heading3"/>
        <w:ind w:left="851" w:hanging="851"/>
      </w:pPr>
      <w:r>
        <w:t>Discrimination</w:t>
      </w:r>
    </w:p>
    <w:p w14:paraId="401AE789" w14:textId="389D26E8" w:rsidR="0013011A" w:rsidRPr="00F97051" w:rsidRDefault="000F0DD7" w:rsidP="006E7C59">
      <w:r>
        <w:t>Internationally, and in New Zealand, e</w:t>
      </w:r>
      <w:r w:rsidR="004B3603" w:rsidRPr="004B3603">
        <w:t xml:space="preserve">xperiences of </w:t>
      </w:r>
      <w:r w:rsidR="00B87B3A">
        <w:t xml:space="preserve">racial or ethnic </w:t>
      </w:r>
      <w:r w:rsidR="004B3603" w:rsidRPr="004B3603">
        <w:t>discrimination</w:t>
      </w:r>
      <w:r w:rsidR="00D3683D">
        <w:t xml:space="preserve"> – irrespective of the basis - </w:t>
      </w:r>
      <w:r w:rsidR="004B3603" w:rsidRPr="004B3603">
        <w:t xml:space="preserve">are associated with psychological distress, self-harm, and suicide risk, particularly among minority populations </w:t>
      </w:r>
      <w:r w:rsidR="00296F5B">
        <w:t>(</w:t>
      </w:r>
      <w:r w:rsidR="00BA0A15">
        <w:t>C</w:t>
      </w:r>
      <w:r w:rsidR="00654E80">
        <w:t xml:space="preserve">oimbra et al., 2022; </w:t>
      </w:r>
      <w:r w:rsidR="005A0066">
        <w:t xml:space="preserve">Goodwill et al., 2021; </w:t>
      </w:r>
      <w:proofErr w:type="spellStart"/>
      <w:r w:rsidR="00A548B7">
        <w:t>Tala</w:t>
      </w:r>
      <w:r>
        <w:t>maivao</w:t>
      </w:r>
      <w:proofErr w:type="spellEnd"/>
      <w:r>
        <w:t xml:space="preserve"> et al., 2020</w:t>
      </w:r>
      <w:r w:rsidR="004B3603" w:rsidRPr="004B3603">
        <w:t>)</w:t>
      </w:r>
      <w:r w:rsidR="00ED58DE">
        <w:t xml:space="preserve"> -</w:t>
      </w:r>
      <w:r w:rsidR="009A30FB">
        <w:t xml:space="preserve"> </w:t>
      </w:r>
      <w:r w:rsidR="009061C6">
        <w:t>including the Asian population in New Zealand (</w:t>
      </w:r>
      <w:r w:rsidR="009061C6" w:rsidRPr="006A4EA4">
        <w:t>Suicide Mortality Review Committee</w:t>
      </w:r>
      <w:r w:rsidR="009061C6">
        <w:t xml:space="preserve">, </w:t>
      </w:r>
      <w:r w:rsidR="009061C6" w:rsidRPr="006A4EA4">
        <w:t>2019</w:t>
      </w:r>
      <w:r w:rsidR="009061C6">
        <w:t>).</w:t>
      </w:r>
      <w:r w:rsidR="00C05399">
        <w:t xml:space="preserve"> </w:t>
      </w:r>
      <w:r w:rsidR="00F97051" w:rsidRPr="00F97051">
        <w:t>P</w:t>
      </w:r>
      <w:r w:rsidR="005673A5" w:rsidRPr="00F97051">
        <w:t xml:space="preserve">eople in sexual minority groups </w:t>
      </w:r>
      <w:r w:rsidR="00193FBD" w:rsidRPr="00F97051">
        <w:t>have higher rates of</w:t>
      </w:r>
      <w:r w:rsidR="005673A5" w:rsidRPr="00F97051">
        <w:t xml:space="preserve"> suicidal </w:t>
      </w:r>
      <w:r w:rsidR="00F97051" w:rsidRPr="00F97051">
        <w:t>thoughts and behaviour</w:t>
      </w:r>
      <w:r w:rsidR="00193FBD" w:rsidRPr="00F97051">
        <w:t xml:space="preserve"> </w:t>
      </w:r>
      <w:r w:rsidR="005673A5" w:rsidRPr="00F97051">
        <w:t xml:space="preserve">than heterosexual </w:t>
      </w:r>
      <w:r w:rsidR="00A40A0A" w:rsidRPr="00F97051">
        <w:t>young people</w:t>
      </w:r>
      <w:r w:rsidR="00C1694B" w:rsidRPr="00F97051">
        <w:t xml:space="preserve"> (</w:t>
      </w:r>
      <w:proofErr w:type="spellStart"/>
      <w:r w:rsidR="00F97051" w:rsidRPr="00F97051">
        <w:t>Turecki</w:t>
      </w:r>
      <w:proofErr w:type="spellEnd"/>
      <w:r w:rsidR="00F97051" w:rsidRPr="00F97051">
        <w:t xml:space="preserve"> and Brent, 2016; </w:t>
      </w:r>
      <w:r w:rsidR="00C1694B" w:rsidRPr="00F97051">
        <w:t>Yildiz, 2018)</w:t>
      </w:r>
      <w:r w:rsidR="005673A5" w:rsidRPr="00F97051">
        <w:t>.</w:t>
      </w:r>
      <w:r w:rsidR="00ED7F21" w:rsidRPr="00F97051">
        <w:t xml:space="preserve"> Discrimination associated with minority sexual orientation is </w:t>
      </w:r>
      <w:r w:rsidR="00CB72C8" w:rsidRPr="00F97051">
        <w:t>considered to at least partly explain this (Haas et al., 2010).</w:t>
      </w:r>
    </w:p>
    <w:p w14:paraId="4D4FEB63" w14:textId="189E9758" w:rsidR="006E7C59" w:rsidRDefault="00EA0EA6" w:rsidP="006E7C59">
      <w:r>
        <w:t xml:space="preserve">We monitor </w:t>
      </w:r>
      <w:r w:rsidR="0052175B">
        <w:t>discrimination</w:t>
      </w:r>
      <w:r>
        <w:t xml:space="preserve"> currently </w:t>
      </w:r>
      <w:r w:rsidR="008B06E7">
        <w:t>in</w:t>
      </w:r>
      <w:r w:rsidR="00D47838">
        <w:t xml:space="preserve"> our He Ara Oranga framework </w:t>
      </w:r>
      <w:r w:rsidR="008B06E7">
        <w:t>using</w:t>
      </w:r>
      <w:r>
        <w:t xml:space="preserve"> data from the </w:t>
      </w:r>
      <w:r w:rsidR="006313EB">
        <w:t xml:space="preserve">(previously) </w:t>
      </w:r>
      <w:r w:rsidR="00A75056">
        <w:t xml:space="preserve">biennial </w:t>
      </w:r>
      <w:r>
        <w:t>Genera</w:t>
      </w:r>
      <w:r w:rsidR="00D47838">
        <w:t>l</w:t>
      </w:r>
      <w:r>
        <w:t xml:space="preserve"> Social Survey</w:t>
      </w:r>
      <w:r w:rsidR="00A544D3">
        <w:t xml:space="preserve"> (</w:t>
      </w:r>
      <w:r w:rsidR="00AA5179">
        <w:t>t</w:t>
      </w:r>
      <w:r w:rsidR="00A544D3" w:rsidRPr="00BE37F7">
        <w:t xml:space="preserve">he </w:t>
      </w:r>
      <w:r w:rsidR="00A544D3">
        <w:t>percentage</w:t>
      </w:r>
      <w:r w:rsidR="00A544D3" w:rsidRPr="00BE37F7">
        <w:t xml:space="preserve"> of people who report experiencing discrimination in the last year</w:t>
      </w:r>
      <w:r w:rsidR="00A544D3">
        <w:t>)</w:t>
      </w:r>
      <w:r w:rsidR="00D47838">
        <w:t>.</w:t>
      </w:r>
      <w:r w:rsidR="00721430">
        <w:t xml:space="preserve"> </w:t>
      </w:r>
      <w:r w:rsidR="00FE1BEE">
        <w:t>T</w:t>
      </w:r>
      <w:r w:rsidR="000D7F15">
        <w:t xml:space="preserve">his </w:t>
      </w:r>
      <w:r w:rsidR="00FE1BEE">
        <w:t xml:space="preserve">survey </w:t>
      </w:r>
      <w:r w:rsidR="000D7F15">
        <w:t xml:space="preserve">collects data from 15+ year olds. </w:t>
      </w:r>
      <w:r w:rsidR="00721430">
        <w:t>However, S</w:t>
      </w:r>
      <w:r w:rsidR="00721430" w:rsidRPr="00721430">
        <w:t xml:space="preserve">tats NZ will not run the </w:t>
      </w:r>
      <w:r w:rsidR="00FB435A">
        <w:t>General Social Survey</w:t>
      </w:r>
      <w:r w:rsidR="00721430" w:rsidRPr="00721430">
        <w:t xml:space="preserve"> in 2025/2026 </w:t>
      </w:r>
      <w:r w:rsidR="00A75056">
        <w:t>as they are</w:t>
      </w:r>
      <w:r w:rsidR="00721430" w:rsidRPr="00721430">
        <w:t xml:space="preserve"> explor</w:t>
      </w:r>
      <w:r w:rsidR="00A75056">
        <w:t>ing</w:t>
      </w:r>
      <w:r w:rsidR="00721430" w:rsidRPr="00721430">
        <w:t xml:space="preserve"> other options for collecting wellbeing data.</w:t>
      </w:r>
      <w:r w:rsidR="00F36635">
        <w:t xml:space="preserve"> </w:t>
      </w:r>
      <w:r w:rsidR="00091114">
        <w:t xml:space="preserve">The New Zealand Health Survey periodically include a module on racial discrimination </w:t>
      </w:r>
      <w:r w:rsidR="0030205F">
        <w:t xml:space="preserve">for 15+ year olds. </w:t>
      </w:r>
      <w:r w:rsidR="000D574D">
        <w:t>For young</w:t>
      </w:r>
      <w:r w:rsidR="00E552E2">
        <w:t>er</w:t>
      </w:r>
      <w:r w:rsidR="000D574D">
        <w:t xml:space="preserve"> people, the </w:t>
      </w:r>
      <w:r w:rsidR="006865AD">
        <w:t>Youth Health and Wellbeing Survey</w:t>
      </w:r>
      <w:r w:rsidR="00E552E2">
        <w:t xml:space="preserve"> (</w:t>
      </w:r>
      <w:r w:rsidR="00A10321">
        <w:t>13–19-year-olds</w:t>
      </w:r>
      <w:r w:rsidR="00E552E2">
        <w:t>)</w:t>
      </w:r>
      <w:r w:rsidR="00D51978">
        <w:t xml:space="preserve"> </w:t>
      </w:r>
      <w:r w:rsidR="006865AD">
        <w:t xml:space="preserve">may be </w:t>
      </w:r>
      <w:r w:rsidR="001933C9">
        <w:t>a</w:t>
      </w:r>
      <w:r w:rsidR="006865AD">
        <w:t xml:space="preserve"> </w:t>
      </w:r>
      <w:r w:rsidR="006865AD">
        <w:lastRenderedPageBreak/>
        <w:t>source of data</w:t>
      </w:r>
      <w:r w:rsidR="0067286C">
        <w:t>;</w:t>
      </w:r>
      <w:r w:rsidR="006865AD">
        <w:t xml:space="preserve"> </w:t>
      </w:r>
      <w:r w:rsidR="001933C9">
        <w:t xml:space="preserve">this would </w:t>
      </w:r>
      <w:r w:rsidR="00131979">
        <w:t>be</w:t>
      </w:r>
      <w:r w:rsidR="0017339D">
        <w:t xml:space="preserve"> available </w:t>
      </w:r>
      <w:r w:rsidR="00131979">
        <w:t>three-yearly</w:t>
      </w:r>
      <w:r w:rsidR="000C1CAE">
        <w:t>.</w:t>
      </w:r>
      <w:r w:rsidR="00CF0DF1">
        <w:t xml:space="preserve"> </w:t>
      </w:r>
      <w:r w:rsidR="00C86E0C">
        <w:t>The</w:t>
      </w:r>
      <w:r w:rsidR="00905583">
        <w:t xml:space="preserve"> upcoming Child and Youth Mental Health </w:t>
      </w:r>
      <w:r w:rsidR="0074188D" w:rsidRPr="00134045">
        <w:t>and Addiction</w:t>
      </w:r>
      <w:r w:rsidR="0074188D" w:rsidRPr="00134045">
        <w:rPr>
          <w:rFonts w:ascii="Calibri" w:hAnsi="Calibri" w:cs="Calibri"/>
        </w:rPr>
        <w:t> </w:t>
      </w:r>
      <w:r w:rsidR="0074188D" w:rsidRPr="00134045">
        <w:t xml:space="preserve">Prevalence </w:t>
      </w:r>
      <w:r w:rsidR="00905583">
        <w:t>Study may be</w:t>
      </w:r>
      <w:r w:rsidR="00C86E0C">
        <w:t xml:space="preserve"> a source of data </w:t>
      </w:r>
      <w:r w:rsidR="00F63CEB">
        <w:t>about discrimination experienced by</w:t>
      </w:r>
      <w:r w:rsidR="00C86E0C">
        <w:t xml:space="preserve"> children.</w:t>
      </w:r>
    </w:p>
    <w:p w14:paraId="3972D142" w14:textId="77777777" w:rsidR="008913F1" w:rsidRDefault="008913F1" w:rsidP="00E01442">
      <w:pPr>
        <w:pStyle w:val="Heading3"/>
        <w:ind w:left="851" w:hanging="851"/>
      </w:pPr>
      <w:r>
        <w:t>Child poverty</w:t>
      </w:r>
    </w:p>
    <w:p w14:paraId="04D292D8" w14:textId="6F097B60" w:rsidR="008913F1" w:rsidRPr="00A462B6" w:rsidRDefault="00E75680" w:rsidP="008913F1">
      <w:r>
        <w:t>S</w:t>
      </w:r>
      <w:r w:rsidR="00DA116D" w:rsidRPr="00DA116D">
        <w:t>uicide is associated with economic deprivation</w:t>
      </w:r>
      <w:r w:rsidR="005C1DD9">
        <w:t xml:space="preserve"> (</w:t>
      </w:r>
      <w:r>
        <w:t xml:space="preserve">Gibson et al., 2017). </w:t>
      </w:r>
      <w:r w:rsidR="008913F1">
        <w:t xml:space="preserve">Research </w:t>
      </w:r>
      <w:r>
        <w:t xml:space="preserve">also </w:t>
      </w:r>
      <w:r w:rsidR="008913F1">
        <w:t>suggests an association between economic deprivation and children and adolescents self-harming</w:t>
      </w:r>
      <w:r w:rsidR="00602287">
        <w:t xml:space="preserve"> (</w:t>
      </w:r>
      <w:proofErr w:type="spellStart"/>
      <w:r w:rsidR="002A1D90">
        <w:t>Lodebo</w:t>
      </w:r>
      <w:proofErr w:type="spellEnd"/>
      <w:r w:rsidR="002A1D90">
        <w:t xml:space="preserve"> et al., 2017</w:t>
      </w:r>
      <w:r w:rsidR="008913F1">
        <w:t>)</w:t>
      </w:r>
      <w:r w:rsidR="008913F1" w:rsidRPr="002D69AD">
        <w:t xml:space="preserve">. This association is stronger in those experiencing consistently lower </w:t>
      </w:r>
      <w:r w:rsidR="008913F1">
        <w:t>parental socioeconomic position</w:t>
      </w:r>
      <w:r w:rsidR="008913F1" w:rsidRPr="00D61FBB">
        <w:t xml:space="preserve"> </w:t>
      </w:r>
      <w:r w:rsidR="008913F1">
        <w:t xml:space="preserve">(Hoffman, et al., 2020; Page et al., 2013). </w:t>
      </w:r>
      <w:r w:rsidR="005C21AC">
        <w:t xml:space="preserve"> </w:t>
      </w:r>
    </w:p>
    <w:p w14:paraId="58A20DD0" w14:textId="2CBA5FB1" w:rsidR="00263CEC" w:rsidRDefault="00B816B6" w:rsidP="008913F1">
      <w:pPr>
        <w:sectPr w:rsidR="00263CEC" w:rsidSect="00435A1E">
          <w:headerReference w:type="default" r:id="rId25"/>
          <w:pgSz w:w="11906" w:h="16838"/>
          <w:pgMar w:top="1440" w:right="1440" w:bottom="1440" w:left="1440" w:header="708" w:footer="708" w:gutter="0"/>
          <w:cols w:space="708"/>
          <w:docGrid w:linePitch="360"/>
        </w:sectPr>
      </w:pPr>
      <w:r>
        <w:t>Our potential</w:t>
      </w:r>
      <w:r w:rsidR="008913F1" w:rsidRPr="00BE612F">
        <w:t xml:space="preserve"> </w:t>
      </w:r>
      <w:r w:rsidR="008913F1">
        <w:t>indicator</w:t>
      </w:r>
      <w:r w:rsidR="00EC0ED7">
        <w:t>s</w:t>
      </w:r>
      <w:r w:rsidR="008913F1" w:rsidRPr="00BE612F">
        <w:t xml:space="preserve"> of child poverty</w:t>
      </w:r>
      <w:r w:rsidR="008913F1">
        <w:t xml:space="preserve"> </w:t>
      </w:r>
      <w:r w:rsidR="0088115D">
        <w:t>are</w:t>
      </w:r>
      <w:r w:rsidR="008913F1">
        <w:t xml:space="preserve"> the p</w:t>
      </w:r>
      <w:r w:rsidR="008913F1" w:rsidRPr="00D07B0C">
        <w:t>ercentage of children living in households with less than 50</w:t>
      </w:r>
      <w:r w:rsidR="00095354">
        <w:t xml:space="preserve"> percent</w:t>
      </w:r>
      <w:r w:rsidR="008913F1">
        <w:t xml:space="preserve"> </w:t>
      </w:r>
      <w:r w:rsidR="008913F1" w:rsidRPr="00D07B0C">
        <w:t>of the median equivalised disposable household income before</w:t>
      </w:r>
      <w:r w:rsidR="0088115D">
        <w:t xml:space="preserve"> and after</w:t>
      </w:r>
      <w:r w:rsidR="008913F1" w:rsidRPr="00D07B0C">
        <w:t xml:space="preserve"> housing costs are deducted</w:t>
      </w:r>
      <w:r w:rsidR="008913F1">
        <w:t>. Th</w:t>
      </w:r>
      <w:r w:rsidR="0088115D">
        <w:t>ese</w:t>
      </w:r>
      <w:r w:rsidR="008913F1">
        <w:t xml:space="preserve"> indicator</w:t>
      </w:r>
      <w:r w:rsidR="0088115D">
        <w:t>s</w:t>
      </w:r>
      <w:r w:rsidR="008913F1">
        <w:t xml:space="preserve"> use data from Stats NZ’s cross-sectional Household Economic Survey.</w:t>
      </w:r>
      <w:r w:rsidR="008913F1">
        <w:rPr>
          <w:rStyle w:val="FootnoteReference"/>
        </w:rPr>
        <w:footnoteReference w:id="14"/>
      </w:r>
      <w:r w:rsidR="008913F1">
        <w:t xml:space="preserve"> While data from the HES does not reflect cumulative patterns of poverty, or all mediating factors, it does usefully track child poverty.</w:t>
      </w:r>
      <w:r w:rsidR="00095354">
        <w:t xml:space="preserve"> </w:t>
      </w:r>
    </w:p>
    <w:p w14:paraId="48A6936E" w14:textId="55BEDA9B" w:rsidR="008913F1" w:rsidRPr="006962FC" w:rsidRDefault="008913F1" w:rsidP="008913F1"/>
    <w:p w14:paraId="2A5F5A91" w14:textId="691A0ECC" w:rsidR="00417FED" w:rsidRDefault="00417FED" w:rsidP="00417FED">
      <w:pPr>
        <w:pStyle w:val="Caption"/>
      </w:pPr>
      <w:bookmarkStart w:id="11" w:name="_Ref201827275"/>
      <w:r>
        <w:t xml:space="preserve">Table </w:t>
      </w:r>
      <w:r w:rsidR="007742C8">
        <w:fldChar w:fldCharType="begin"/>
      </w:r>
      <w:r w:rsidR="007742C8">
        <w:instrText xml:space="preserve"> SEQ Table \* ARABIC </w:instrText>
      </w:r>
      <w:r w:rsidR="007742C8">
        <w:fldChar w:fldCharType="separate"/>
      </w:r>
      <w:r w:rsidR="00914243">
        <w:rPr>
          <w:noProof/>
        </w:rPr>
        <w:t>3</w:t>
      </w:r>
      <w:r w:rsidR="007742C8">
        <w:rPr>
          <w:noProof/>
        </w:rPr>
        <w:fldChar w:fldCharType="end"/>
      </w:r>
      <w:bookmarkEnd w:id="11"/>
      <w:r>
        <w:t xml:space="preserve">: Potential </w:t>
      </w:r>
      <w:r w:rsidR="00C4170F">
        <w:t xml:space="preserve">indicators of social determinants of suicide and self-harm </w:t>
      </w:r>
    </w:p>
    <w:tbl>
      <w:tblPr>
        <w:tblStyle w:val="PlainTable2"/>
        <w:tblW w:w="14072" w:type="dxa"/>
        <w:tblLayout w:type="fixed"/>
        <w:tblLook w:val="04A0" w:firstRow="1" w:lastRow="0" w:firstColumn="1" w:lastColumn="0" w:noHBand="0" w:noVBand="1"/>
      </w:tblPr>
      <w:tblGrid>
        <w:gridCol w:w="1644"/>
        <w:gridCol w:w="5058"/>
        <w:gridCol w:w="1833"/>
        <w:gridCol w:w="1833"/>
        <w:gridCol w:w="1833"/>
        <w:gridCol w:w="1871"/>
      </w:tblGrid>
      <w:tr w:rsidR="005D4F94" w:rsidRPr="00BE37F7" w14:paraId="64348232" w14:textId="3D6E92B4" w:rsidTr="00C4376D">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644" w:type="dxa"/>
            <w:noWrap/>
          </w:tcPr>
          <w:p w14:paraId="2A8E0624" w14:textId="3E248543" w:rsidR="005D4F94" w:rsidRPr="00DA7D37" w:rsidRDefault="002C7678" w:rsidP="00795717">
            <w:pPr>
              <w:pStyle w:val="Tabletext"/>
              <w:rPr>
                <w:szCs w:val="20"/>
              </w:rPr>
            </w:pPr>
            <w:r>
              <w:rPr>
                <w:szCs w:val="20"/>
              </w:rPr>
              <w:t>Indicator</w:t>
            </w:r>
          </w:p>
        </w:tc>
        <w:tc>
          <w:tcPr>
            <w:tcW w:w="5058" w:type="dxa"/>
            <w:noWrap/>
          </w:tcPr>
          <w:p w14:paraId="258E6E91" w14:textId="39077563" w:rsidR="005D4F94" w:rsidRPr="00DA7D37" w:rsidRDefault="0076399E" w:rsidP="00795717">
            <w:pPr>
              <w:pStyle w:val="Tabletext"/>
              <w:cnfStyle w:val="100000000000" w:firstRow="1" w:lastRow="0" w:firstColumn="0" w:lastColumn="0" w:oddVBand="0" w:evenVBand="0" w:oddHBand="0" w:evenHBand="0" w:firstRowFirstColumn="0" w:firstRowLastColumn="0" w:lastRowFirstColumn="0" w:lastRowLastColumn="0"/>
              <w:rPr>
                <w:szCs w:val="20"/>
              </w:rPr>
            </w:pPr>
            <w:r>
              <w:rPr>
                <w:szCs w:val="20"/>
              </w:rPr>
              <w:t>Definition</w:t>
            </w:r>
          </w:p>
        </w:tc>
        <w:tc>
          <w:tcPr>
            <w:tcW w:w="1833" w:type="dxa"/>
          </w:tcPr>
          <w:p w14:paraId="1127B890" w14:textId="5101BF84" w:rsidR="005D4F94" w:rsidRPr="00DA7D37" w:rsidRDefault="005D4F94" w:rsidP="00795717">
            <w:pPr>
              <w:pStyle w:val="Tabletext"/>
              <w:cnfStyle w:val="100000000000" w:firstRow="1" w:lastRow="0" w:firstColumn="0" w:lastColumn="0" w:oddVBand="0" w:evenVBand="0" w:oddHBand="0" w:evenHBand="0" w:firstRowFirstColumn="0" w:firstRowLastColumn="0" w:lastRowFirstColumn="0" w:lastRowLastColumn="0"/>
              <w:rPr>
                <w:szCs w:val="20"/>
              </w:rPr>
            </w:pPr>
            <w:r w:rsidRPr="00DA7D37">
              <w:rPr>
                <w:szCs w:val="20"/>
              </w:rPr>
              <w:t>Data source</w:t>
            </w:r>
          </w:p>
        </w:tc>
        <w:tc>
          <w:tcPr>
            <w:tcW w:w="1833" w:type="dxa"/>
          </w:tcPr>
          <w:p w14:paraId="22A410BF" w14:textId="155F95A9" w:rsidR="005D4F94" w:rsidRPr="00DA7D37" w:rsidRDefault="005D4F94" w:rsidP="00795717">
            <w:pPr>
              <w:pStyle w:val="Tabletext"/>
              <w:cnfStyle w:val="100000000000" w:firstRow="1" w:lastRow="0" w:firstColumn="0" w:lastColumn="0" w:oddVBand="0" w:evenVBand="0" w:oddHBand="0" w:evenHBand="0" w:firstRowFirstColumn="0" w:firstRowLastColumn="0" w:lastRowFirstColumn="0" w:lastRowLastColumn="0"/>
              <w:rPr>
                <w:szCs w:val="20"/>
              </w:rPr>
            </w:pPr>
            <w:r w:rsidRPr="00DA7D37">
              <w:rPr>
                <w:szCs w:val="20"/>
              </w:rPr>
              <w:t>Data quality</w:t>
            </w:r>
          </w:p>
        </w:tc>
        <w:tc>
          <w:tcPr>
            <w:tcW w:w="1833" w:type="dxa"/>
          </w:tcPr>
          <w:p w14:paraId="7D5E1098" w14:textId="26110067" w:rsidR="005D4F94" w:rsidRPr="00DA7D37" w:rsidRDefault="005D4F94" w:rsidP="00795717">
            <w:pPr>
              <w:pStyle w:val="Tabletext"/>
              <w:cnfStyle w:val="100000000000" w:firstRow="1" w:lastRow="0" w:firstColumn="0" w:lastColumn="0" w:oddVBand="0" w:evenVBand="0" w:oddHBand="0" w:evenHBand="0" w:firstRowFirstColumn="0" w:firstRowLastColumn="0" w:lastRowFirstColumn="0" w:lastRowLastColumn="0"/>
              <w:rPr>
                <w:szCs w:val="20"/>
              </w:rPr>
            </w:pPr>
            <w:r w:rsidRPr="00DA7D37">
              <w:rPr>
                <w:szCs w:val="20"/>
              </w:rPr>
              <w:t>Population sensitivity</w:t>
            </w:r>
          </w:p>
        </w:tc>
        <w:tc>
          <w:tcPr>
            <w:tcW w:w="1871" w:type="dxa"/>
          </w:tcPr>
          <w:p w14:paraId="55FED80F" w14:textId="31E7ECA8" w:rsidR="005D4F94" w:rsidRPr="00DA7D37" w:rsidRDefault="005D4F94" w:rsidP="00795717">
            <w:pPr>
              <w:pStyle w:val="Tabletext"/>
              <w:cnfStyle w:val="100000000000" w:firstRow="1" w:lastRow="0" w:firstColumn="0" w:lastColumn="0" w:oddVBand="0" w:evenVBand="0" w:oddHBand="0" w:evenHBand="0" w:firstRowFirstColumn="0" w:firstRowLastColumn="0" w:lastRowFirstColumn="0" w:lastRowLastColumn="0"/>
              <w:rPr>
                <w:szCs w:val="20"/>
              </w:rPr>
            </w:pPr>
            <w:r w:rsidRPr="00DA7D37">
              <w:rPr>
                <w:szCs w:val="20"/>
              </w:rPr>
              <w:t>Recommend</w:t>
            </w:r>
            <w:r w:rsidR="00C4376D">
              <w:rPr>
                <w:szCs w:val="20"/>
              </w:rPr>
              <w:t>ation</w:t>
            </w:r>
            <w:r w:rsidRPr="00DA7D37">
              <w:rPr>
                <w:szCs w:val="20"/>
              </w:rPr>
              <w:t xml:space="preserve"> </w:t>
            </w:r>
          </w:p>
        </w:tc>
      </w:tr>
      <w:tr w:rsidR="002B7CE2" w:rsidRPr="00BE37F7" w14:paraId="72091B17" w14:textId="7777777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644" w:type="dxa"/>
            <w:noWrap/>
          </w:tcPr>
          <w:p w14:paraId="64048F0D" w14:textId="66390B67" w:rsidR="002B7CE2" w:rsidRPr="00C939D0" w:rsidRDefault="00344498">
            <w:pPr>
              <w:pStyle w:val="Tabletext"/>
              <w:rPr>
                <w:b w:val="0"/>
                <w:bCs w:val="0"/>
                <w:szCs w:val="20"/>
              </w:rPr>
            </w:pPr>
            <w:r>
              <w:rPr>
                <w:b w:val="0"/>
                <w:bCs w:val="0"/>
                <w:szCs w:val="20"/>
              </w:rPr>
              <w:t>School belonging</w:t>
            </w:r>
          </w:p>
        </w:tc>
        <w:tc>
          <w:tcPr>
            <w:tcW w:w="5058" w:type="dxa"/>
            <w:noWrap/>
          </w:tcPr>
          <w:p w14:paraId="1DF0D55E" w14:textId="12C0E261" w:rsidR="002B7CE2" w:rsidRPr="00DA7D37" w:rsidRDefault="002B7CE2">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 xml:space="preserve">Percentage of </w:t>
            </w:r>
            <w:r w:rsidR="0019391D">
              <w:rPr>
                <w:szCs w:val="20"/>
              </w:rPr>
              <w:t>young people (13-19-year-olds)</w:t>
            </w:r>
            <w:r w:rsidRPr="00DA7D37">
              <w:rPr>
                <w:szCs w:val="20"/>
              </w:rPr>
              <w:t xml:space="preserve"> who agree or strongly agree that they feel they belong at their school</w:t>
            </w:r>
          </w:p>
        </w:tc>
        <w:tc>
          <w:tcPr>
            <w:tcW w:w="1833" w:type="dxa"/>
          </w:tcPr>
          <w:p w14:paraId="3B36435A" w14:textId="77777777" w:rsidR="002B7CE2" w:rsidRPr="00DA7D37" w:rsidRDefault="002B7CE2">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MSD, Youth Health and Wellbeing Survey</w:t>
            </w:r>
          </w:p>
        </w:tc>
        <w:tc>
          <w:tcPr>
            <w:tcW w:w="1833" w:type="dxa"/>
          </w:tcPr>
          <w:p w14:paraId="2BC2A31F" w14:textId="77777777" w:rsidR="002B7CE2" w:rsidRPr="00DA7D37" w:rsidRDefault="002B7CE2">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 xml:space="preserve">Data available </w:t>
            </w:r>
            <w:r>
              <w:rPr>
                <w:szCs w:val="20"/>
              </w:rPr>
              <w:t>three-yearly</w:t>
            </w:r>
            <w:r w:rsidRPr="00DA7D37">
              <w:rPr>
                <w:szCs w:val="20"/>
              </w:rPr>
              <w:t xml:space="preserve"> and comparable over time</w:t>
            </w:r>
            <w:r>
              <w:rPr>
                <w:szCs w:val="20"/>
              </w:rPr>
              <w:t>.</w:t>
            </w:r>
          </w:p>
        </w:tc>
        <w:tc>
          <w:tcPr>
            <w:tcW w:w="1833" w:type="dxa"/>
          </w:tcPr>
          <w:p w14:paraId="64F8A46A" w14:textId="77777777" w:rsidR="002B7CE2" w:rsidRPr="00DA7D37" w:rsidRDefault="002B7CE2">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Data available by ethnicity, sex, age</w:t>
            </w:r>
            <w:r>
              <w:rPr>
                <w:szCs w:val="20"/>
              </w:rPr>
              <w:t xml:space="preserve"> group</w:t>
            </w:r>
            <w:r w:rsidRPr="00DA7D37">
              <w:rPr>
                <w:szCs w:val="20"/>
              </w:rPr>
              <w:t xml:space="preserve"> </w:t>
            </w:r>
          </w:p>
        </w:tc>
        <w:tc>
          <w:tcPr>
            <w:tcW w:w="1871" w:type="dxa"/>
          </w:tcPr>
          <w:p w14:paraId="31C873A4" w14:textId="77777777" w:rsidR="002B7CE2" w:rsidRPr="00DA7D37" w:rsidRDefault="002B7CE2">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Include</w:t>
            </w:r>
          </w:p>
        </w:tc>
      </w:tr>
      <w:tr w:rsidR="001F6ADB" w:rsidRPr="00BE37F7" w14:paraId="441ECEA8" w14:textId="77777777" w:rsidTr="00C4376D">
        <w:trPr>
          <w:trHeight w:val="413"/>
        </w:trPr>
        <w:tc>
          <w:tcPr>
            <w:cnfStyle w:val="001000000000" w:firstRow="0" w:lastRow="0" w:firstColumn="1" w:lastColumn="0" w:oddVBand="0" w:evenVBand="0" w:oddHBand="0" w:evenHBand="0" w:firstRowFirstColumn="0" w:firstRowLastColumn="0" w:lastRowFirstColumn="0" w:lastRowLastColumn="0"/>
            <w:tcW w:w="1644" w:type="dxa"/>
            <w:noWrap/>
          </w:tcPr>
          <w:p w14:paraId="56705E2C" w14:textId="4B870D9E" w:rsidR="001F6ADB" w:rsidRPr="001F6ADB" w:rsidRDefault="001F6ADB" w:rsidP="001F6ADB">
            <w:pPr>
              <w:pStyle w:val="Tabletext"/>
              <w:rPr>
                <w:b w:val="0"/>
                <w:bCs w:val="0"/>
                <w:szCs w:val="20"/>
              </w:rPr>
            </w:pPr>
            <w:r w:rsidRPr="001F6ADB">
              <w:rPr>
                <w:b w:val="0"/>
                <w:bCs w:val="0"/>
                <w:szCs w:val="20"/>
              </w:rPr>
              <w:t>Education - attendance</w:t>
            </w:r>
          </w:p>
        </w:tc>
        <w:tc>
          <w:tcPr>
            <w:tcW w:w="5058" w:type="dxa"/>
            <w:noWrap/>
          </w:tcPr>
          <w:p w14:paraId="2FD996C7" w14:textId="5AF46F8A" w:rsidR="001F6ADB" w:rsidRPr="00963318" w:rsidRDefault="008777C0" w:rsidP="001F6ADB">
            <w:pPr>
              <w:pStyle w:val="Tabletext"/>
              <w:cnfStyle w:val="000000000000" w:firstRow="0" w:lastRow="0" w:firstColumn="0" w:lastColumn="0" w:oddVBand="0" w:evenVBand="0" w:oddHBand="0" w:evenHBand="0" w:firstRowFirstColumn="0" w:firstRowLastColumn="0" w:lastRowFirstColumn="0" w:lastRowLastColumn="0"/>
              <w:rPr>
                <w:szCs w:val="20"/>
              </w:rPr>
            </w:pPr>
            <w:r>
              <w:rPr>
                <w:szCs w:val="20"/>
              </w:rPr>
              <w:t>P</w:t>
            </w:r>
            <w:r w:rsidR="001F6ADB">
              <w:rPr>
                <w:szCs w:val="20"/>
              </w:rPr>
              <w:t>ercentage of students who attend regularly (</w:t>
            </w:r>
            <w:r w:rsidR="001F6ADB" w:rsidRPr="001F6ADB">
              <w:rPr>
                <w:szCs w:val="20"/>
              </w:rPr>
              <w:t>more than 90% of half-days</w:t>
            </w:r>
            <w:r w:rsidR="001F6ADB">
              <w:rPr>
                <w:szCs w:val="20"/>
              </w:rPr>
              <w:t>)</w:t>
            </w:r>
          </w:p>
        </w:tc>
        <w:tc>
          <w:tcPr>
            <w:tcW w:w="1833" w:type="dxa"/>
          </w:tcPr>
          <w:p w14:paraId="497A0D22" w14:textId="472CC03B" w:rsidR="001F6ADB" w:rsidRDefault="001F6ADB" w:rsidP="001F6ADB">
            <w:pPr>
              <w:pStyle w:val="Tabletext"/>
              <w:cnfStyle w:val="000000000000" w:firstRow="0" w:lastRow="0" w:firstColumn="0" w:lastColumn="0" w:oddVBand="0" w:evenVBand="0" w:oddHBand="0" w:evenHBand="0" w:firstRowFirstColumn="0" w:firstRowLastColumn="0" w:lastRowFirstColumn="0" w:lastRowLastColumn="0"/>
              <w:rPr>
                <w:szCs w:val="20"/>
              </w:rPr>
            </w:pPr>
            <w:r>
              <w:rPr>
                <w:szCs w:val="20"/>
              </w:rPr>
              <w:t>Ministry of Education</w:t>
            </w:r>
          </w:p>
        </w:tc>
        <w:tc>
          <w:tcPr>
            <w:tcW w:w="1833" w:type="dxa"/>
          </w:tcPr>
          <w:p w14:paraId="6A56BE12" w14:textId="1AD76729" w:rsidR="001F6ADB" w:rsidRPr="00DA7D37" w:rsidRDefault="001F6ADB" w:rsidP="001F6ADB">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Data available annually and comparable over time</w:t>
            </w:r>
          </w:p>
        </w:tc>
        <w:tc>
          <w:tcPr>
            <w:tcW w:w="1833" w:type="dxa"/>
          </w:tcPr>
          <w:p w14:paraId="1CC6A7E3" w14:textId="549D4D8F" w:rsidR="001F6ADB" w:rsidRPr="00DA7D37" w:rsidRDefault="001F6ADB" w:rsidP="001F6ADB">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Data available by ethnicity, sex, age</w:t>
            </w:r>
            <w:r>
              <w:rPr>
                <w:szCs w:val="20"/>
              </w:rPr>
              <w:t xml:space="preserve"> group</w:t>
            </w:r>
          </w:p>
        </w:tc>
        <w:tc>
          <w:tcPr>
            <w:tcW w:w="1871" w:type="dxa"/>
          </w:tcPr>
          <w:p w14:paraId="0C235FCC" w14:textId="31B55399" w:rsidR="001F6ADB" w:rsidRDefault="001F6ADB" w:rsidP="001F6ADB">
            <w:pPr>
              <w:pStyle w:val="Tabletext"/>
              <w:cnfStyle w:val="000000000000" w:firstRow="0" w:lastRow="0" w:firstColumn="0" w:lastColumn="0" w:oddVBand="0" w:evenVBand="0" w:oddHBand="0" w:evenHBand="0" w:firstRowFirstColumn="0" w:firstRowLastColumn="0" w:lastRowFirstColumn="0" w:lastRowLastColumn="0"/>
              <w:rPr>
                <w:szCs w:val="20"/>
              </w:rPr>
            </w:pPr>
            <w:r>
              <w:rPr>
                <w:szCs w:val="20"/>
              </w:rPr>
              <w:t>Include</w:t>
            </w:r>
          </w:p>
        </w:tc>
      </w:tr>
      <w:tr w:rsidR="001F6ADB" w:rsidRPr="00BE37F7" w14:paraId="715C2287" w14:textId="77777777" w:rsidTr="00C4376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644" w:type="dxa"/>
            <w:noWrap/>
          </w:tcPr>
          <w:p w14:paraId="7C010A5D" w14:textId="5F7D9029" w:rsidR="001F6ADB" w:rsidRPr="001F6ADB" w:rsidRDefault="001F6ADB" w:rsidP="001F6ADB">
            <w:pPr>
              <w:pStyle w:val="Tabletext"/>
              <w:rPr>
                <w:b w:val="0"/>
                <w:bCs w:val="0"/>
                <w:szCs w:val="20"/>
              </w:rPr>
            </w:pPr>
            <w:r w:rsidRPr="001F6ADB">
              <w:rPr>
                <w:b w:val="0"/>
                <w:bCs w:val="0"/>
                <w:szCs w:val="20"/>
              </w:rPr>
              <w:t>Education - exclusion</w:t>
            </w:r>
          </w:p>
        </w:tc>
        <w:tc>
          <w:tcPr>
            <w:tcW w:w="5058" w:type="dxa"/>
            <w:noWrap/>
          </w:tcPr>
          <w:p w14:paraId="4EF7913D" w14:textId="4513B8E3" w:rsidR="001F6ADB" w:rsidRPr="00DA7D37" w:rsidRDefault="001F6ADB" w:rsidP="001F6ADB">
            <w:pPr>
              <w:pStyle w:val="Tabletext"/>
              <w:cnfStyle w:val="000000100000" w:firstRow="0" w:lastRow="0" w:firstColumn="0" w:lastColumn="0" w:oddVBand="0" w:evenVBand="0" w:oddHBand="1" w:evenHBand="0" w:firstRowFirstColumn="0" w:firstRowLastColumn="0" w:lastRowFirstColumn="0" w:lastRowLastColumn="0"/>
              <w:rPr>
                <w:szCs w:val="20"/>
              </w:rPr>
            </w:pPr>
            <w:r w:rsidRPr="00963318">
              <w:rPr>
                <w:szCs w:val="20"/>
              </w:rPr>
              <w:t>Age-standardised rate of student exclusions from New Zealand</w:t>
            </w:r>
            <w:r>
              <w:rPr>
                <w:szCs w:val="20"/>
              </w:rPr>
              <w:t xml:space="preserve"> </w:t>
            </w:r>
            <w:r w:rsidRPr="00963318">
              <w:rPr>
                <w:szCs w:val="20"/>
              </w:rPr>
              <w:t>schools</w:t>
            </w:r>
            <w:r>
              <w:rPr>
                <w:szCs w:val="20"/>
              </w:rPr>
              <w:t>, by ethnic group</w:t>
            </w:r>
          </w:p>
        </w:tc>
        <w:tc>
          <w:tcPr>
            <w:tcW w:w="1833" w:type="dxa"/>
          </w:tcPr>
          <w:p w14:paraId="0A8BA9F4" w14:textId="530C2FAC" w:rsidR="001F6ADB" w:rsidRPr="00DA7D37" w:rsidRDefault="001F6ADB" w:rsidP="001F6ADB">
            <w:pPr>
              <w:pStyle w:val="Tabletext"/>
              <w:cnfStyle w:val="000000100000" w:firstRow="0" w:lastRow="0" w:firstColumn="0" w:lastColumn="0" w:oddVBand="0" w:evenVBand="0" w:oddHBand="1" w:evenHBand="0" w:firstRowFirstColumn="0" w:firstRowLastColumn="0" w:lastRowFirstColumn="0" w:lastRowLastColumn="0"/>
              <w:rPr>
                <w:szCs w:val="20"/>
              </w:rPr>
            </w:pPr>
            <w:r>
              <w:rPr>
                <w:szCs w:val="20"/>
              </w:rPr>
              <w:t>Ministry of Education</w:t>
            </w:r>
          </w:p>
        </w:tc>
        <w:tc>
          <w:tcPr>
            <w:tcW w:w="1833" w:type="dxa"/>
          </w:tcPr>
          <w:p w14:paraId="2B03B27C" w14:textId="571533CF" w:rsidR="001F6ADB" w:rsidRPr="00DA7D37" w:rsidRDefault="001F6ADB" w:rsidP="001F6ADB">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Data available annually and comparable over time</w:t>
            </w:r>
          </w:p>
        </w:tc>
        <w:tc>
          <w:tcPr>
            <w:tcW w:w="1833" w:type="dxa"/>
          </w:tcPr>
          <w:p w14:paraId="47E30568" w14:textId="51F7A64B" w:rsidR="001F6ADB" w:rsidRPr="00DA7D37" w:rsidRDefault="001F6ADB" w:rsidP="001F6ADB">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Data available by ethnicity, sex, age</w:t>
            </w:r>
            <w:r>
              <w:rPr>
                <w:szCs w:val="20"/>
              </w:rPr>
              <w:t xml:space="preserve"> group</w:t>
            </w:r>
          </w:p>
        </w:tc>
        <w:tc>
          <w:tcPr>
            <w:tcW w:w="1871" w:type="dxa"/>
          </w:tcPr>
          <w:p w14:paraId="6B532FC2" w14:textId="209FD014" w:rsidR="001F6ADB" w:rsidRPr="00DA7D37" w:rsidRDefault="001F6ADB" w:rsidP="001F6ADB">
            <w:pPr>
              <w:pStyle w:val="Tabletext"/>
              <w:cnfStyle w:val="000000100000" w:firstRow="0" w:lastRow="0" w:firstColumn="0" w:lastColumn="0" w:oddVBand="0" w:evenVBand="0" w:oddHBand="1" w:evenHBand="0" w:firstRowFirstColumn="0" w:firstRowLastColumn="0" w:lastRowFirstColumn="0" w:lastRowLastColumn="0"/>
              <w:rPr>
                <w:szCs w:val="20"/>
              </w:rPr>
            </w:pPr>
            <w:r>
              <w:rPr>
                <w:szCs w:val="20"/>
              </w:rPr>
              <w:t>Include</w:t>
            </w:r>
          </w:p>
        </w:tc>
      </w:tr>
      <w:tr w:rsidR="00CA4706" w:rsidRPr="00BE37F7" w14:paraId="50EDC659" w14:textId="77777777" w:rsidTr="00C4376D">
        <w:trPr>
          <w:trHeight w:val="413"/>
        </w:trPr>
        <w:tc>
          <w:tcPr>
            <w:cnfStyle w:val="001000000000" w:firstRow="0" w:lastRow="0" w:firstColumn="1" w:lastColumn="0" w:oddVBand="0" w:evenVBand="0" w:oddHBand="0" w:evenHBand="0" w:firstRowFirstColumn="0" w:firstRowLastColumn="0" w:lastRowFirstColumn="0" w:lastRowLastColumn="0"/>
            <w:tcW w:w="1644" w:type="dxa"/>
            <w:noWrap/>
          </w:tcPr>
          <w:p w14:paraId="6EB2A406" w14:textId="69E3A5A8" w:rsidR="00CA4706" w:rsidRPr="001F6ADB" w:rsidRDefault="00CA4706" w:rsidP="00CA4706">
            <w:pPr>
              <w:pStyle w:val="Tabletext"/>
              <w:rPr>
                <w:b w:val="0"/>
                <w:bCs w:val="0"/>
                <w:szCs w:val="20"/>
              </w:rPr>
            </w:pPr>
            <w:r>
              <w:rPr>
                <w:b w:val="0"/>
                <w:bCs w:val="0"/>
                <w:szCs w:val="20"/>
              </w:rPr>
              <w:t>Education – early leaving</w:t>
            </w:r>
          </w:p>
        </w:tc>
        <w:tc>
          <w:tcPr>
            <w:tcW w:w="5058" w:type="dxa"/>
            <w:noWrap/>
          </w:tcPr>
          <w:p w14:paraId="564B615B" w14:textId="072E4230" w:rsidR="00CA4706" w:rsidRPr="00DA7D37" w:rsidRDefault="00CA4706" w:rsidP="00CA4706">
            <w:pPr>
              <w:pStyle w:val="Tabletext"/>
              <w:cnfStyle w:val="000000000000" w:firstRow="0" w:lastRow="0" w:firstColumn="0" w:lastColumn="0" w:oddVBand="0" w:evenVBand="0" w:oddHBand="0" w:evenHBand="0" w:firstRowFirstColumn="0" w:firstRowLastColumn="0" w:lastRowFirstColumn="0" w:lastRowLastColumn="0"/>
              <w:rPr>
                <w:szCs w:val="20"/>
              </w:rPr>
            </w:pPr>
            <w:r>
              <w:rPr>
                <w:szCs w:val="20"/>
              </w:rPr>
              <w:t>Percentage</w:t>
            </w:r>
            <w:r w:rsidRPr="00CA4706">
              <w:rPr>
                <w:szCs w:val="20"/>
              </w:rPr>
              <w:t xml:space="preserve"> of 15-year-old students enrolled in school who have an early leaving exemption approved</w:t>
            </w:r>
            <w:r>
              <w:rPr>
                <w:szCs w:val="20"/>
              </w:rPr>
              <w:t xml:space="preserve"> </w:t>
            </w:r>
          </w:p>
        </w:tc>
        <w:tc>
          <w:tcPr>
            <w:tcW w:w="1833" w:type="dxa"/>
          </w:tcPr>
          <w:p w14:paraId="24E2BE8C" w14:textId="57396937" w:rsidR="00CA4706" w:rsidRPr="00DA7D37" w:rsidRDefault="00CA4706" w:rsidP="00CA4706">
            <w:pPr>
              <w:pStyle w:val="Tabletext"/>
              <w:cnfStyle w:val="000000000000" w:firstRow="0" w:lastRow="0" w:firstColumn="0" w:lastColumn="0" w:oddVBand="0" w:evenVBand="0" w:oddHBand="0" w:evenHBand="0" w:firstRowFirstColumn="0" w:firstRowLastColumn="0" w:lastRowFirstColumn="0" w:lastRowLastColumn="0"/>
              <w:rPr>
                <w:szCs w:val="20"/>
              </w:rPr>
            </w:pPr>
            <w:r>
              <w:rPr>
                <w:szCs w:val="20"/>
              </w:rPr>
              <w:t>Ministry of Education</w:t>
            </w:r>
          </w:p>
        </w:tc>
        <w:tc>
          <w:tcPr>
            <w:tcW w:w="1833" w:type="dxa"/>
          </w:tcPr>
          <w:p w14:paraId="29B4B636" w14:textId="50864429" w:rsidR="00CA4706" w:rsidRPr="00DA7D37" w:rsidRDefault="00CA4706" w:rsidP="00CA470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Data available annually and comparable over time</w:t>
            </w:r>
          </w:p>
        </w:tc>
        <w:tc>
          <w:tcPr>
            <w:tcW w:w="1833" w:type="dxa"/>
          </w:tcPr>
          <w:p w14:paraId="14BEF5AF" w14:textId="49F1C949" w:rsidR="00CA4706" w:rsidRPr="00DA7D37" w:rsidRDefault="00CA4706" w:rsidP="00CA470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Data available by ethnicity, sex, age</w:t>
            </w:r>
            <w:r>
              <w:rPr>
                <w:szCs w:val="20"/>
              </w:rPr>
              <w:t xml:space="preserve"> group</w:t>
            </w:r>
          </w:p>
        </w:tc>
        <w:tc>
          <w:tcPr>
            <w:tcW w:w="1871" w:type="dxa"/>
          </w:tcPr>
          <w:p w14:paraId="7CE3F9A9" w14:textId="5BC3E10A" w:rsidR="00CA4706" w:rsidRPr="00DA7D37" w:rsidRDefault="00CA4706" w:rsidP="00CA4706">
            <w:pPr>
              <w:pStyle w:val="Tabletext"/>
              <w:cnfStyle w:val="000000000000" w:firstRow="0" w:lastRow="0" w:firstColumn="0" w:lastColumn="0" w:oddVBand="0" w:evenVBand="0" w:oddHBand="0" w:evenHBand="0" w:firstRowFirstColumn="0" w:firstRowLastColumn="0" w:lastRowFirstColumn="0" w:lastRowLastColumn="0"/>
              <w:rPr>
                <w:szCs w:val="20"/>
              </w:rPr>
            </w:pPr>
            <w:r>
              <w:rPr>
                <w:szCs w:val="20"/>
              </w:rPr>
              <w:t>Include</w:t>
            </w:r>
          </w:p>
        </w:tc>
      </w:tr>
      <w:tr w:rsidR="00CA4706" w:rsidRPr="00BE37F7" w14:paraId="1DEAA4DF" w14:textId="590D07C3" w:rsidTr="00C4376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644" w:type="dxa"/>
            <w:noWrap/>
          </w:tcPr>
          <w:p w14:paraId="3D216CE0" w14:textId="0B66AA7B" w:rsidR="00CA4706" w:rsidRPr="001F6ADB" w:rsidRDefault="00CA4706" w:rsidP="00CA4706">
            <w:pPr>
              <w:pStyle w:val="Tabletext"/>
              <w:rPr>
                <w:b w:val="0"/>
                <w:bCs w:val="0"/>
                <w:szCs w:val="20"/>
              </w:rPr>
            </w:pPr>
            <w:r w:rsidRPr="001F6ADB">
              <w:rPr>
                <w:b w:val="0"/>
                <w:bCs w:val="0"/>
                <w:szCs w:val="20"/>
              </w:rPr>
              <w:t>Education - NEET</w:t>
            </w:r>
          </w:p>
        </w:tc>
        <w:tc>
          <w:tcPr>
            <w:tcW w:w="5058" w:type="dxa"/>
            <w:noWrap/>
          </w:tcPr>
          <w:p w14:paraId="465AA14B" w14:textId="5404ADEA" w:rsidR="00CA4706" w:rsidRPr="00DA7D37" w:rsidRDefault="00CA4706" w:rsidP="00CA4706">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 xml:space="preserve">Percentage of youth (15-19 years) not in education, employment </w:t>
            </w:r>
            <w:r>
              <w:rPr>
                <w:szCs w:val="20"/>
              </w:rPr>
              <w:t xml:space="preserve">or </w:t>
            </w:r>
            <w:r w:rsidRPr="00DA7D37">
              <w:rPr>
                <w:szCs w:val="20"/>
              </w:rPr>
              <w:t>training</w:t>
            </w:r>
          </w:p>
        </w:tc>
        <w:tc>
          <w:tcPr>
            <w:tcW w:w="1833" w:type="dxa"/>
          </w:tcPr>
          <w:p w14:paraId="3B0610B4" w14:textId="01A2B9D2" w:rsidR="00CA4706" w:rsidRPr="00DA7D37" w:rsidRDefault="00CA4706" w:rsidP="00CA4706">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Ministry of Education</w:t>
            </w:r>
          </w:p>
        </w:tc>
        <w:tc>
          <w:tcPr>
            <w:tcW w:w="1833" w:type="dxa"/>
          </w:tcPr>
          <w:p w14:paraId="7B91C017" w14:textId="567994F1" w:rsidR="00CA4706" w:rsidRPr="00DA7D37" w:rsidRDefault="00CA4706" w:rsidP="00CA4706">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Data available annually and comparable over time</w:t>
            </w:r>
          </w:p>
        </w:tc>
        <w:tc>
          <w:tcPr>
            <w:tcW w:w="1833" w:type="dxa"/>
          </w:tcPr>
          <w:p w14:paraId="35F21FDF" w14:textId="7E5607F5" w:rsidR="00CA4706" w:rsidRPr="00DA7D37" w:rsidRDefault="00CA4706" w:rsidP="00CA4706">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Data available by ethnicity, sex, age</w:t>
            </w:r>
            <w:r>
              <w:rPr>
                <w:szCs w:val="20"/>
              </w:rPr>
              <w:t xml:space="preserve"> group</w:t>
            </w:r>
            <w:r w:rsidRPr="00DA7D37">
              <w:rPr>
                <w:szCs w:val="20"/>
              </w:rPr>
              <w:t xml:space="preserve"> </w:t>
            </w:r>
          </w:p>
        </w:tc>
        <w:tc>
          <w:tcPr>
            <w:tcW w:w="1871" w:type="dxa"/>
          </w:tcPr>
          <w:p w14:paraId="63EF9C68" w14:textId="3F0222F8" w:rsidR="00CA4706" w:rsidRPr="00DA7D37" w:rsidRDefault="00CA4706" w:rsidP="00CA4706">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Include</w:t>
            </w:r>
          </w:p>
        </w:tc>
      </w:tr>
      <w:tr w:rsidR="00CA4706" w:rsidRPr="00BE37F7" w14:paraId="306F0D74" w14:textId="4B7935E6" w:rsidTr="00C4376D">
        <w:trPr>
          <w:trHeight w:val="413"/>
        </w:trPr>
        <w:tc>
          <w:tcPr>
            <w:cnfStyle w:val="001000000000" w:firstRow="0" w:lastRow="0" w:firstColumn="1" w:lastColumn="0" w:oddVBand="0" w:evenVBand="0" w:oddHBand="0" w:evenHBand="0" w:firstRowFirstColumn="0" w:firstRowLastColumn="0" w:lastRowFirstColumn="0" w:lastRowLastColumn="0"/>
            <w:tcW w:w="1644" w:type="dxa"/>
            <w:noWrap/>
          </w:tcPr>
          <w:p w14:paraId="4F5081AD" w14:textId="01EDB8C8" w:rsidR="00CA4706" w:rsidRPr="00DA7D37" w:rsidRDefault="00CA4706" w:rsidP="00CA4706">
            <w:pPr>
              <w:pStyle w:val="Tabletext"/>
              <w:rPr>
                <w:szCs w:val="20"/>
              </w:rPr>
            </w:pPr>
            <w:r w:rsidRPr="007A564A">
              <w:rPr>
                <w:b w:val="0"/>
                <w:bCs w:val="0"/>
                <w:szCs w:val="20"/>
              </w:rPr>
              <w:t>Education – adult attainment</w:t>
            </w:r>
          </w:p>
        </w:tc>
        <w:tc>
          <w:tcPr>
            <w:tcW w:w="5058" w:type="dxa"/>
            <w:noWrap/>
          </w:tcPr>
          <w:p w14:paraId="5E8BB36C" w14:textId="64CFA1E9" w:rsidR="00CA4706" w:rsidRPr="00DA7D37" w:rsidRDefault="00CA4706" w:rsidP="00CA470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Percentage of population (aged 25 to 64) with above upper secondary attainment</w:t>
            </w:r>
          </w:p>
        </w:tc>
        <w:tc>
          <w:tcPr>
            <w:tcW w:w="1833" w:type="dxa"/>
          </w:tcPr>
          <w:p w14:paraId="1F51D65F" w14:textId="5FC6B1E8" w:rsidR="00CA4706" w:rsidRPr="00DA7D37" w:rsidRDefault="00CA4706" w:rsidP="00CA470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Stats NZ, Household Economic Survey</w:t>
            </w:r>
          </w:p>
        </w:tc>
        <w:tc>
          <w:tcPr>
            <w:tcW w:w="1833" w:type="dxa"/>
          </w:tcPr>
          <w:p w14:paraId="3D19E252" w14:textId="1153CE93" w:rsidR="00CA4706" w:rsidRPr="00DA7D37" w:rsidRDefault="00CA4706" w:rsidP="00CA470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Data available annually and comparable over time</w:t>
            </w:r>
          </w:p>
        </w:tc>
        <w:tc>
          <w:tcPr>
            <w:tcW w:w="1833" w:type="dxa"/>
          </w:tcPr>
          <w:p w14:paraId="00BE3D6D" w14:textId="2B048E7F" w:rsidR="00CA4706" w:rsidRPr="00DA7D37" w:rsidRDefault="00CA4706" w:rsidP="00CA470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Data available by ethnicity, sex, age group</w:t>
            </w:r>
          </w:p>
        </w:tc>
        <w:tc>
          <w:tcPr>
            <w:tcW w:w="1871" w:type="dxa"/>
          </w:tcPr>
          <w:p w14:paraId="04158D74" w14:textId="0415FE08" w:rsidR="00CA4706" w:rsidRPr="00DA7D37" w:rsidRDefault="002E6D44" w:rsidP="00CA4706">
            <w:pPr>
              <w:pStyle w:val="Tabletext"/>
              <w:cnfStyle w:val="000000000000" w:firstRow="0" w:lastRow="0" w:firstColumn="0" w:lastColumn="0" w:oddVBand="0" w:evenVBand="0" w:oddHBand="0" w:evenHBand="0" w:firstRowFirstColumn="0" w:firstRowLastColumn="0" w:lastRowFirstColumn="0" w:lastRowLastColumn="0"/>
              <w:rPr>
                <w:szCs w:val="20"/>
              </w:rPr>
            </w:pPr>
            <w:r>
              <w:rPr>
                <w:szCs w:val="20"/>
              </w:rPr>
              <w:t>Exclude</w:t>
            </w:r>
            <w:r w:rsidR="00764B19">
              <w:rPr>
                <w:szCs w:val="20"/>
              </w:rPr>
              <w:t xml:space="preserve"> (lacks sensitivity to change)</w:t>
            </w:r>
          </w:p>
        </w:tc>
      </w:tr>
      <w:tr w:rsidR="00CA4706" w:rsidRPr="00BE37F7" w14:paraId="7CA7406B" w14:textId="77777777" w:rsidTr="00C4376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644" w:type="dxa"/>
            <w:noWrap/>
          </w:tcPr>
          <w:p w14:paraId="0340CC67" w14:textId="1A9D825C" w:rsidR="00CA4706" w:rsidRPr="00C939D0" w:rsidRDefault="00CA4706" w:rsidP="00CA4706">
            <w:pPr>
              <w:pStyle w:val="Tabletext"/>
              <w:rPr>
                <w:b w:val="0"/>
                <w:bCs w:val="0"/>
                <w:szCs w:val="20"/>
              </w:rPr>
            </w:pPr>
            <w:r w:rsidRPr="00C939D0">
              <w:rPr>
                <w:b w:val="0"/>
                <w:bCs w:val="0"/>
                <w:szCs w:val="20"/>
              </w:rPr>
              <w:t>Bullying victimisation</w:t>
            </w:r>
          </w:p>
        </w:tc>
        <w:tc>
          <w:tcPr>
            <w:tcW w:w="5058" w:type="dxa"/>
            <w:noWrap/>
          </w:tcPr>
          <w:p w14:paraId="67EE41F7" w14:textId="74788E7A" w:rsidR="00CA4706" w:rsidRPr="00DA7D37" w:rsidRDefault="00CA4706" w:rsidP="00CA4706">
            <w:pPr>
              <w:pStyle w:val="Tabletext"/>
              <w:cnfStyle w:val="000000100000" w:firstRow="0" w:lastRow="0" w:firstColumn="0" w:lastColumn="0" w:oddVBand="0" w:evenVBand="0" w:oddHBand="1" w:evenHBand="0" w:firstRowFirstColumn="0" w:firstRowLastColumn="0" w:lastRowFirstColumn="0" w:lastRowLastColumn="0"/>
              <w:rPr>
                <w:szCs w:val="20"/>
              </w:rPr>
            </w:pPr>
            <w:r w:rsidRPr="006B394D">
              <w:rPr>
                <w:szCs w:val="20"/>
              </w:rPr>
              <w:t xml:space="preserve">Percentage of </w:t>
            </w:r>
            <w:r w:rsidR="0019391D">
              <w:rPr>
                <w:szCs w:val="20"/>
              </w:rPr>
              <w:t>young people (13-19-year-olds)</w:t>
            </w:r>
            <w:r w:rsidRPr="006B394D">
              <w:rPr>
                <w:szCs w:val="20"/>
              </w:rPr>
              <w:t xml:space="preserve"> bullied in the last 30 days</w:t>
            </w:r>
          </w:p>
        </w:tc>
        <w:tc>
          <w:tcPr>
            <w:tcW w:w="1833" w:type="dxa"/>
          </w:tcPr>
          <w:p w14:paraId="3A658390" w14:textId="7E18CA96" w:rsidR="00CA4706" w:rsidRPr="00DA7D37" w:rsidRDefault="00CA4706" w:rsidP="00CA4706">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MSD, Youth Health and Wellbeing Survey</w:t>
            </w:r>
          </w:p>
        </w:tc>
        <w:tc>
          <w:tcPr>
            <w:tcW w:w="1833" w:type="dxa"/>
          </w:tcPr>
          <w:p w14:paraId="63750C31" w14:textId="60713FC4" w:rsidR="00CA4706" w:rsidRPr="00DA7D37" w:rsidRDefault="00CA4706" w:rsidP="00CA4706">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 xml:space="preserve">Data available </w:t>
            </w:r>
            <w:r>
              <w:rPr>
                <w:szCs w:val="20"/>
              </w:rPr>
              <w:t>three-yearly</w:t>
            </w:r>
            <w:r w:rsidRPr="00DA7D37">
              <w:rPr>
                <w:szCs w:val="20"/>
              </w:rPr>
              <w:t xml:space="preserve"> and comparable over time</w:t>
            </w:r>
          </w:p>
        </w:tc>
        <w:tc>
          <w:tcPr>
            <w:tcW w:w="1833" w:type="dxa"/>
          </w:tcPr>
          <w:p w14:paraId="1C61AEB0" w14:textId="54A9E629" w:rsidR="00CA4706" w:rsidRPr="00DA7D37" w:rsidRDefault="00CA4706" w:rsidP="00CA4706">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Data available by ethnicity, sex, age</w:t>
            </w:r>
            <w:r>
              <w:rPr>
                <w:szCs w:val="20"/>
              </w:rPr>
              <w:t xml:space="preserve"> group</w:t>
            </w:r>
            <w:r w:rsidRPr="00DA7D37">
              <w:rPr>
                <w:szCs w:val="20"/>
              </w:rPr>
              <w:t xml:space="preserve"> </w:t>
            </w:r>
          </w:p>
        </w:tc>
        <w:tc>
          <w:tcPr>
            <w:tcW w:w="1871" w:type="dxa"/>
          </w:tcPr>
          <w:p w14:paraId="6A774537" w14:textId="14EFA084" w:rsidR="00CA4706" w:rsidRPr="00DA7D37" w:rsidRDefault="00CA4706" w:rsidP="00CA4706">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Include</w:t>
            </w:r>
          </w:p>
        </w:tc>
      </w:tr>
      <w:tr w:rsidR="00CA4706" w:rsidRPr="00BE37F7" w14:paraId="08CDBDCC" w14:textId="5D57C5D7" w:rsidTr="00C4376D">
        <w:trPr>
          <w:trHeight w:val="413"/>
        </w:trPr>
        <w:tc>
          <w:tcPr>
            <w:cnfStyle w:val="001000000000" w:firstRow="0" w:lastRow="0" w:firstColumn="1" w:lastColumn="0" w:oddVBand="0" w:evenVBand="0" w:oddHBand="0" w:evenHBand="0" w:firstRowFirstColumn="0" w:firstRowLastColumn="0" w:lastRowFirstColumn="0" w:lastRowLastColumn="0"/>
            <w:tcW w:w="1644" w:type="dxa"/>
            <w:noWrap/>
          </w:tcPr>
          <w:p w14:paraId="7FCCC0DB" w14:textId="11E10431" w:rsidR="00CA4706" w:rsidRPr="00DA7D37" w:rsidRDefault="00CA4706" w:rsidP="00CA4706">
            <w:pPr>
              <w:pStyle w:val="Tabletext"/>
              <w:rPr>
                <w:szCs w:val="20"/>
              </w:rPr>
            </w:pPr>
            <w:r w:rsidRPr="00DA7D37">
              <w:rPr>
                <w:b w:val="0"/>
                <w:bCs w:val="0"/>
                <w:szCs w:val="20"/>
              </w:rPr>
              <w:lastRenderedPageBreak/>
              <w:t xml:space="preserve">Unemployment </w:t>
            </w:r>
          </w:p>
        </w:tc>
        <w:tc>
          <w:tcPr>
            <w:tcW w:w="5058" w:type="dxa"/>
            <w:noWrap/>
          </w:tcPr>
          <w:p w14:paraId="6D0F8E29" w14:textId="3B6C2D01" w:rsidR="00CA4706" w:rsidRPr="00DA7D37" w:rsidRDefault="00CA4706" w:rsidP="00CA470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Rate of unemployment</w:t>
            </w:r>
          </w:p>
        </w:tc>
        <w:tc>
          <w:tcPr>
            <w:tcW w:w="1833" w:type="dxa"/>
          </w:tcPr>
          <w:p w14:paraId="6D88FEC9" w14:textId="3952709B" w:rsidR="00CA4706" w:rsidRPr="00DA7D37" w:rsidRDefault="00CA4706" w:rsidP="00CA470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Stats NZ, Household Labour Force Survey</w:t>
            </w:r>
          </w:p>
        </w:tc>
        <w:tc>
          <w:tcPr>
            <w:tcW w:w="1833" w:type="dxa"/>
          </w:tcPr>
          <w:p w14:paraId="0AC97C76" w14:textId="596F9D80" w:rsidR="00CA4706" w:rsidRPr="00DA7D37" w:rsidRDefault="00CA4706" w:rsidP="00CA470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 xml:space="preserve">Data available </w:t>
            </w:r>
            <w:r>
              <w:rPr>
                <w:szCs w:val="20"/>
              </w:rPr>
              <w:t>quarterly</w:t>
            </w:r>
            <w:r w:rsidRPr="00DA7D37">
              <w:rPr>
                <w:szCs w:val="20"/>
              </w:rPr>
              <w:t xml:space="preserve"> and comparable over time</w:t>
            </w:r>
          </w:p>
        </w:tc>
        <w:tc>
          <w:tcPr>
            <w:tcW w:w="1833" w:type="dxa"/>
          </w:tcPr>
          <w:p w14:paraId="446D12E0" w14:textId="3F792F5D" w:rsidR="00CA4706" w:rsidRPr="00DA7D37" w:rsidRDefault="00CA4706" w:rsidP="00CA470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Data available by ethnicity, sex, age group</w:t>
            </w:r>
          </w:p>
        </w:tc>
        <w:tc>
          <w:tcPr>
            <w:tcW w:w="1871" w:type="dxa"/>
          </w:tcPr>
          <w:p w14:paraId="0B4DAF29" w14:textId="1829EDD7" w:rsidR="00CA4706" w:rsidRPr="00DA7D37" w:rsidRDefault="00CA4706" w:rsidP="00CA470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Include</w:t>
            </w:r>
          </w:p>
        </w:tc>
      </w:tr>
      <w:tr w:rsidR="00CA4706" w:rsidRPr="00BE37F7" w14:paraId="46C3882A" w14:textId="750B8B60" w:rsidTr="00C4376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644" w:type="dxa"/>
            <w:vMerge w:val="restart"/>
            <w:noWrap/>
            <w:hideMark/>
          </w:tcPr>
          <w:p w14:paraId="511FF9EE" w14:textId="799DD4F9" w:rsidR="00CA4706" w:rsidRPr="00DA7D37" w:rsidRDefault="00CA4706" w:rsidP="00CA4706">
            <w:pPr>
              <w:pStyle w:val="Tabletext"/>
              <w:rPr>
                <w:b w:val="0"/>
                <w:bCs w:val="0"/>
                <w:szCs w:val="20"/>
              </w:rPr>
            </w:pPr>
            <w:r w:rsidRPr="00DA7D37">
              <w:rPr>
                <w:b w:val="0"/>
                <w:bCs w:val="0"/>
                <w:szCs w:val="20"/>
              </w:rPr>
              <w:t xml:space="preserve">Housing </w:t>
            </w:r>
            <w:r w:rsidR="00213C9F">
              <w:rPr>
                <w:b w:val="0"/>
                <w:bCs w:val="0"/>
                <w:szCs w:val="20"/>
              </w:rPr>
              <w:t>deprivation</w:t>
            </w:r>
            <w:r w:rsidRPr="00DA7D37">
              <w:rPr>
                <w:b w:val="0"/>
                <w:bCs w:val="0"/>
                <w:szCs w:val="20"/>
              </w:rPr>
              <w:t xml:space="preserve"> </w:t>
            </w:r>
          </w:p>
        </w:tc>
        <w:tc>
          <w:tcPr>
            <w:tcW w:w="5058" w:type="dxa"/>
            <w:noWrap/>
            <w:hideMark/>
          </w:tcPr>
          <w:p w14:paraId="52C410C0" w14:textId="625CD1C5" w:rsidR="00CA4706" w:rsidRPr="00DA7D37" w:rsidRDefault="00CA4706" w:rsidP="00CA4706">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 xml:space="preserve">Number of primary applicants on the social housing register </w:t>
            </w:r>
          </w:p>
        </w:tc>
        <w:tc>
          <w:tcPr>
            <w:tcW w:w="1833" w:type="dxa"/>
          </w:tcPr>
          <w:p w14:paraId="7DF1ADFB" w14:textId="5584CC9E" w:rsidR="00CA4706" w:rsidRPr="00DA7D37" w:rsidRDefault="00CA4706" w:rsidP="00CA4706">
            <w:pPr>
              <w:pStyle w:val="Tabletext"/>
              <w:cnfStyle w:val="000000100000" w:firstRow="0" w:lastRow="0" w:firstColumn="0" w:lastColumn="0" w:oddVBand="0" w:evenVBand="0" w:oddHBand="1" w:evenHBand="0" w:firstRowFirstColumn="0" w:firstRowLastColumn="0" w:lastRowFirstColumn="0" w:lastRowLastColumn="0"/>
              <w:rPr>
                <w:szCs w:val="20"/>
              </w:rPr>
            </w:pPr>
            <w:r>
              <w:rPr>
                <w:szCs w:val="20"/>
              </w:rPr>
              <w:t xml:space="preserve">MSD, </w:t>
            </w:r>
            <w:r w:rsidRPr="00DA7D37">
              <w:rPr>
                <w:szCs w:val="20"/>
              </w:rPr>
              <w:t>Social Housing Register</w:t>
            </w:r>
          </w:p>
        </w:tc>
        <w:tc>
          <w:tcPr>
            <w:tcW w:w="1833" w:type="dxa"/>
          </w:tcPr>
          <w:p w14:paraId="01684001" w14:textId="3CB2EB49" w:rsidR="00CA4706" w:rsidRPr="00DA7D37" w:rsidRDefault="00CA4706" w:rsidP="00CA4706">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 xml:space="preserve">Data available </w:t>
            </w:r>
            <w:r>
              <w:rPr>
                <w:szCs w:val="20"/>
              </w:rPr>
              <w:t>quarterly</w:t>
            </w:r>
            <w:r w:rsidRPr="00DA7D37">
              <w:rPr>
                <w:szCs w:val="20"/>
              </w:rPr>
              <w:t xml:space="preserve"> and comparable </w:t>
            </w:r>
            <w:r>
              <w:rPr>
                <w:szCs w:val="20"/>
              </w:rPr>
              <w:t>over time</w:t>
            </w:r>
          </w:p>
        </w:tc>
        <w:tc>
          <w:tcPr>
            <w:tcW w:w="1833" w:type="dxa"/>
          </w:tcPr>
          <w:p w14:paraId="3DB6D867" w14:textId="7F7FF2ED" w:rsidR="00CA4706" w:rsidRPr="00DA7D37" w:rsidRDefault="00CA4706" w:rsidP="00CA4706">
            <w:pPr>
              <w:pStyle w:val="Tabletext"/>
              <w:cnfStyle w:val="000000100000" w:firstRow="0" w:lastRow="0" w:firstColumn="0" w:lastColumn="0" w:oddVBand="0" w:evenVBand="0" w:oddHBand="1" w:evenHBand="0" w:firstRowFirstColumn="0" w:firstRowLastColumn="0" w:lastRowFirstColumn="0" w:lastRowLastColumn="0"/>
              <w:rPr>
                <w:szCs w:val="20"/>
              </w:rPr>
            </w:pPr>
            <w:r>
              <w:rPr>
                <w:szCs w:val="20"/>
              </w:rPr>
              <w:t>Age and ethnicity of p</w:t>
            </w:r>
            <w:r w:rsidRPr="00DA7D37">
              <w:rPr>
                <w:szCs w:val="20"/>
              </w:rPr>
              <w:t>rimary applicant only</w:t>
            </w:r>
          </w:p>
        </w:tc>
        <w:tc>
          <w:tcPr>
            <w:tcW w:w="1871" w:type="dxa"/>
          </w:tcPr>
          <w:p w14:paraId="56EED56A" w14:textId="4BA2A016" w:rsidR="00CA4706" w:rsidRPr="00DA7D37" w:rsidRDefault="00CA4706" w:rsidP="00CA4706">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Exclude</w:t>
            </w:r>
          </w:p>
        </w:tc>
      </w:tr>
      <w:tr w:rsidR="00CA4706" w:rsidRPr="00BE37F7" w14:paraId="2E68240F" w14:textId="1F1F2782" w:rsidTr="00C4376D">
        <w:trPr>
          <w:trHeight w:val="300"/>
        </w:trPr>
        <w:tc>
          <w:tcPr>
            <w:cnfStyle w:val="001000000000" w:firstRow="0" w:lastRow="0" w:firstColumn="1" w:lastColumn="0" w:oddVBand="0" w:evenVBand="0" w:oddHBand="0" w:evenHBand="0" w:firstRowFirstColumn="0" w:firstRowLastColumn="0" w:lastRowFirstColumn="0" w:lastRowLastColumn="0"/>
            <w:tcW w:w="1644" w:type="dxa"/>
            <w:vMerge/>
            <w:noWrap/>
            <w:hideMark/>
          </w:tcPr>
          <w:p w14:paraId="564B9B1B" w14:textId="77777777" w:rsidR="00CA4706" w:rsidRPr="00DA7D37" w:rsidRDefault="00CA4706" w:rsidP="00CA4706">
            <w:pPr>
              <w:pStyle w:val="Tabletext"/>
              <w:rPr>
                <w:b w:val="0"/>
                <w:bCs w:val="0"/>
                <w:szCs w:val="20"/>
              </w:rPr>
            </w:pPr>
          </w:p>
        </w:tc>
        <w:tc>
          <w:tcPr>
            <w:tcW w:w="5058" w:type="dxa"/>
            <w:noWrap/>
            <w:hideMark/>
          </w:tcPr>
          <w:p w14:paraId="2D8A5192" w14:textId="12396568" w:rsidR="00CA4706" w:rsidRPr="00DA7D37" w:rsidRDefault="00CA4706" w:rsidP="00CA470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Rate of homelessness per 100,000 population</w:t>
            </w:r>
          </w:p>
        </w:tc>
        <w:tc>
          <w:tcPr>
            <w:tcW w:w="1833" w:type="dxa"/>
            <w:vMerge w:val="restart"/>
          </w:tcPr>
          <w:p w14:paraId="3B7D8E4C" w14:textId="21FE4C93" w:rsidR="00CA4706" w:rsidRPr="00DA7D37" w:rsidRDefault="00CA4706" w:rsidP="00CA470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Formerly available through Census data</w:t>
            </w:r>
          </w:p>
        </w:tc>
        <w:tc>
          <w:tcPr>
            <w:tcW w:w="1833" w:type="dxa"/>
            <w:vMerge w:val="restart"/>
          </w:tcPr>
          <w:p w14:paraId="33C629B0" w14:textId="54C0A5DA" w:rsidR="00CA4706" w:rsidRPr="00DA7D37" w:rsidRDefault="00CA4706" w:rsidP="00CA470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w:t>
            </w:r>
          </w:p>
        </w:tc>
        <w:tc>
          <w:tcPr>
            <w:tcW w:w="1833" w:type="dxa"/>
            <w:vMerge w:val="restart"/>
          </w:tcPr>
          <w:p w14:paraId="0485B3EC" w14:textId="1D122B48" w:rsidR="00CA4706" w:rsidRPr="00DA7D37" w:rsidRDefault="00CA4706" w:rsidP="00CA470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w:t>
            </w:r>
          </w:p>
        </w:tc>
        <w:tc>
          <w:tcPr>
            <w:tcW w:w="1871" w:type="dxa"/>
          </w:tcPr>
          <w:p w14:paraId="093B6013" w14:textId="5ED11730" w:rsidR="00CA4706" w:rsidRPr="00DA7D37" w:rsidRDefault="00CA4706" w:rsidP="00CA470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Exclude</w:t>
            </w:r>
          </w:p>
        </w:tc>
      </w:tr>
      <w:tr w:rsidR="00CA4706" w:rsidRPr="00BE37F7" w14:paraId="5F9CD0CD" w14:textId="5A1D3D5A" w:rsidTr="00C437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44" w:type="dxa"/>
            <w:vMerge/>
            <w:tcBorders>
              <w:bottom w:val="single" w:sz="4" w:space="0" w:color="auto"/>
            </w:tcBorders>
            <w:noWrap/>
            <w:hideMark/>
          </w:tcPr>
          <w:p w14:paraId="6C3C1B01" w14:textId="77777777" w:rsidR="00CA4706" w:rsidRPr="00DA7D37" w:rsidRDefault="00CA4706" w:rsidP="00CA4706">
            <w:pPr>
              <w:pStyle w:val="Tabletext"/>
              <w:rPr>
                <w:b w:val="0"/>
                <w:bCs w:val="0"/>
                <w:szCs w:val="20"/>
              </w:rPr>
            </w:pPr>
          </w:p>
        </w:tc>
        <w:tc>
          <w:tcPr>
            <w:tcW w:w="5058" w:type="dxa"/>
            <w:noWrap/>
            <w:hideMark/>
          </w:tcPr>
          <w:p w14:paraId="58E4E11C" w14:textId="53C00DFD" w:rsidR="00CA4706" w:rsidRPr="00DA7D37" w:rsidRDefault="00CA4706" w:rsidP="00CA4706">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 xml:space="preserve">Number of people in temporary (transitional and emergency) housing </w:t>
            </w:r>
          </w:p>
        </w:tc>
        <w:tc>
          <w:tcPr>
            <w:tcW w:w="1833" w:type="dxa"/>
            <w:vMerge/>
          </w:tcPr>
          <w:p w14:paraId="70012222" w14:textId="61DF73AA" w:rsidR="00CA4706" w:rsidRPr="00DA7D37" w:rsidRDefault="00CA4706" w:rsidP="00CA4706">
            <w:pPr>
              <w:pStyle w:val="Tabletext"/>
              <w:cnfStyle w:val="000000100000" w:firstRow="0" w:lastRow="0" w:firstColumn="0" w:lastColumn="0" w:oddVBand="0" w:evenVBand="0" w:oddHBand="1" w:evenHBand="0" w:firstRowFirstColumn="0" w:firstRowLastColumn="0" w:lastRowFirstColumn="0" w:lastRowLastColumn="0"/>
              <w:rPr>
                <w:szCs w:val="20"/>
              </w:rPr>
            </w:pPr>
          </w:p>
        </w:tc>
        <w:tc>
          <w:tcPr>
            <w:tcW w:w="1833" w:type="dxa"/>
            <w:vMerge/>
          </w:tcPr>
          <w:p w14:paraId="2B0FBBDE" w14:textId="22C21328" w:rsidR="00CA4706" w:rsidRPr="00DA7D37" w:rsidRDefault="00CA4706" w:rsidP="00CA4706">
            <w:pPr>
              <w:pStyle w:val="Tabletext"/>
              <w:cnfStyle w:val="000000100000" w:firstRow="0" w:lastRow="0" w:firstColumn="0" w:lastColumn="0" w:oddVBand="0" w:evenVBand="0" w:oddHBand="1" w:evenHBand="0" w:firstRowFirstColumn="0" w:firstRowLastColumn="0" w:lastRowFirstColumn="0" w:lastRowLastColumn="0"/>
              <w:rPr>
                <w:szCs w:val="20"/>
              </w:rPr>
            </w:pPr>
          </w:p>
        </w:tc>
        <w:tc>
          <w:tcPr>
            <w:tcW w:w="1833" w:type="dxa"/>
            <w:vMerge/>
          </w:tcPr>
          <w:p w14:paraId="1DB82721" w14:textId="67A201C4" w:rsidR="00CA4706" w:rsidRPr="00DA7D37" w:rsidRDefault="00CA4706" w:rsidP="00CA4706">
            <w:pPr>
              <w:pStyle w:val="Tabletext"/>
              <w:cnfStyle w:val="000000100000" w:firstRow="0" w:lastRow="0" w:firstColumn="0" w:lastColumn="0" w:oddVBand="0" w:evenVBand="0" w:oddHBand="1" w:evenHBand="0" w:firstRowFirstColumn="0" w:firstRowLastColumn="0" w:lastRowFirstColumn="0" w:lastRowLastColumn="0"/>
              <w:rPr>
                <w:szCs w:val="20"/>
              </w:rPr>
            </w:pPr>
          </w:p>
        </w:tc>
        <w:tc>
          <w:tcPr>
            <w:tcW w:w="1871" w:type="dxa"/>
          </w:tcPr>
          <w:p w14:paraId="2EC77918" w14:textId="3642B280" w:rsidR="00CA4706" w:rsidRPr="00DA7D37" w:rsidRDefault="00CA4706" w:rsidP="00CA4706">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Exclude</w:t>
            </w:r>
          </w:p>
        </w:tc>
      </w:tr>
      <w:tr w:rsidR="00CA4706" w:rsidRPr="00BE37F7" w14:paraId="59C115BF" w14:textId="09FDCFD7" w:rsidTr="00C4376D">
        <w:trPr>
          <w:trHeight w:val="300"/>
        </w:trPr>
        <w:tc>
          <w:tcPr>
            <w:cnfStyle w:val="001000000000" w:firstRow="0" w:lastRow="0" w:firstColumn="1" w:lastColumn="0" w:oddVBand="0" w:evenVBand="0" w:oddHBand="0" w:evenHBand="0" w:firstRowFirstColumn="0" w:firstRowLastColumn="0" w:lastRowFirstColumn="0" w:lastRowLastColumn="0"/>
            <w:tcW w:w="1644" w:type="dxa"/>
            <w:vMerge w:val="restart"/>
            <w:tcBorders>
              <w:top w:val="single" w:sz="4" w:space="0" w:color="auto"/>
            </w:tcBorders>
            <w:noWrap/>
            <w:hideMark/>
          </w:tcPr>
          <w:p w14:paraId="1E033C50" w14:textId="07BD8284" w:rsidR="00CA4706" w:rsidRPr="00DA7D37" w:rsidRDefault="00CA4706" w:rsidP="00CA4706">
            <w:pPr>
              <w:pStyle w:val="Tabletext"/>
              <w:rPr>
                <w:b w:val="0"/>
                <w:bCs w:val="0"/>
                <w:szCs w:val="20"/>
              </w:rPr>
            </w:pPr>
            <w:r w:rsidRPr="00DA7D37">
              <w:rPr>
                <w:b w:val="0"/>
                <w:bCs w:val="0"/>
                <w:szCs w:val="20"/>
              </w:rPr>
              <w:t>Discrimination</w:t>
            </w:r>
          </w:p>
        </w:tc>
        <w:tc>
          <w:tcPr>
            <w:tcW w:w="5058" w:type="dxa"/>
            <w:vMerge w:val="restart"/>
            <w:noWrap/>
            <w:hideMark/>
          </w:tcPr>
          <w:p w14:paraId="7D2D9BDB" w14:textId="0A1194C8" w:rsidR="00CA4706" w:rsidRPr="00DA7D37" w:rsidRDefault="00CA4706" w:rsidP="00CA470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Percentage of people who report experiencing discrimination in the last year</w:t>
            </w:r>
          </w:p>
        </w:tc>
        <w:tc>
          <w:tcPr>
            <w:tcW w:w="1833" w:type="dxa"/>
          </w:tcPr>
          <w:p w14:paraId="4F947ACA" w14:textId="258F37EE" w:rsidR="00CA4706" w:rsidRPr="00DA7D37" w:rsidRDefault="00CA4706" w:rsidP="00CA4706">
            <w:pPr>
              <w:pStyle w:val="Tabletext"/>
              <w:cnfStyle w:val="000000000000" w:firstRow="0" w:lastRow="0" w:firstColumn="0" w:lastColumn="0" w:oddVBand="0" w:evenVBand="0" w:oddHBand="0" w:evenHBand="0" w:firstRowFirstColumn="0" w:firstRowLastColumn="0" w:lastRowFirstColumn="0" w:lastRowLastColumn="0"/>
              <w:rPr>
                <w:szCs w:val="20"/>
              </w:rPr>
            </w:pPr>
            <w:r>
              <w:rPr>
                <w:szCs w:val="20"/>
              </w:rPr>
              <w:t>For young people, MSD’s Youth Health and Wellbeing Survey</w:t>
            </w:r>
          </w:p>
        </w:tc>
        <w:tc>
          <w:tcPr>
            <w:tcW w:w="1833" w:type="dxa"/>
          </w:tcPr>
          <w:p w14:paraId="25954EA8" w14:textId="1AE1D9AA" w:rsidR="00CA4706" w:rsidRPr="00DA7D37" w:rsidRDefault="00CA4706" w:rsidP="00CA470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 xml:space="preserve">Data available </w:t>
            </w:r>
            <w:r>
              <w:rPr>
                <w:szCs w:val="20"/>
              </w:rPr>
              <w:t>three-yearly</w:t>
            </w:r>
            <w:r w:rsidRPr="00DA7D37">
              <w:rPr>
                <w:szCs w:val="20"/>
              </w:rPr>
              <w:t xml:space="preserve"> and comparable over time</w:t>
            </w:r>
          </w:p>
        </w:tc>
        <w:tc>
          <w:tcPr>
            <w:tcW w:w="1833" w:type="dxa"/>
          </w:tcPr>
          <w:p w14:paraId="44FF0C6E" w14:textId="720414A3" w:rsidR="00CA4706" w:rsidRPr="00DA7D37" w:rsidRDefault="00CA4706" w:rsidP="00CA470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Data available by ethnicity, sex, age group</w:t>
            </w:r>
          </w:p>
        </w:tc>
        <w:tc>
          <w:tcPr>
            <w:tcW w:w="1871" w:type="dxa"/>
          </w:tcPr>
          <w:p w14:paraId="691B32CF" w14:textId="2212CE44" w:rsidR="00CA4706" w:rsidRPr="00DA7D37" w:rsidRDefault="00185B38" w:rsidP="00CA4706">
            <w:pPr>
              <w:pStyle w:val="Tabletext"/>
              <w:cnfStyle w:val="000000000000" w:firstRow="0" w:lastRow="0" w:firstColumn="0" w:lastColumn="0" w:oddVBand="0" w:evenVBand="0" w:oddHBand="0" w:evenHBand="0" w:firstRowFirstColumn="0" w:firstRowLastColumn="0" w:lastRowFirstColumn="0" w:lastRowLastColumn="0"/>
              <w:rPr>
                <w:szCs w:val="20"/>
              </w:rPr>
            </w:pPr>
            <w:r>
              <w:rPr>
                <w:szCs w:val="20"/>
              </w:rPr>
              <w:t>I</w:t>
            </w:r>
            <w:r w:rsidR="00CA4706">
              <w:rPr>
                <w:szCs w:val="20"/>
              </w:rPr>
              <w:t>nclude</w:t>
            </w:r>
          </w:p>
        </w:tc>
      </w:tr>
      <w:tr w:rsidR="00CA4706" w:rsidRPr="00BE37F7" w14:paraId="1B3ED2E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44" w:type="dxa"/>
            <w:vMerge/>
            <w:noWrap/>
          </w:tcPr>
          <w:p w14:paraId="03599045" w14:textId="77777777" w:rsidR="00CA4706" w:rsidRPr="00DA7D37" w:rsidRDefault="00CA4706" w:rsidP="00CA4706">
            <w:pPr>
              <w:pStyle w:val="Tabletext"/>
              <w:rPr>
                <w:szCs w:val="20"/>
              </w:rPr>
            </w:pPr>
          </w:p>
        </w:tc>
        <w:tc>
          <w:tcPr>
            <w:tcW w:w="5058" w:type="dxa"/>
            <w:vMerge/>
            <w:noWrap/>
          </w:tcPr>
          <w:p w14:paraId="1E005BF8" w14:textId="77777777" w:rsidR="00CA4706" w:rsidRPr="00DA7D37" w:rsidRDefault="00CA4706" w:rsidP="00CA4706">
            <w:pPr>
              <w:pStyle w:val="Tabletext"/>
              <w:cnfStyle w:val="000000100000" w:firstRow="0" w:lastRow="0" w:firstColumn="0" w:lastColumn="0" w:oddVBand="0" w:evenVBand="0" w:oddHBand="1" w:evenHBand="0" w:firstRowFirstColumn="0" w:firstRowLastColumn="0" w:lastRowFirstColumn="0" w:lastRowLastColumn="0"/>
              <w:rPr>
                <w:szCs w:val="20"/>
              </w:rPr>
            </w:pPr>
          </w:p>
        </w:tc>
        <w:tc>
          <w:tcPr>
            <w:tcW w:w="1833" w:type="dxa"/>
          </w:tcPr>
          <w:p w14:paraId="0ED4F5B7" w14:textId="11AF5379" w:rsidR="00CA4706" w:rsidRDefault="00CA4706" w:rsidP="00CA4706">
            <w:pPr>
              <w:pStyle w:val="Tabletext"/>
              <w:cnfStyle w:val="000000100000" w:firstRow="0" w:lastRow="0" w:firstColumn="0" w:lastColumn="0" w:oddVBand="0" w:evenVBand="0" w:oddHBand="1" w:evenHBand="0" w:firstRowFirstColumn="0" w:firstRowLastColumn="0" w:lastRowFirstColumn="0" w:lastRowLastColumn="0"/>
              <w:rPr>
                <w:szCs w:val="20"/>
              </w:rPr>
            </w:pPr>
            <w:r>
              <w:rPr>
                <w:szCs w:val="20"/>
              </w:rPr>
              <w:t>For people 15+, the Ministry of Health’s NZ Health Survey racism module</w:t>
            </w:r>
          </w:p>
        </w:tc>
        <w:tc>
          <w:tcPr>
            <w:tcW w:w="1833" w:type="dxa"/>
          </w:tcPr>
          <w:p w14:paraId="1AE31EF0" w14:textId="0E21FB2A" w:rsidR="00CA4706" w:rsidRPr="00DA7D37" w:rsidRDefault="00CA4706" w:rsidP="00CA4706">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 xml:space="preserve">Data available </w:t>
            </w:r>
            <w:r>
              <w:rPr>
                <w:szCs w:val="20"/>
              </w:rPr>
              <w:t>irregularly</w:t>
            </w:r>
            <w:r w:rsidRPr="00DA7D37">
              <w:rPr>
                <w:szCs w:val="20"/>
              </w:rPr>
              <w:t xml:space="preserve"> and comparable over time</w:t>
            </w:r>
          </w:p>
        </w:tc>
        <w:tc>
          <w:tcPr>
            <w:tcW w:w="1833" w:type="dxa"/>
          </w:tcPr>
          <w:p w14:paraId="16268C2C" w14:textId="48AD2232" w:rsidR="00CA4706" w:rsidRPr="00DA7D37" w:rsidRDefault="00CA4706" w:rsidP="00CA4706">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Data available by ethnicity, sex, age group</w:t>
            </w:r>
          </w:p>
        </w:tc>
        <w:tc>
          <w:tcPr>
            <w:tcW w:w="1871" w:type="dxa"/>
          </w:tcPr>
          <w:p w14:paraId="5FDC2330" w14:textId="31DED14B" w:rsidR="00CA4706" w:rsidRDefault="00185B38" w:rsidP="00CA4706">
            <w:pPr>
              <w:pStyle w:val="Tabletext"/>
              <w:cnfStyle w:val="000000100000" w:firstRow="0" w:lastRow="0" w:firstColumn="0" w:lastColumn="0" w:oddVBand="0" w:evenVBand="0" w:oddHBand="1" w:evenHBand="0" w:firstRowFirstColumn="0" w:firstRowLastColumn="0" w:lastRowFirstColumn="0" w:lastRowLastColumn="0"/>
              <w:rPr>
                <w:szCs w:val="20"/>
              </w:rPr>
            </w:pPr>
            <w:r>
              <w:rPr>
                <w:szCs w:val="20"/>
              </w:rPr>
              <w:t>I</w:t>
            </w:r>
            <w:r w:rsidR="00CA4706">
              <w:rPr>
                <w:szCs w:val="20"/>
              </w:rPr>
              <w:t>nclude</w:t>
            </w:r>
          </w:p>
        </w:tc>
      </w:tr>
      <w:tr w:rsidR="00CA4706" w:rsidRPr="00BE37F7" w14:paraId="017818D2" w14:textId="3EE4D342" w:rsidTr="00C4376D">
        <w:trPr>
          <w:trHeight w:val="300"/>
        </w:trPr>
        <w:tc>
          <w:tcPr>
            <w:cnfStyle w:val="001000000000" w:firstRow="0" w:lastRow="0" w:firstColumn="1" w:lastColumn="0" w:oddVBand="0" w:evenVBand="0" w:oddHBand="0" w:evenHBand="0" w:firstRowFirstColumn="0" w:firstRowLastColumn="0" w:lastRowFirstColumn="0" w:lastRowLastColumn="0"/>
            <w:tcW w:w="1644" w:type="dxa"/>
            <w:vMerge w:val="restart"/>
            <w:noWrap/>
          </w:tcPr>
          <w:p w14:paraId="3B498E80" w14:textId="22CFBF67" w:rsidR="00CA4706" w:rsidRPr="00DA7D37" w:rsidRDefault="00CA4706" w:rsidP="00CA4706">
            <w:pPr>
              <w:pStyle w:val="Tabletext"/>
              <w:rPr>
                <w:szCs w:val="20"/>
              </w:rPr>
            </w:pPr>
            <w:r w:rsidRPr="00DA7D37">
              <w:rPr>
                <w:b w:val="0"/>
                <w:bCs w:val="0"/>
                <w:szCs w:val="20"/>
              </w:rPr>
              <w:t xml:space="preserve">Child poverty </w:t>
            </w:r>
          </w:p>
        </w:tc>
        <w:tc>
          <w:tcPr>
            <w:tcW w:w="5058" w:type="dxa"/>
            <w:noWrap/>
          </w:tcPr>
          <w:p w14:paraId="0FEC90B5" w14:textId="0B267B94" w:rsidR="00CA4706" w:rsidRPr="00DA7D37" w:rsidRDefault="00CA4706" w:rsidP="00CA470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Percentage of children living in households with less than 50 percent of the median equivalised disposable household income before housing costs are deducted</w:t>
            </w:r>
          </w:p>
        </w:tc>
        <w:tc>
          <w:tcPr>
            <w:tcW w:w="1833" w:type="dxa"/>
          </w:tcPr>
          <w:p w14:paraId="36C1BDCF" w14:textId="7A8B13A2" w:rsidR="00CA4706" w:rsidRPr="00DA7D37" w:rsidRDefault="00CA4706" w:rsidP="00CA470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Stats NZ, Household Economic Survey</w:t>
            </w:r>
          </w:p>
        </w:tc>
        <w:tc>
          <w:tcPr>
            <w:tcW w:w="1833" w:type="dxa"/>
          </w:tcPr>
          <w:p w14:paraId="447495FC" w14:textId="4BF16666" w:rsidR="00CA4706" w:rsidRPr="00DA7D37" w:rsidRDefault="00CA4706" w:rsidP="00CA470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Data available annually and comparable over time</w:t>
            </w:r>
          </w:p>
        </w:tc>
        <w:tc>
          <w:tcPr>
            <w:tcW w:w="1833" w:type="dxa"/>
          </w:tcPr>
          <w:p w14:paraId="7B76FAA1" w14:textId="791ED8C1" w:rsidR="00CA4706" w:rsidRPr="00DA7D37" w:rsidRDefault="00CA4706" w:rsidP="00CA470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Data available by ethnicity, sex, age group</w:t>
            </w:r>
          </w:p>
        </w:tc>
        <w:tc>
          <w:tcPr>
            <w:tcW w:w="1871" w:type="dxa"/>
          </w:tcPr>
          <w:p w14:paraId="6B895EF8" w14:textId="3FF97E15" w:rsidR="00CA4706" w:rsidRPr="00DA7D37" w:rsidRDefault="00CA4706" w:rsidP="00CA4706">
            <w:pPr>
              <w:pStyle w:val="Tabletext"/>
              <w:cnfStyle w:val="000000000000" w:firstRow="0" w:lastRow="0" w:firstColumn="0" w:lastColumn="0" w:oddVBand="0" w:evenVBand="0" w:oddHBand="0" w:evenHBand="0" w:firstRowFirstColumn="0" w:firstRowLastColumn="0" w:lastRowFirstColumn="0" w:lastRowLastColumn="0"/>
              <w:rPr>
                <w:szCs w:val="20"/>
              </w:rPr>
            </w:pPr>
            <w:r>
              <w:rPr>
                <w:szCs w:val="20"/>
              </w:rPr>
              <w:t>Include</w:t>
            </w:r>
          </w:p>
        </w:tc>
      </w:tr>
      <w:tr w:rsidR="00CA4706" w:rsidRPr="00BE37F7" w14:paraId="5BCB57FD" w14:textId="29A20BDE" w:rsidTr="00C437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44" w:type="dxa"/>
            <w:vMerge/>
            <w:noWrap/>
          </w:tcPr>
          <w:p w14:paraId="0AE37A2E" w14:textId="77777777" w:rsidR="00CA4706" w:rsidRPr="00DA7D37" w:rsidRDefault="00CA4706" w:rsidP="00CA4706">
            <w:pPr>
              <w:pStyle w:val="Tabletext"/>
              <w:rPr>
                <w:szCs w:val="20"/>
              </w:rPr>
            </w:pPr>
          </w:p>
        </w:tc>
        <w:tc>
          <w:tcPr>
            <w:tcW w:w="5058" w:type="dxa"/>
            <w:noWrap/>
          </w:tcPr>
          <w:p w14:paraId="53D2DF3F" w14:textId="5672BDC4" w:rsidR="00CA4706" w:rsidRPr="00DA7D37" w:rsidRDefault="00CA4706" w:rsidP="00CA4706">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Percentage of children living in households with less than 50 percent of the median equivalised disposable household income after housing costs are deducted</w:t>
            </w:r>
          </w:p>
        </w:tc>
        <w:tc>
          <w:tcPr>
            <w:tcW w:w="1833" w:type="dxa"/>
          </w:tcPr>
          <w:p w14:paraId="035778A6" w14:textId="0CBA4E97" w:rsidR="00CA4706" w:rsidRPr="00DA7D37" w:rsidRDefault="00CA4706" w:rsidP="00CA4706">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Stats NZ, Household Economic Survey</w:t>
            </w:r>
          </w:p>
        </w:tc>
        <w:tc>
          <w:tcPr>
            <w:tcW w:w="1833" w:type="dxa"/>
          </w:tcPr>
          <w:p w14:paraId="0C1CDA23" w14:textId="67AC0374" w:rsidR="00CA4706" w:rsidRPr="00DA7D37" w:rsidRDefault="00CA4706" w:rsidP="00CA4706">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Data available annually and comparable over time</w:t>
            </w:r>
          </w:p>
        </w:tc>
        <w:tc>
          <w:tcPr>
            <w:tcW w:w="1833" w:type="dxa"/>
          </w:tcPr>
          <w:p w14:paraId="0A4C2F8D" w14:textId="2F6E4A51" w:rsidR="00CA4706" w:rsidRPr="00DA7D37" w:rsidRDefault="00CA4706" w:rsidP="00CA4706">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Data available by ethnicity, sex, age group</w:t>
            </w:r>
          </w:p>
        </w:tc>
        <w:tc>
          <w:tcPr>
            <w:tcW w:w="1871" w:type="dxa"/>
          </w:tcPr>
          <w:p w14:paraId="48AE158B" w14:textId="4DD689C7" w:rsidR="00CA4706" w:rsidRPr="00DA7D37" w:rsidRDefault="00CA4706" w:rsidP="00CA4706">
            <w:pPr>
              <w:pStyle w:val="Tabletext"/>
              <w:cnfStyle w:val="000000100000" w:firstRow="0" w:lastRow="0" w:firstColumn="0" w:lastColumn="0" w:oddVBand="0" w:evenVBand="0" w:oddHBand="1" w:evenHBand="0" w:firstRowFirstColumn="0" w:firstRowLastColumn="0" w:lastRowFirstColumn="0" w:lastRowLastColumn="0"/>
              <w:rPr>
                <w:szCs w:val="20"/>
              </w:rPr>
            </w:pPr>
            <w:r>
              <w:rPr>
                <w:szCs w:val="20"/>
              </w:rPr>
              <w:t>Include</w:t>
            </w:r>
          </w:p>
        </w:tc>
      </w:tr>
    </w:tbl>
    <w:p w14:paraId="4801627D" w14:textId="77777777" w:rsidR="00DD441C" w:rsidRDefault="00DD441C" w:rsidP="00263CEC"/>
    <w:p w14:paraId="3919B660" w14:textId="77777777" w:rsidR="00DD441C" w:rsidRDefault="00DD441C" w:rsidP="00263CEC">
      <w:pPr>
        <w:sectPr w:rsidR="00DD441C" w:rsidSect="00886D66">
          <w:headerReference w:type="default" r:id="rId26"/>
          <w:footerReference w:type="default" r:id="rId27"/>
          <w:pgSz w:w="16838" w:h="11906" w:orient="landscape"/>
          <w:pgMar w:top="1440" w:right="1440" w:bottom="1440" w:left="1440" w:header="708" w:footer="708" w:gutter="0"/>
          <w:cols w:space="708"/>
          <w:docGrid w:linePitch="360"/>
        </w:sectPr>
      </w:pPr>
    </w:p>
    <w:p w14:paraId="58285DEF" w14:textId="34C9EF8F" w:rsidR="004540A5" w:rsidRDefault="00D6525C" w:rsidP="00E01442">
      <w:pPr>
        <w:pStyle w:val="Heading2"/>
        <w:ind w:left="851" w:hanging="851"/>
      </w:pPr>
      <w:bookmarkStart w:id="12" w:name="_Toc208223387"/>
      <w:r>
        <w:lastRenderedPageBreak/>
        <w:t>Family</w:t>
      </w:r>
      <w:r w:rsidR="00636D85">
        <w:t>-level</w:t>
      </w:r>
      <w:r>
        <w:t xml:space="preserve"> factors</w:t>
      </w:r>
      <w:bookmarkEnd w:id="12"/>
    </w:p>
    <w:p w14:paraId="624F4660" w14:textId="3022559C" w:rsidR="00D6525C" w:rsidRDefault="00764DEB" w:rsidP="00D6525C">
      <w:r>
        <w:t>Various</w:t>
      </w:r>
      <w:r w:rsidR="009C4143" w:rsidRPr="009C4143">
        <w:t xml:space="preserve"> family interaction factors are strongly associated with self-harm </w:t>
      </w:r>
      <w:r w:rsidR="006A0FB1">
        <w:t xml:space="preserve">and suicidal </w:t>
      </w:r>
      <w:r w:rsidR="009C4143" w:rsidRPr="009C4143">
        <w:t>behaviours in young people (</w:t>
      </w:r>
      <w:r w:rsidR="00512C28">
        <w:t xml:space="preserve">Fong et al., 2021; </w:t>
      </w:r>
      <w:r w:rsidR="009C4143" w:rsidRPr="009C4143">
        <w:t xml:space="preserve">Fortune </w:t>
      </w:r>
      <w:r w:rsidR="000E469E">
        <w:t xml:space="preserve">et al., </w:t>
      </w:r>
      <w:r w:rsidR="009C4143" w:rsidRPr="009C4143">
        <w:t>2016</w:t>
      </w:r>
      <w:r w:rsidR="006A0FB1">
        <w:t xml:space="preserve">; </w:t>
      </w:r>
      <w:r w:rsidR="00A020A8">
        <w:t>Kushal et al., 2</w:t>
      </w:r>
      <w:r>
        <w:t>020</w:t>
      </w:r>
      <w:r w:rsidR="002D4076">
        <w:t>; McEvoy et al</w:t>
      </w:r>
      <w:r w:rsidR="00904961">
        <w:t>., 2023</w:t>
      </w:r>
      <w:r w:rsidR="009C4143" w:rsidRPr="009C4143">
        <w:t>)</w:t>
      </w:r>
      <w:r w:rsidR="00C8146E">
        <w:t>.</w:t>
      </w:r>
      <w:r w:rsidR="009C4143" w:rsidRPr="009C4143">
        <w:t xml:space="preserve"> </w:t>
      </w:r>
      <w:r w:rsidR="00C8146E">
        <w:t>F</w:t>
      </w:r>
      <w:r w:rsidR="009C4143" w:rsidRPr="009C4143">
        <w:t xml:space="preserve">or adults </w:t>
      </w:r>
      <w:r w:rsidR="00C8146E">
        <w:t xml:space="preserve">also </w:t>
      </w:r>
      <w:r w:rsidR="009C4143" w:rsidRPr="009C4143">
        <w:t xml:space="preserve">self-harm </w:t>
      </w:r>
      <w:r w:rsidR="00C8146E">
        <w:t>has been</w:t>
      </w:r>
      <w:r w:rsidR="009C4143" w:rsidRPr="009C4143">
        <w:t xml:space="preserve"> related to poor family functioning</w:t>
      </w:r>
      <w:r w:rsidR="00CF0DF1">
        <w:t xml:space="preserve"> </w:t>
      </w:r>
      <w:r w:rsidR="009C4143" w:rsidRPr="009C4143">
        <w:t xml:space="preserve">(Buckmaster </w:t>
      </w:r>
      <w:r w:rsidR="00570643">
        <w:t xml:space="preserve">et al., </w:t>
      </w:r>
      <w:r w:rsidR="009C4143" w:rsidRPr="009C4143">
        <w:t>2018)</w:t>
      </w:r>
      <w:r w:rsidR="00570643">
        <w:t>.</w:t>
      </w:r>
    </w:p>
    <w:p w14:paraId="4E80DFAC" w14:textId="42C4A869" w:rsidR="00624E84" w:rsidRDefault="004316F7" w:rsidP="00CA2EE2">
      <w:r>
        <w:t xml:space="preserve">The family-level indicators shown in </w:t>
      </w:r>
      <w:r w:rsidR="00B878FD">
        <w:t>Table 4</w:t>
      </w:r>
      <w:r>
        <w:t xml:space="preserve"> rely on survey data. </w:t>
      </w:r>
      <w:r w:rsidR="00624E84">
        <w:t>We currently report on the percentage</w:t>
      </w:r>
      <w:r w:rsidR="00624E84" w:rsidRPr="00D6525C">
        <w:t xml:space="preserve"> of people who rate their family wellbeing highly</w:t>
      </w:r>
      <w:r w:rsidR="00624E84">
        <w:t xml:space="preserve"> in our He Ara Oranga framework. Data for this indicator (for those aged 15+) comes from the NZ Health Survey and is available annually.</w:t>
      </w:r>
    </w:p>
    <w:p w14:paraId="6F5C491D" w14:textId="1366E5B5" w:rsidR="00BA0E19" w:rsidRDefault="00497678" w:rsidP="00CA2EE2">
      <w:r>
        <w:t>D</w:t>
      </w:r>
      <w:r w:rsidR="007A131F">
        <w:t xml:space="preserve">ata </w:t>
      </w:r>
      <w:r w:rsidR="00D023A7">
        <w:t xml:space="preserve">for </w:t>
      </w:r>
      <w:r w:rsidR="00EB3E5D">
        <w:t>children and youth</w:t>
      </w:r>
      <w:r w:rsidR="007A131F">
        <w:t xml:space="preserve"> could come from </w:t>
      </w:r>
      <w:r w:rsidR="00134045">
        <w:t xml:space="preserve">the </w:t>
      </w:r>
      <w:r w:rsidR="00E32BDF">
        <w:t>Yout</w:t>
      </w:r>
      <w:r w:rsidR="00E90ECF">
        <w:t>h</w:t>
      </w:r>
      <w:r w:rsidR="00E32BDF">
        <w:t xml:space="preserve"> Health </w:t>
      </w:r>
      <w:r w:rsidR="00C73178">
        <w:t>a</w:t>
      </w:r>
      <w:r w:rsidR="00E32BDF">
        <w:t xml:space="preserve">nd </w:t>
      </w:r>
      <w:r w:rsidR="00C73178">
        <w:t>W</w:t>
      </w:r>
      <w:r w:rsidR="00E32BDF">
        <w:t>ellbeing Survey</w:t>
      </w:r>
      <w:r w:rsidR="006913DF">
        <w:t>,</w:t>
      </w:r>
      <w:r w:rsidR="00186CAE">
        <w:t xml:space="preserve"> </w:t>
      </w:r>
      <w:r w:rsidR="00EB3E5D">
        <w:t>and</w:t>
      </w:r>
      <w:r w:rsidR="00A43E0A">
        <w:t xml:space="preserve"> the upcoming </w:t>
      </w:r>
      <w:r w:rsidR="00134045" w:rsidRPr="00134045">
        <w:t>Child and</w:t>
      </w:r>
      <w:r w:rsidR="00134045" w:rsidRPr="00CA2EE2">
        <w:rPr>
          <w:rFonts w:ascii="Calibri" w:hAnsi="Calibri" w:cs="Calibri"/>
        </w:rPr>
        <w:t> </w:t>
      </w:r>
      <w:r w:rsidR="00134045" w:rsidRPr="00134045">
        <w:t>Youth</w:t>
      </w:r>
      <w:r w:rsidR="0074188D">
        <w:t xml:space="preserve"> </w:t>
      </w:r>
      <w:r w:rsidR="00134045" w:rsidRPr="00134045">
        <w:t xml:space="preserve">Mental Health </w:t>
      </w:r>
      <w:r w:rsidR="0074188D" w:rsidRPr="00134045">
        <w:t>and Addiction</w:t>
      </w:r>
      <w:r w:rsidR="0074188D" w:rsidRPr="00134045">
        <w:rPr>
          <w:rFonts w:ascii="Calibri" w:hAnsi="Calibri" w:cs="Calibri"/>
        </w:rPr>
        <w:t> </w:t>
      </w:r>
      <w:r w:rsidR="0074188D" w:rsidRPr="00134045">
        <w:t xml:space="preserve">Prevalence </w:t>
      </w:r>
      <w:r w:rsidR="00B42A72">
        <w:t>S</w:t>
      </w:r>
      <w:r w:rsidR="00134045" w:rsidRPr="00134045">
        <w:t>urvey</w:t>
      </w:r>
      <w:r w:rsidR="00C87158">
        <w:t>.</w:t>
      </w:r>
      <w:r w:rsidR="007A131F">
        <w:t xml:space="preserve"> </w:t>
      </w:r>
    </w:p>
    <w:p w14:paraId="0A3D5157" w14:textId="3A95BC97" w:rsidR="00DB01FA" w:rsidRDefault="00F92CC8" w:rsidP="008B327E">
      <w:r>
        <w:t>For a variety of reasons</w:t>
      </w:r>
      <w:r w:rsidR="007378DA">
        <w:t xml:space="preserve"> parental and family </w:t>
      </w:r>
      <w:r w:rsidR="0093359E">
        <w:t>mental health and addiction</w:t>
      </w:r>
      <w:r w:rsidR="007378DA">
        <w:t xml:space="preserve"> </w:t>
      </w:r>
      <w:r w:rsidR="007B13C8">
        <w:t xml:space="preserve">issues are associated with self-harm and suicidal </w:t>
      </w:r>
      <w:r w:rsidR="00E9001B">
        <w:t>behaviour</w:t>
      </w:r>
      <w:r w:rsidR="007B13C8">
        <w:t xml:space="preserve"> in young people</w:t>
      </w:r>
      <w:r w:rsidR="009D24EC">
        <w:t xml:space="preserve"> </w:t>
      </w:r>
      <w:r w:rsidR="009D24EC" w:rsidRPr="009E60AA">
        <w:t>(</w:t>
      </w:r>
      <w:r w:rsidR="008F7756" w:rsidRPr="009E60AA">
        <w:t>Hawton</w:t>
      </w:r>
      <w:r w:rsidR="00C20546" w:rsidRPr="009E60AA">
        <w:t xml:space="preserve"> et al., 2012;</w:t>
      </w:r>
      <w:r w:rsidR="00E35649" w:rsidRPr="009E60AA">
        <w:t xml:space="preserve"> Hu et </w:t>
      </w:r>
      <w:r w:rsidR="00E35649">
        <w:t xml:space="preserve">al., 2019; </w:t>
      </w:r>
      <w:proofErr w:type="spellStart"/>
      <w:r w:rsidR="009D24EC">
        <w:t>Pisinger</w:t>
      </w:r>
      <w:proofErr w:type="spellEnd"/>
      <w:r w:rsidR="009D24EC">
        <w:t xml:space="preserve"> et al., 2018</w:t>
      </w:r>
      <w:r w:rsidR="00131A2F">
        <w:t>)</w:t>
      </w:r>
      <w:r w:rsidR="00E9001B">
        <w:t>. However, w</w:t>
      </w:r>
      <w:r w:rsidR="00BD637D">
        <w:t>e do not have</w:t>
      </w:r>
      <w:r w:rsidR="00587E55">
        <w:t xml:space="preserve"> </w:t>
      </w:r>
      <w:r w:rsidR="00F53699">
        <w:t xml:space="preserve">a data source </w:t>
      </w:r>
      <w:r w:rsidR="006F0F78">
        <w:t>to support including</w:t>
      </w:r>
      <w:r w:rsidR="00F53699">
        <w:t xml:space="preserve"> family mental health or addiction </w:t>
      </w:r>
      <w:r w:rsidR="006F0F78">
        <w:t>indicators</w:t>
      </w:r>
      <w:r w:rsidR="004E7814">
        <w:t>.</w:t>
      </w:r>
      <w:r w:rsidR="007374CA">
        <w:t xml:space="preserve"> </w:t>
      </w:r>
    </w:p>
    <w:p w14:paraId="60BA8B73" w14:textId="4A8019E1" w:rsidR="00F5670A" w:rsidRDefault="00F5670A" w:rsidP="008B327E"/>
    <w:p w14:paraId="1626E2B3" w14:textId="77777777" w:rsidR="00696760" w:rsidRDefault="00696760" w:rsidP="00C87158">
      <w:pPr>
        <w:pStyle w:val="Caption"/>
        <w:sectPr w:rsidR="00696760" w:rsidSect="00886D66">
          <w:footerReference w:type="default" r:id="rId28"/>
          <w:pgSz w:w="11906" w:h="16838"/>
          <w:pgMar w:top="1440" w:right="1440" w:bottom="1440" w:left="1440" w:header="708" w:footer="708" w:gutter="0"/>
          <w:cols w:space="708"/>
          <w:docGrid w:linePitch="360"/>
        </w:sectPr>
      </w:pPr>
      <w:bookmarkStart w:id="13" w:name="_Ref201667127"/>
    </w:p>
    <w:p w14:paraId="14B34CAE" w14:textId="1CF3BBDD" w:rsidR="00C87158" w:rsidRDefault="00C87158" w:rsidP="00C87158">
      <w:pPr>
        <w:pStyle w:val="Caption"/>
      </w:pPr>
      <w:r>
        <w:lastRenderedPageBreak/>
        <w:t xml:space="preserve">Table </w:t>
      </w:r>
      <w:r w:rsidR="007742C8">
        <w:fldChar w:fldCharType="begin"/>
      </w:r>
      <w:r w:rsidR="007742C8">
        <w:instrText xml:space="preserve"> SEQ Table \* ARABIC </w:instrText>
      </w:r>
      <w:r w:rsidR="007742C8">
        <w:fldChar w:fldCharType="separate"/>
      </w:r>
      <w:r w:rsidR="00914243">
        <w:rPr>
          <w:noProof/>
        </w:rPr>
        <w:t>4</w:t>
      </w:r>
      <w:r w:rsidR="007742C8">
        <w:rPr>
          <w:noProof/>
        </w:rPr>
        <w:fldChar w:fldCharType="end"/>
      </w:r>
      <w:bookmarkEnd w:id="13"/>
      <w:r>
        <w:t xml:space="preserve">: Potential indicators of </w:t>
      </w:r>
      <w:r w:rsidR="00365D07">
        <w:t>family</w:t>
      </w:r>
      <w:r w:rsidR="00636D85">
        <w:t>-level</w:t>
      </w:r>
      <w:r>
        <w:t xml:space="preserve"> protective and risk factor</w:t>
      </w:r>
      <w:r w:rsidR="00D72AB6">
        <w:t>s</w:t>
      </w:r>
      <w:r>
        <w:t xml:space="preserve"> for</w:t>
      </w:r>
      <w:r w:rsidR="00587E55">
        <w:t xml:space="preserve"> </w:t>
      </w:r>
      <w:r>
        <w:t>suicide and self-harm</w:t>
      </w:r>
    </w:p>
    <w:tbl>
      <w:tblPr>
        <w:tblStyle w:val="PlainTable2"/>
        <w:tblW w:w="14646" w:type="dxa"/>
        <w:tblLook w:val="04A0" w:firstRow="1" w:lastRow="0" w:firstColumn="1" w:lastColumn="0" w:noHBand="0" w:noVBand="1"/>
      </w:tblPr>
      <w:tblGrid>
        <w:gridCol w:w="2266"/>
        <w:gridCol w:w="5669"/>
        <w:gridCol w:w="1617"/>
        <w:gridCol w:w="1607"/>
        <w:gridCol w:w="1636"/>
        <w:gridCol w:w="1851"/>
      </w:tblGrid>
      <w:tr w:rsidR="00C83E69" w:rsidRPr="00D6525C" w14:paraId="310254E6" w14:textId="78F6120B" w:rsidTr="00BD502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6" w:type="dxa"/>
            <w:noWrap/>
          </w:tcPr>
          <w:p w14:paraId="6E259A62" w14:textId="4CCC01EF" w:rsidR="00C83E69" w:rsidRPr="00D6525C" w:rsidRDefault="00173304" w:rsidP="00D6525C">
            <w:pPr>
              <w:pStyle w:val="Tabletext"/>
            </w:pPr>
            <w:r>
              <w:t>Indicator</w:t>
            </w:r>
          </w:p>
        </w:tc>
        <w:tc>
          <w:tcPr>
            <w:tcW w:w="5669" w:type="dxa"/>
            <w:noWrap/>
          </w:tcPr>
          <w:p w14:paraId="33A08B07" w14:textId="579AF018" w:rsidR="00C83E69" w:rsidRPr="00D6525C" w:rsidRDefault="00173304" w:rsidP="00D6525C">
            <w:pPr>
              <w:pStyle w:val="Tabletext"/>
              <w:cnfStyle w:val="100000000000" w:firstRow="1" w:lastRow="0" w:firstColumn="0" w:lastColumn="0" w:oddVBand="0" w:evenVBand="0" w:oddHBand="0" w:evenHBand="0" w:firstRowFirstColumn="0" w:firstRowLastColumn="0" w:lastRowFirstColumn="0" w:lastRowLastColumn="0"/>
            </w:pPr>
            <w:r>
              <w:t>Definition</w:t>
            </w:r>
          </w:p>
        </w:tc>
        <w:tc>
          <w:tcPr>
            <w:tcW w:w="1617" w:type="dxa"/>
          </w:tcPr>
          <w:p w14:paraId="733C6EC4" w14:textId="0B30F982" w:rsidR="00C83E69" w:rsidRPr="00BE37F7" w:rsidRDefault="00C83E69" w:rsidP="00D6525C">
            <w:pPr>
              <w:pStyle w:val="Tabletext"/>
              <w:cnfStyle w:val="100000000000" w:firstRow="1" w:lastRow="0" w:firstColumn="0" w:lastColumn="0" w:oddVBand="0" w:evenVBand="0" w:oddHBand="0" w:evenHBand="0" w:firstRowFirstColumn="0" w:firstRowLastColumn="0" w:lastRowFirstColumn="0" w:lastRowLastColumn="0"/>
            </w:pPr>
            <w:r>
              <w:t>Data source</w:t>
            </w:r>
          </w:p>
        </w:tc>
        <w:tc>
          <w:tcPr>
            <w:tcW w:w="1607" w:type="dxa"/>
          </w:tcPr>
          <w:p w14:paraId="65596829" w14:textId="624BBE37" w:rsidR="00C83E69" w:rsidRPr="00BE37F7" w:rsidRDefault="00C83E69" w:rsidP="00D6525C">
            <w:pPr>
              <w:pStyle w:val="Tabletext"/>
              <w:cnfStyle w:val="100000000000" w:firstRow="1" w:lastRow="0" w:firstColumn="0" w:lastColumn="0" w:oddVBand="0" w:evenVBand="0" w:oddHBand="0" w:evenHBand="0" w:firstRowFirstColumn="0" w:firstRowLastColumn="0" w:lastRowFirstColumn="0" w:lastRowLastColumn="0"/>
            </w:pPr>
            <w:r>
              <w:t>Data quality</w:t>
            </w:r>
          </w:p>
        </w:tc>
        <w:tc>
          <w:tcPr>
            <w:tcW w:w="1636" w:type="dxa"/>
          </w:tcPr>
          <w:p w14:paraId="78B94841" w14:textId="42A7BE8B" w:rsidR="00C83E69" w:rsidRPr="00BE37F7" w:rsidRDefault="00C83E69" w:rsidP="00D6525C">
            <w:pPr>
              <w:pStyle w:val="Tabletext"/>
              <w:cnfStyle w:val="100000000000" w:firstRow="1" w:lastRow="0" w:firstColumn="0" w:lastColumn="0" w:oddVBand="0" w:evenVBand="0" w:oddHBand="0" w:evenHBand="0" w:firstRowFirstColumn="0" w:firstRowLastColumn="0" w:lastRowFirstColumn="0" w:lastRowLastColumn="0"/>
            </w:pPr>
            <w:r>
              <w:t>Population sensitivit</w:t>
            </w:r>
            <w:r>
              <w:rPr>
                <w:b w:val="0"/>
                <w:bCs w:val="0"/>
              </w:rPr>
              <w:t>y</w:t>
            </w:r>
          </w:p>
        </w:tc>
        <w:tc>
          <w:tcPr>
            <w:tcW w:w="1851" w:type="dxa"/>
          </w:tcPr>
          <w:p w14:paraId="131F2C01" w14:textId="6C2829EE" w:rsidR="00C83E69" w:rsidRDefault="00C83E69" w:rsidP="00D6525C">
            <w:pPr>
              <w:pStyle w:val="Tabletext"/>
              <w:cnfStyle w:val="100000000000" w:firstRow="1" w:lastRow="0" w:firstColumn="0" w:lastColumn="0" w:oddVBand="0" w:evenVBand="0" w:oddHBand="0" w:evenHBand="0" w:firstRowFirstColumn="0" w:firstRowLastColumn="0" w:lastRowFirstColumn="0" w:lastRowLastColumn="0"/>
            </w:pPr>
            <w:r>
              <w:t>Recommend</w:t>
            </w:r>
            <w:r w:rsidR="00C4376D">
              <w:t>ation</w:t>
            </w:r>
          </w:p>
        </w:tc>
      </w:tr>
      <w:tr w:rsidR="00C83E69" w:rsidRPr="00D6525C" w14:paraId="6AC79256" w14:textId="670EE321" w:rsidTr="00BD50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6" w:type="dxa"/>
            <w:vMerge w:val="restart"/>
            <w:noWrap/>
            <w:hideMark/>
          </w:tcPr>
          <w:p w14:paraId="1CC4A89B" w14:textId="77777777" w:rsidR="00C83E69" w:rsidRPr="00D6525C" w:rsidRDefault="00C83E69" w:rsidP="00C83E69">
            <w:pPr>
              <w:pStyle w:val="Tabletext"/>
              <w:rPr>
                <w:b w:val="0"/>
                <w:bCs w:val="0"/>
              </w:rPr>
            </w:pPr>
            <w:r w:rsidRPr="00D6525C">
              <w:rPr>
                <w:b w:val="0"/>
                <w:bCs w:val="0"/>
              </w:rPr>
              <w:t>Family relationships</w:t>
            </w:r>
          </w:p>
        </w:tc>
        <w:tc>
          <w:tcPr>
            <w:tcW w:w="5669" w:type="dxa"/>
            <w:noWrap/>
            <w:hideMark/>
          </w:tcPr>
          <w:p w14:paraId="3F84F569" w14:textId="2F85040B" w:rsidR="00C83E69" w:rsidRPr="00D6525C" w:rsidRDefault="00C83E69" w:rsidP="00C83E69">
            <w:pPr>
              <w:pStyle w:val="Tabletext"/>
              <w:cnfStyle w:val="000000100000" w:firstRow="0" w:lastRow="0" w:firstColumn="0" w:lastColumn="0" w:oddVBand="0" w:evenVBand="0" w:oddHBand="1" w:evenHBand="0" w:firstRowFirstColumn="0" w:firstRowLastColumn="0" w:lastRowFirstColumn="0" w:lastRowLastColumn="0"/>
            </w:pPr>
            <w:r w:rsidRPr="00D6525C">
              <w:t xml:space="preserve">Percentage of </w:t>
            </w:r>
            <w:r w:rsidR="00DF60E1">
              <w:t>young people (aged 13-19)</w:t>
            </w:r>
            <w:r w:rsidRPr="00D6525C">
              <w:t xml:space="preserve"> who agree or strongly agree that they get </w:t>
            </w:r>
            <w:r>
              <w:t>parental emotional support</w:t>
            </w:r>
          </w:p>
        </w:tc>
        <w:tc>
          <w:tcPr>
            <w:tcW w:w="1617" w:type="dxa"/>
          </w:tcPr>
          <w:p w14:paraId="4ED944B5" w14:textId="687F188C" w:rsidR="00C83E69" w:rsidRPr="00D6525C" w:rsidRDefault="00C83E69" w:rsidP="00C83E69">
            <w:pPr>
              <w:pStyle w:val="Tabletext"/>
              <w:cnfStyle w:val="000000100000" w:firstRow="0" w:lastRow="0" w:firstColumn="0" w:lastColumn="0" w:oddVBand="0" w:evenVBand="0" w:oddHBand="1" w:evenHBand="0" w:firstRowFirstColumn="0" w:firstRowLastColumn="0" w:lastRowFirstColumn="0" w:lastRowLastColumn="0"/>
            </w:pPr>
            <w:r>
              <w:t>MSD, Youth Health and Wellbeing Survey</w:t>
            </w:r>
          </w:p>
        </w:tc>
        <w:tc>
          <w:tcPr>
            <w:tcW w:w="1607" w:type="dxa"/>
          </w:tcPr>
          <w:p w14:paraId="30CDFCAB" w14:textId="7EE6B3B7" w:rsidR="00C83E69" w:rsidRPr="00D6525C" w:rsidRDefault="00C83E69" w:rsidP="00C83E69">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Data available three yearly</w:t>
            </w:r>
            <w:r w:rsidR="00BD5023">
              <w:rPr>
                <w:szCs w:val="20"/>
              </w:rPr>
              <w:t xml:space="preserve"> </w:t>
            </w:r>
            <w:r w:rsidR="00BD5023" w:rsidRPr="00DA7D37">
              <w:rPr>
                <w:szCs w:val="20"/>
              </w:rPr>
              <w:t>and comparable over time</w:t>
            </w:r>
          </w:p>
        </w:tc>
        <w:tc>
          <w:tcPr>
            <w:tcW w:w="1636" w:type="dxa"/>
          </w:tcPr>
          <w:p w14:paraId="0A716761" w14:textId="7F6B47F0" w:rsidR="00C83E69" w:rsidRPr="00D6525C" w:rsidRDefault="00C83E69" w:rsidP="00C83E69">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Data available by ethnicity, sex, age</w:t>
            </w:r>
            <w:r w:rsidR="00640F1F">
              <w:rPr>
                <w:szCs w:val="20"/>
              </w:rPr>
              <w:t xml:space="preserve"> group</w:t>
            </w:r>
            <w:r w:rsidRPr="00DA7D37">
              <w:rPr>
                <w:szCs w:val="20"/>
              </w:rPr>
              <w:t xml:space="preserve"> </w:t>
            </w:r>
          </w:p>
        </w:tc>
        <w:tc>
          <w:tcPr>
            <w:tcW w:w="1851" w:type="dxa"/>
          </w:tcPr>
          <w:p w14:paraId="412C60E0" w14:textId="771FCF8F" w:rsidR="00C83E69" w:rsidRPr="00DA7D37" w:rsidRDefault="00F95A9E" w:rsidP="00C83E69">
            <w:pPr>
              <w:pStyle w:val="Tabletext"/>
              <w:cnfStyle w:val="000000100000" w:firstRow="0" w:lastRow="0" w:firstColumn="0" w:lastColumn="0" w:oddVBand="0" w:evenVBand="0" w:oddHBand="1" w:evenHBand="0" w:firstRowFirstColumn="0" w:firstRowLastColumn="0" w:lastRowFirstColumn="0" w:lastRowLastColumn="0"/>
              <w:rPr>
                <w:szCs w:val="20"/>
              </w:rPr>
            </w:pPr>
            <w:r>
              <w:rPr>
                <w:szCs w:val="20"/>
              </w:rPr>
              <w:t>In</w:t>
            </w:r>
            <w:r w:rsidR="00C83E69">
              <w:rPr>
                <w:szCs w:val="20"/>
              </w:rPr>
              <w:t>clude</w:t>
            </w:r>
          </w:p>
        </w:tc>
      </w:tr>
      <w:tr w:rsidR="00BD5023" w:rsidRPr="00D6525C" w14:paraId="79D1283E" w14:textId="5F85CB0C" w:rsidTr="00BD5023">
        <w:trPr>
          <w:trHeight w:val="300"/>
        </w:trPr>
        <w:tc>
          <w:tcPr>
            <w:cnfStyle w:val="001000000000" w:firstRow="0" w:lastRow="0" w:firstColumn="1" w:lastColumn="0" w:oddVBand="0" w:evenVBand="0" w:oddHBand="0" w:evenHBand="0" w:firstRowFirstColumn="0" w:firstRowLastColumn="0" w:lastRowFirstColumn="0" w:lastRowLastColumn="0"/>
            <w:tcW w:w="2266" w:type="dxa"/>
            <w:vMerge/>
            <w:noWrap/>
            <w:hideMark/>
          </w:tcPr>
          <w:p w14:paraId="601B72D8" w14:textId="77777777" w:rsidR="00BD5023" w:rsidRPr="00D6525C" w:rsidRDefault="00BD5023" w:rsidP="00BD5023">
            <w:pPr>
              <w:pStyle w:val="Tabletext"/>
              <w:rPr>
                <w:b w:val="0"/>
                <w:bCs w:val="0"/>
              </w:rPr>
            </w:pPr>
          </w:p>
        </w:tc>
        <w:tc>
          <w:tcPr>
            <w:tcW w:w="5669" w:type="dxa"/>
            <w:noWrap/>
            <w:hideMark/>
          </w:tcPr>
          <w:p w14:paraId="1811B172" w14:textId="1EBE768A" w:rsidR="00BD5023" w:rsidRPr="00D6525C" w:rsidRDefault="00BD5023" w:rsidP="00BD5023">
            <w:pPr>
              <w:pStyle w:val="Tabletext"/>
              <w:cnfStyle w:val="000000000000" w:firstRow="0" w:lastRow="0" w:firstColumn="0" w:lastColumn="0" w:oddVBand="0" w:evenVBand="0" w:oddHBand="0" w:evenHBand="0" w:firstRowFirstColumn="0" w:firstRowLastColumn="0" w:lastRowFirstColumn="0" w:lastRowLastColumn="0"/>
            </w:pPr>
            <w:r>
              <w:t>Percentage</w:t>
            </w:r>
            <w:r w:rsidRPr="00D6525C">
              <w:t xml:space="preserve"> of people who rate their family wellbeing highly</w:t>
            </w:r>
          </w:p>
        </w:tc>
        <w:tc>
          <w:tcPr>
            <w:tcW w:w="1617" w:type="dxa"/>
          </w:tcPr>
          <w:p w14:paraId="4BBF681C" w14:textId="7B6DF3D5" w:rsidR="00BD5023" w:rsidRDefault="00BD5023" w:rsidP="00BD5023">
            <w:pPr>
              <w:pStyle w:val="Tabletext"/>
              <w:cnfStyle w:val="000000000000" w:firstRow="0" w:lastRow="0" w:firstColumn="0" w:lastColumn="0" w:oddVBand="0" w:evenVBand="0" w:oddHBand="0" w:evenHBand="0" w:firstRowFirstColumn="0" w:firstRowLastColumn="0" w:lastRowFirstColumn="0" w:lastRowLastColumn="0"/>
            </w:pPr>
            <w:r>
              <w:t>Ministry of Health, NZ Health Survey</w:t>
            </w:r>
          </w:p>
        </w:tc>
        <w:tc>
          <w:tcPr>
            <w:tcW w:w="1607" w:type="dxa"/>
          </w:tcPr>
          <w:p w14:paraId="7F812CC8" w14:textId="07E351F3" w:rsidR="00BD5023" w:rsidRDefault="00BD5023" w:rsidP="00BD5023">
            <w:pPr>
              <w:pStyle w:val="Tabletext"/>
              <w:cnfStyle w:val="000000000000" w:firstRow="0" w:lastRow="0" w:firstColumn="0" w:lastColumn="0" w:oddVBand="0" w:evenVBand="0" w:oddHBand="0" w:evenHBand="0" w:firstRowFirstColumn="0" w:firstRowLastColumn="0" w:lastRowFirstColumn="0" w:lastRowLastColumn="0"/>
            </w:pPr>
            <w:r w:rsidRPr="00DA7D37">
              <w:rPr>
                <w:szCs w:val="20"/>
              </w:rPr>
              <w:t>Data available annually and comparable over time</w:t>
            </w:r>
          </w:p>
        </w:tc>
        <w:tc>
          <w:tcPr>
            <w:tcW w:w="1636" w:type="dxa"/>
          </w:tcPr>
          <w:p w14:paraId="65AB2F12" w14:textId="504D9823" w:rsidR="00BD5023" w:rsidRDefault="00BD5023" w:rsidP="00BD5023">
            <w:pPr>
              <w:pStyle w:val="Tabletext"/>
              <w:cnfStyle w:val="000000000000" w:firstRow="0" w:lastRow="0" w:firstColumn="0" w:lastColumn="0" w:oddVBand="0" w:evenVBand="0" w:oddHBand="0" w:evenHBand="0" w:firstRowFirstColumn="0" w:firstRowLastColumn="0" w:lastRowFirstColumn="0" w:lastRowLastColumn="0"/>
            </w:pPr>
            <w:r w:rsidRPr="00DA7D37">
              <w:rPr>
                <w:szCs w:val="20"/>
              </w:rPr>
              <w:t>Data available by ethnicity, sex, age</w:t>
            </w:r>
            <w:r>
              <w:rPr>
                <w:szCs w:val="20"/>
              </w:rPr>
              <w:t xml:space="preserve"> group</w:t>
            </w:r>
          </w:p>
        </w:tc>
        <w:tc>
          <w:tcPr>
            <w:tcW w:w="1851" w:type="dxa"/>
          </w:tcPr>
          <w:p w14:paraId="2ACB84D2" w14:textId="562D704A" w:rsidR="00BD5023" w:rsidRDefault="00BD5023" w:rsidP="00BD5023">
            <w:pPr>
              <w:pStyle w:val="Tabletext"/>
              <w:cnfStyle w:val="000000000000" w:firstRow="0" w:lastRow="0" w:firstColumn="0" w:lastColumn="0" w:oddVBand="0" w:evenVBand="0" w:oddHBand="0" w:evenHBand="0" w:firstRowFirstColumn="0" w:firstRowLastColumn="0" w:lastRowFirstColumn="0" w:lastRowLastColumn="0"/>
            </w:pPr>
            <w:r>
              <w:rPr>
                <w:szCs w:val="20"/>
              </w:rPr>
              <w:t>Include</w:t>
            </w:r>
          </w:p>
        </w:tc>
      </w:tr>
      <w:tr w:rsidR="00C83E69" w:rsidRPr="00D6525C" w14:paraId="73546A99" w14:textId="500B432A" w:rsidTr="00BD50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6" w:type="dxa"/>
            <w:vMerge w:val="restart"/>
            <w:noWrap/>
            <w:hideMark/>
          </w:tcPr>
          <w:p w14:paraId="6801DDD0" w14:textId="1A3A026D" w:rsidR="00C83E69" w:rsidRPr="00D6525C" w:rsidRDefault="00C83E69" w:rsidP="00D6525C">
            <w:pPr>
              <w:pStyle w:val="Tabletext"/>
              <w:rPr>
                <w:b w:val="0"/>
                <w:bCs w:val="0"/>
              </w:rPr>
            </w:pPr>
            <w:r w:rsidRPr="00D6525C">
              <w:rPr>
                <w:b w:val="0"/>
                <w:bCs w:val="0"/>
              </w:rPr>
              <w:t xml:space="preserve">Family mental </w:t>
            </w:r>
            <w:r>
              <w:rPr>
                <w:b w:val="0"/>
                <w:bCs w:val="0"/>
              </w:rPr>
              <w:t xml:space="preserve">health or addiction </w:t>
            </w:r>
          </w:p>
        </w:tc>
        <w:tc>
          <w:tcPr>
            <w:tcW w:w="5669" w:type="dxa"/>
            <w:noWrap/>
            <w:hideMark/>
          </w:tcPr>
          <w:p w14:paraId="2AA7682E" w14:textId="47C99BF5" w:rsidR="00C83E69" w:rsidRPr="00D6525C" w:rsidRDefault="00C83E69" w:rsidP="00D6525C">
            <w:pPr>
              <w:pStyle w:val="Tabletext"/>
              <w:cnfStyle w:val="000000100000" w:firstRow="0" w:lastRow="0" w:firstColumn="0" w:lastColumn="0" w:oddVBand="0" w:evenVBand="0" w:oddHBand="1" w:evenHBand="0" w:firstRowFirstColumn="0" w:firstRowLastColumn="0" w:lastRowFirstColumn="0" w:lastRowLastColumn="0"/>
            </w:pPr>
            <w:r w:rsidRPr="00D6525C">
              <w:t xml:space="preserve">Percentage of population aged 15+ with one or more family members who have problems with their emotions, mental health, or use of alcohol or drugs </w:t>
            </w:r>
          </w:p>
        </w:tc>
        <w:tc>
          <w:tcPr>
            <w:tcW w:w="1617" w:type="dxa"/>
          </w:tcPr>
          <w:p w14:paraId="24C2B93F" w14:textId="17C16D28" w:rsidR="00C83E69" w:rsidRPr="00D6525C" w:rsidRDefault="00C83E69" w:rsidP="00D6525C">
            <w:pPr>
              <w:pStyle w:val="Tabletext"/>
              <w:cnfStyle w:val="000000100000" w:firstRow="0" w:lastRow="0" w:firstColumn="0" w:lastColumn="0" w:oddVBand="0" w:evenVBand="0" w:oddHBand="1" w:evenHBand="0" w:firstRowFirstColumn="0" w:firstRowLastColumn="0" w:lastRowFirstColumn="0" w:lastRowLastColumn="0"/>
            </w:pPr>
            <w:r>
              <w:t>-</w:t>
            </w:r>
          </w:p>
        </w:tc>
        <w:tc>
          <w:tcPr>
            <w:tcW w:w="1607" w:type="dxa"/>
          </w:tcPr>
          <w:p w14:paraId="00AF4F73" w14:textId="72854323" w:rsidR="00C83E69" w:rsidRPr="00D6525C" w:rsidRDefault="00C83E69" w:rsidP="00D6525C">
            <w:pPr>
              <w:pStyle w:val="Tabletext"/>
              <w:cnfStyle w:val="000000100000" w:firstRow="0" w:lastRow="0" w:firstColumn="0" w:lastColumn="0" w:oddVBand="0" w:evenVBand="0" w:oddHBand="1" w:evenHBand="0" w:firstRowFirstColumn="0" w:firstRowLastColumn="0" w:lastRowFirstColumn="0" w:lastRowLastColumn="0"/>
            </w:pPr>
            <w:r>
              <w:t>-</w:t>
            </w:r>
          </w:p>
        </w:tc>
        <w:tc>
          <w:tcPr>
            <w:tcW w:w="1636" w:type="dxa"/>
          </w:tcPr>
          <w:p w14:paraId="57F3245D" w14:textId="7D6D8AF9" w:rsidR="00C83E69" w:rsidRPr="00D6525C" w:rsidRDefault="00C83E69" w:rsidP="00D6525C">
            <w:pPr>
              <w:pStyle w:val="Tabletext"/>
              <w:cnfStyle w:val="000000100000" w:firstRow="0" w:lastRow="0" w:firstColumn="0" w:lastColumn="0" w:oddVBand="0" w:evenVBand="0" w:oddHBand="1" w:evenHBand="0" w:firstRowFirstColumn="0" w:firstRowLastColumn="0" w:lastRowFirstColumn="0" w:lastRowLastColumn="0"/>
            </w:pPr>
            <w:r>
              <w:t>-</w:t>
            </w:r>
          </w:p>
        </w:tc>
        <w:tc>
          <w:tcPr>
            <w:tcW w:w="1851" w:type="dxa"/>
          </w:tcPr>
          <w:p w14:paraId="5B1C780D" w14:textId="3431A5DC" w:rsidR="00C83E69" w:rsidRDefault="00E86669" w:rsidP="00D6525C">
            <w:pPr>
              <w:pStyle w:val="Tabletext"/>
              <w:cnfStyle w:val="000000100000" w:firstRow="0" w:lastRow="0" w:firstColumn="0" w:lastColumn="0" w:oddVBand="0" w:evenVBand="0" w:oddHBand="1" w:evenHBand="0" w:firstRowFirstColumn="0" w:firstRowLastColumn="0" w:lastRowFirstColumn="0" w:lastRowLastColumn="0"/>
            </w:pPr>
            <w:r>
              <w:rPr>
                <w:szCs w:val="20"/>
              </w:rPr>
              <w:t>Exclude</w:t>
            </w:r>
          </w:p>
        </w:tc>
      </w:tr>
      <w:tr w:rsidR="00C83E69" w:rsidRPr="00D6525C" w14:paraId="53FB0898" w14:textId="21314537" w:rsidTr="00BD5023">
        <w:trPr>
          <w:trHeight w:val="300"/>
        </w:trPr>
        <w:tc>
          <w:tcPr>
            <w:cnfStyle w:val="001000000000" w:firstRow="0" w:lastRow="0" w:firstColumn="1" w:lastColumn="0" w:oddVBand="0" w:evenVBand="0" w:oddHBand="0" w:evenHBand="0" w:firstRowFirstColumn="0" w:firstRowLastColumn="0" w:lastRowFirstColumn="0" w:lastRowLastColumn="0"/>
            <w:tcW w:w="2266" w:type="dxa"/>
            <w:vMerge/>
            <w:noWrap/>
            <w:hideMark/>
          </w:tcPr>
          <w:p w14:paraId="088A7123" w14:textId="77777777" w:rsidR="00C83E69" w:rsidRPr="00D6525C" w:rsidRDefault="00C83E69" w:rsidP="00D6525C">
            <w:pPr>
              <w:pStyle w:val="Tabletext"/>
            </w:pPr>
          </w:p>
        </w:tc>
        <w:tc>
          <w:tcPr>
            <w:tcW w:w="5669" w:type="dxa"/>
            <w:noWrap/>
            <w:hideMark/>
          </w:tcPr>
          <w:p w14:paraId="42230170" w14:textId="1C70DDD3" w:rsidR="00C83E69" w:rsidRPr="00D6525C" w:rsidRDefault="00C83E69" w:rsidP="00D6525C">
            <w:pPr>
              <w:pStyle w:val="Tabletext"/>
              <w:cnfStyle w:val="000000000000" w:firstRow="0" w:lastRow="0" w:firstColumn="0" w:lastColumn="0" w:oddVBand="0" w:evenVBand="0" w:oddHBand="0" w:evenHBand="0" w:firstRowFirstColumn="0" w:firstRowLastColumn="0" w:lastRowFirstColumn="0" w:lastRowLastColumn="0"/>
            </w:pPr>
            <w:r w:rsidRPr="00D6525C">
              <w:t>Among those with one or more family members who have problems with their emotions, mental health, or use of alcohol or drugs, percentage who report that their life is affected some or a lot by their family member's problems</w:t>
            </w:r>
          </w:p>
        </w:tc>
        <w:tc>
          <w:tcPr>
            <w:tcW w:w="1617" w:type="dxa"/>
          </w:tcPr>
          <w:p w14:paraId="217C2C30" w14:textId="6E797CFF" w:rsidR="00C83E69" w:rsidRPr="00D6525C" w:rsidRDefault="00C83E69" w:rsidP="00D6525C">
            <w:pPr>
              <w:pStyle w:val="Tabletext"/>
              <w:cnfStyle w:val="000000000000" w:firstRow="0" w:lastRow="0" w:firstColumn="0" w:lastColumn="0" w:oddVBand="0" w:evenVBand="0" w:oddHBand="0" w:evenHBand="0" w:firstRowFirstColumn="0" w:firstRowLastColumn="0" w:lastRowFirstColumn="0" w:lastRowLastColumn="0"/>
            </w:pPr>
            <w:r>
              <w:t>-</w:t>
            </w:r>
          </w:p>
        </w:tc>
        <w:tc>
          <w:tcPr>
            <w:tcW w:w="1607" w:type="dxa"/>
          </w:tcPr>
          <w:p w14:paraId="2395D50F" w14:textId="45BD3D4B" w:rsidR="00C83E69" w:rsidRPr="00D6525C" w:rsidRDefault="00C83E69" w:rsidP="00D6525C">
            <w:pPr>
              <w:pStyle w:val="Tabletext"/>
              <w:cnfStyle w:val="000000000000" w:firstRow="0" w:lastRow="0" w:firstColumn="0" w:lastColumn="0" w:oddVBand="0" w:evenVBand="0" w:oddHBand="0" w:evenHBand="0" w:firstRowFirstColumn="0" w:firstRowLastColumn="0" w:lastRowFirstColumn="0" w:lastRowLastColumn="0"/>
            </w:pPr>
            <w:r>
              <w:t>-</w:t>
            </w:r>
          </w:p>
        </w:tc>
        <w:tc>
          <w:tcPr>
            <w:tcW w:w="1636" w:type="dxa"/>
          </w:tcPr>
          <w:p w14:paraId="64B8AB56" w14:textId="07E54D6D" w:rsidR="00C83E69" w:rsidRPr="00D6525C" w:rsidRDefault="00C83E69" w:rsidP="00D6525C">
            <w:pPr>
              <w:pStyle w:val="Tabletext"/>
              <w:cnfStyle w:val="000000000000" w:firstRow="0" w:lastRow="0" w:firstColumn="0" w:lastColumn="0" w:oddVBand="0" w:evenVBand="0" w:oddHBand="0" w:evenHBand="0" w:firstRowFirstColumn="0" w:firstRowLastColumn="0" w:lastRowFirstColumn="0" w:lastRowLastColumn="0"/>
            </w:pPr>
            <w:r>
              <w:t>-</w:t>
            </w:r>
          </w:p>
        </w:tc>
        <w:tc>
          <w:tcPr>
            <w:tcW w:w="1851" w:type="dxa"/>
          </w:tcPr>
          <w:p w14:paraId="7A39200D" w14:textId="6FB4AE75" w:rsidR="00C83E69" w:rsidRDefault="00E86669" w:rsidP="00D6525C">
            <w:pPr>
              <w:pStyle w:val="Tabletext"/>
              <w:cnfStyle w:val="000000000000" w:firstRow="0" w:lastRow="0" w:firstColumn="0" w:lastColumn="0" w:oddVBand="0" w:evenVBand="0" w:oddHBand="0" w:evenHBand="0" w:firstRowFirstColumn="0" w:firstRowLastColumn="0" w:lastRowFirstColumn="0" w:lastRowLastColumn="0"/>
            </w:pPr>
            <w:r>
              <w:rPr>
                <w:szCs w:val="20"/>
              </w:rPr>
              <w:t>Exclude</w:t>
            </w:r>
          </w:p>
        </w:tc>
      </w:tr>
    </w:tbl>
    <w:p w14:paraId="0BF8EC1B" w14:textId="77777777" w:rsidR="00696760" w:rsidRDefault="00696760" w:rsidP="00E81C83">
      <w:pPr>
        <w:pStyle w:val="Heading2"/>
        <w:sectPr w:rsidR="00696760" w:rsidSect="00886D66">
          <w:footerReference w:type="default" r:id="rId29"/>
          <w:pgSz w:w="16838" w:h="11906" w:orient="landscape"/>
          <w:pgMar w:top="1440" w:right="1440" w:bottom="1440" w:left="1440" w:header="708" w:footer="708" w:gutter="0"/>
          <w:cols w:space="708"/>
          <w:docGrid w:linePitch="360"/>
        </w:sectPr>
      </w:pPr>
    </w:p>
    <w:p w14:paraId="5E7C65A5" w14:textId="572A40F3" w:rsidR="00D6525C" w:rsidRDefault="00181C16" w:rsidP="00E01442">
      <w:pPr>
        <w:pStyle w:val="Heading2"/>
        <w:ind w:left="851" w:hanging="851"/>
      </w:pPr>
      <w:bookmarkStart w:id="14" w:name="_Toc208223388"/>
      <w:r w:rsidRPr="00E81C83">
        <w:lastRenderedPageBreak/>
        <w:t>Individual</w:t>
      </w:r>
      <w:r w:rsidR="00636D85">
        <w:t>-level</w:t>
      </w:r>
      <w:r>
        <w:t xml:space="preserve"> factors</w:t>
      </w:r>
      <w:bookmarkEnd w:id="14"/>
    </w:p>
    <w:p w14:paraId="51837195" w14:textId="5BBACB3B" w:rsidR="003D7C8D" w:rsidRPr="003D7C8D" w:rsidRDefault="00E756D5" w:rsidP="003D7C8D">
      <w:r>
        <w:t>A wide range of individual level risk factors are identified in the literature. These</w:t>
      </w:r>
      <w:r w:rsidR="009A0891">
        <w:t xml:space="preserve"> risk (and protective) factors </w:t>
      </w:r>
      <w:r w:rsidR="00686DDF">
        <w:t xml:space="preserve">reflect that suicide is </w:t>
      </w:r>
      <w:r w:rsidR="00A10623">
        <w:t>multifactorial involving</w:t>
      </w:r>
      <w:r w:rsidR="00506B49">
        <w:t xml:space="preserve"> </w:t>
      </w:r>
      <w:r w:rsidR="00545E5A">
        <w:t>psychological</w:t>
      </w:r>
      <w:r w:rsidR="00506B49">
        <w:t>, emotional and behavioural challenges</w:t>
      </w:r>
      <w:r w:rsidR="00545E5A">
        <w:t xml:space="preserve">. </w:t>
      </w:r>
      <w:r w:rsidR="00196706">
        <w:t xml:space="preserve">As noted previously, </w:t>
      </w:r>
      <w:r w:rsidR="00CC3F94">
        <w:t>all factors, in some way, reflect social determinants (</w:t>
      </w:r>
      <w:proofErr w:type="spellStart"/>
      <w:r w:rsidR="00CC3F94">
        <w:t>Pirkis</w:t>
      </w:r>
      <w:proofErr w:type="spellEnd"/>
      <w:r w:rsidR="00CC3F94">
        <w:t xml:space="preserve"> et al., 2024)</w:t>
      </w:r>
      <w:r w:rsidR="006034D6">
        <w:t>.</w:t>
      </w:r>
      <w:r w:rsidR="00E41084">
        <w:t xml:space="preserve"> </w:t>
      </w:r>
      <w:r w:rsidR="00545E5A">
        <w:t>Indicators for the</w:t>
      </w:r>
      <w:r w:rsidR="00820B84">
        <w:t xml:space="preserve"> selected</w:t>
      </w:r>
      <w:r w:rsidR="00F752FB">
        <w:t xml:space="preserve"> individual-level</w:t>
      </w:r>
      <w:r w:rsidR="00545E5A">
        <w:t xml:space="preserve"> factors discussed below are </w:t>
      </w:r>
      <w:r w:rsidR="00820B84">
        <w:t>listed</w:t>
      </w:r>
      <w:r w:rsidR="00545E5A">
        <w:t xml:space="preserve"> in </w:t>
      </w:r>
      <w:r w:rsidR="00545E5A">
        <w:fldChar w:fldCharType="begin"/>
      </w:r>
      <w:r w:rsidR="00545E5A">
        <w:instrText xml:space="preserve"> REF _Ref204948730 \h </w:instrText>
      </w:r>
      <w:r w:rsidR="00545E5A">
        <w:fldChar w:fldCharType="separate"/>
      </w:r>
      <w:r w:rsidR="00914243">
        <w:t xml:space="preserve">Table </w:t>
      </w:r>
      <w:r w:rsidR="00914243">
        <w:rPr>
          <w:noProof/>
        </w:rPr>
        <w:t>5</w:t>
      </w:r>
      <w:r w:rsidR="00545E5A">
        <w:fldChar w:fldCharType="end"/>
      </w:r>
      <w:r w:rsidR="00545E5A">
        <w:t>.</w:t>
      </w:r>
    </w:p>
    <w:p w14:paraId="2E9E8128" w14:textId="77777777" w:rsidR="00304C94" w:rsidRDefault="00304C94" w:rsidP="00E01442">
      <w:pPr>
        <w:pStyle w:val="Heading3"/>
        <w:ind w:left="851" w:hanging="851"/>
      </w:pPr>
      <w:r>
        <w:t>Social connectedness</w:t>
      </w:r>
    </w:p>
    <w:p w14:paraId="3BC6DADC" w14:textId="45CB9569" w:rsidR="00824244" w:rsidRPr="00E97635" w:rsidRDefault="00304C94" w:rsidP="00824244">
      <w:pPr>
        <w:rPr>
          <w:color w:val="FF0000"/>
        </w:rPr>
      </w:pPr>
      <w:r>
        <w:t>There is a</w:t>
      </w:r>
      <w:r w:rsidRPr="00A83673">
        <w:t xml:space="preserve"> positive and direct relationship between suicide mortality and social isolation and loneliness</w:t>
      </w:r>
      <w:r w:rsidR="00677ED4">
        <w:t xml:space="preserve"> in all age groups</w:t>
      </w:r>
      <w:r w:rsidRPr="00A83673">
        <w:t xml:space="preserve"> </w:t>
      </w:r>
      <w:r>
        <w:t>(</w:t>
      </w:r>
      <w:proofErr w:type="spellStart"/>
      <w:r w:rsidRPr="00A83673">
        <w:t>Blázquez</w:t>
      </w:r>
      <w:proofErr w:type="spellEnd"/>
      <w:r>
        <w:t>-</w:t>
      </w:r>
      <w:r w:rsidRPr="00A83673">
        <w:t>Fernández et al</w:t>
      </w:r>
      <w:r>
        <w:t>., 2023).</w:t>
      </w:r>
      <w:r w:rsidR="00512AB4">
        <w:t xml:space="preserve"> </w:t>
      </w:r>
      <w:r>
        <w:t>Our potential indicator is the p</w:t>
      </w:r>
      <w:r w:rsidRPr="00D07B0C">
        <w:t xml:space="preserve">ercentage of population </w:t>
      </w:r>
      <w:r>
        <w:t xml:space="preserve">aged </w:t>
      </w:r>
      <w:r w:rsidRPr="00D07B0C">
        <w:t>15+ who report feeling lonely a little or none of the time in the last four week</w:t>
      </w:r>
      <w:r>
        <w:t xml:space="preserve">s. We </w:t>
      </w:r>
      <w:r w:rsidR="00F959C8">
        <w:t>currently monitor</w:t>
      </w:r>
      <w:r>
        <w:t xml:space="preserve"> this indicator in </w:t>
      </w:r>
      <w:r w:rsidR="00566023">
        <w:t>our</w:t>
      </w:r>
      <w:r>
        <w:t xml:space="preserve"> He Ara Oranga framework, using data from </w:t>
      </w:r>
      <w:r w:rsidR="00FA1513">
        <w:t>the</w:t>
      </w:r>
      <w:r>
        <w:t xml:space="preserve"> General Social Survey. This data is also collected in the core New Zealand Health Survey (available annually). </w:t>
      </w:r>
      <w:r w:rsidR="00824244">
        <w:t>Data for children</w:t>
      </w:r>
      <w:r w:rsidR="00AE461D">
        <w:t xml:space="preserve"> and young people</w:t>
      </w:r>
      <w:r w:rsidR="00824244">
        <w:t xml:space="preserve"> may come from the upcoming </w:t>
      </w:r>
      <w:r w:rsidR="00824244" w:rsidRPr="00134045">
        <w:t>Child and</w:t>
      </w:r>
      <w:r w:rsidR="00824244" w:rsidRPr="00134045">
        <w:rPr>
          <w:rFonts w:ascii="Calibri" w:hAnsi="Calibri" w:cs="Calibri"/>
        </w:rPr>
        <w:t> </w:t>
      </w:r>
      <w:r w:rsidR="00824244" w:rsidRPr="00134045">
        <w:t>Youth Mental Health</w:t>
      </w:r>
      <w:r w:rsidR="0074188D">
        <w:t xml:space="preserve"> </w:t>
      </w:r>
      <w:r w:rsidR="0074188D" w:rsidRPr="00134045">
        <w:t>and Addiction</w:t>
      </w:r>
      <w:r w:rsidR="0074188D" w:rsidRPr="00134045">
        <w:rPr>
          <w:rFonts w:ascii="Calibri" w:hAnsi="Calibri" w:cs="Calibri"/>
        </w:rPr>
        <w:t> </w:t>
      </w:r>
      <w:r w:rsidR="0074188D" w:rsidRPr="00134045">
        <w:t>Prevalence</w:t>
      </w:r>
      <w:r w:rsidR="00824244" w:rsidRPr="00134045">
        <w:t xml:space="preserve"> </w:t>
      </w:r>
      <w:r w:rsidR="00824244">
        <w:t>S</w:t>
      </w:r>
      <w:r w:rsidR="00824244" w:rsidRPr="00134045">
        <w:t>urvey</w:t>
      </w:r>
      <w:r w:rsidR="0039586E">
        <w:t xml:space="preserve">, or </w:t>
      </w:r>
      <w:r w:rsidR="00AE461D">
        <w:t>from the Youth Health and Wellbeing Survey</w:t>
      </w:r>
      <w:r w:rsidR="00824244">
        <w:t>.</w:t>
      </w:r>
    </w:p>
    <w:p w14:paraId="1B602382" w14:textId="0092990C" w:rsidR="00AF3C03" w:rsidRDefault="00AF3C03" w:rsidP="00E01442">
      <w:pPr>
        <w:pStyle w:val="Heading3"/>
        <w:ind w:left="851" w:hanging="851"/>
      </w:pPr>
      <w:r>
        <w:t>Physical health</w:t>
      </w:r>
    </w:p>
    <w:p w14:paraId="6843AAFA" w14:textId="79C0E10E" w:rsidR="00AF3C03" w:rsidRPr="00AF3C03" w:rsidRDefault="008B15F2" w:rsidP="00AF3C03">
      <w:pPr>
        <w:rPr>
          <w:lang w:eastAsia="en-NZ"/>
        </w:rPr>
      </w:pPr>
      <w:r>
        <w:rPr>
          <w:lang w:eastAsia="en-NZ"/>
        </w:rPr>
        <w:t xml:space="preserve">Research </w:t>
      </w:r>
      <w:r w:rsidR="00A57300">
        <w:rPr>
          <w:lang w:eastAsia="en-NZ"/>
        </w:rPr>
        <w:t>links poor physical health with increased suicide risk in</w:t>
      </w:r>
      <w:r w:rsidR="005951D1">
        <w:rPr>
          <w:lang w:eastAsia="en-NZ"/>
        </w:rPr>
        <w:t xml:space="preserve"> adults</w:t>
      </w:r>
      <w:r w:rsidR="00695706">
        <w:rPr>
          <w:lang w:eastAsia="en-NZ"/>
        </w:rPr>
        <w:t xml:space="preserve"> (</w:t>
      </w:r>
      <w:proofErr w:type="spellStart"/>
      <w:r w:rsidR="00901AF2" w:rsidRPr="00901AF2">
        <w:rPr>
          <w:lang w:eastAsia="en-NZ"/>
        </w:rPr>
        <w:t>Ahmedani</w:t>
      </w:r>
      <w:proofErr w:type="spellEnd"/>
      <w:r w:rsidR="00901AF2" w:rsidRPr="00901AF2">
        <w:rPr>
          <w:lang w:eastAsia="en-NZ"/>
        </w:rPr>
        <w:t xml:space="preserve"> et al.</w:t>
      </w:r>
      <w:r w:rsidR="00EA167A">
        <w:rPr>
          <w:lang w:eastAsia="en-NZ"/>
        </w:rPr>
        <w:t xml:space="preserve">, 2017; </w:t>
      </w:r>
      <w:r w:rsidR="00CB39F5">
        <w:rPr>
          <w:lang w:eastAsia="en-NZ"/>
        </w:rPr>
        <w:t>Qi</w:t>
      </w:r>
      <w:r w:rsidR="001E7F77">
        <w:rPr>
          <w:lang w:eastAsia="en-NZ"/>
        </w:rPr>
        <w:t>n et al., 2022</w:t>
      </w:r>
      <w:r w:rsidR="00EA167A">
        <w:rPr>
          <w:lang w:eastAsia="en-NZ"/>
        </w:rPr>
        <w:t>;</w:t>
      </w:r>
      <w:r w:rsidR="00EA167A" w:rsidRPr="00EA167A">
        <w:rPr>
          <w:lang w:eastAsia="en-NZ"/>
        </w:rPr>
        <w:t xml:space="preserve"> </w:t>
      </w:r>
      <w:r w:rsidR="00EA167A">
        <w:rPr>
          <w:lang w:eastAsia="en-NZ"/>
        </w:rPr>
        <w:t>Troya et al., 2019</w:t>
      </w:r>
      <w:r w:rsidR="00CB39F5">
        <w:rPr>
          <w:lang w:eastAsia="en-NZ"/>
        </w:rPr>
        <w:t>)</w:t>
      </w:r>
      <w:r w:rsidR="00EA167A">
        <w:rPr>
          <w:lang w:eastAsia="en-NZ"/>
        </w:rPr>
        <w:t xml:space="preserve">. </w:t>
      </w:r>
      <w:proofErr w:type="spellStart"/>
      <w:r w:rsidR="00BB35AF" w:rsidRPr="00901AF2">
        <w:rPr>
          <w:lang w:eastAsia="en-NZ"/>
        </w:rPr>
        <w:t>Ahmedani</w:t>
      </w:r>
      <w:proofErr w:type="spellEnd"/>
      <w:r w:rsidR="00A91E12">
        <w:rPr>
          <w:lang w:eastAsia="en-NZ"/>
        </w:rPr>
        <w:t xml:space="preserve"> </w:t>
      </w:r>
      <w:r w:rsidR="00BB35AF">
        <w:rPr>
          <w:lang w:eastAsia="en-NZ"/>
        </w:rPr>
        <w:t xml:space="preserve">et </w:t>
      </w:r>
      <w:proofErr w:type="spellStart"/>
      <w:r w:rsidR="00BB35AF">
        <w:rPr>
          <w:lang w:eastAsia="en-NZ"/>
        </w:rPr>
        <w:t>al’s</w:t>
      </w:r>
      <w:proofErr w:type="spellEnd"/>
      <w:r w:rsidR="00BB35AF">
        <w:rPr>
          <w:lang w:eastAsia="en-NZ"/>
        </w:rPr>
        <w:t xml:space="preserve"> </w:t>
      </w:r>
      <w:r w:rsidR="00660808">
        <w:rPr>
          <w:lang w:eastAsia="en-NZ"/>
        </w:rPr>
        <w:t xml:space="preserve">(2017) </w:t>
      </w:r>
      <w:r w:rsidR="00F031E2">
        <w:rPr>
          <w:lang w:eastAsia="en-NZ"/>
        </w:rPr>
        <w:t xml:space="preserve">study </w:t>
      </w:r>
      <w:r w:rsidR="00BB35AF" w:rsidRPr="00176E88">
        <w:t xml:space="preserve">of the risk of suicide among </w:t>
      </w:r>
      <w:r w:rsidR="00BB35AF">
        <w:t>people</w:t>
      </w:r>
      <w:r w:rsidR="00BB35AF" w:rsidRPr="00176E88">
        <w:t xml:space="preserve"> with major physical health conditions</w:t>
      </w:r>
      <w:r w:rsidR="00FC419A">
        <w:t xml:space="preserve"> </w:t>
      </w:r>
      <w:r w:rsidR="005D14FA" w:rsidRPr="00176E88">
        <w:t>in the US general population</w:t>
      </w:r>
      <w:r w:rsidR="005D14FA">
        <w:t xml:space="preserve"> </w:t>
      </w:r>
      <w:r w:rsidR="00FC419A">
        <w:t>f</w:t>
      </w:r>
      <w:r w:rsidR="00BB35AF">
        <w:t>ound several conditions (</w:t>
      </w:r>
      <w:r w:rsidR="00BB35AF" w:rsidRPr="00176E88">
        <w:t>back pain, sleep disorders, and traumatic brain injury</w:t>
      </w:r>
      <w:r w:rsidR="00BB35AF">
        <w:t>)</w:t>
      </w:r>
      <w:r w:rsidR="00BB35AF" w:rsidRPr="00176E88">
        <w:t xml:space="preserve"> </w:t>
      </w:r>
      <w:r w:rsidR="00BB35AF">
        <w:t xml:space="preserve">associated </w:t>
      </w:r>
      <w:r w:rsidR="00BB35AF" w:rsidRPr="00176E88">
        <w:t xml:space="preserve">with </w:t>
      </w:r>
      <w:r w:rsidR="00FC419A">
        <w:t xml:space="preserve">increased </w:t>
      </w:r>
      <w:r w:rsidR="00BB35AF" w:rsidRPr="00176E88">
        <w:t xml:space="preserve">suicide risk. </w:t>
      </w:r>
      <w:r w:rsidR="00FC419A">
        <w:t>People</w:t>
      </w:r>
      <w:r w:rsidR="00BB35AF" w:rsidRPr="00176E88">
        <w:t xml:space="preserve"> with multiple chronic conditions were at significantly increased risk for suicide</w:t>
      </w:r>
      <w:r w:rsidR="00FC419A">
        <w:t xml:space="preserve">. </w:t>
      </w:r>
      <w:r w:rsidR="00AD0EE8">
        <w:rPr>
          <w:lang w:eastAsia="en-NZ"/>
        </w:rPr>
        <w:t>Our suggested indicator</w:t>
      </w:r>
      <w:r w:rsidR="00FE5D32">
        <w:rPr>
          <w:lang w:eastAsia="en-NZ"/>
        </w:rPr>
        <w:t xml:space="preserve"> (t</w:t>
      </w:r>
      <w:r w:rsidR="00FE5D32" w:rsidRPr="00FE5D32">
        <w:rPr>
          <w:lang w:eastAsia="en-NZ"/>
        </w:rPr>
        <w:t xml:space="preserve">he </w:t>
      </w:r>
      <w:r w:rsidR="00DF4546">
        <w:rPr>
          <w:lang w:eastAsia="en-NZ"/>
        </w:rPr>
        <w:t>percentage</w:t>
      </w:r>
      <w:r w:rsidR="00FE5D32" w:rsidRPr="00FE5D32">
        <w:rPr>
          <w:lang w:eastAsia="en-NZ"/>
        </w:rPr>
        <w:t xml:space="preserve"> of </w:t>
      </w:r>
      <w:r w:rsidR="00B83E76">
        <w:rPr>
          <w:lang w:eastAsia="en-NZ"/>
        </w:rPr>
        <w:t>the population (aged 1</w:t>
      </w:r>
      <w:r w:rsidR="001B02AD">
        <w:rPr>
          <w:lang w:eastAsia="en-NZ"/>
        </w:rPr>
        <w:t>5+)</w:t>
      </w:r>
      <w:r w:rsidR="0088306D">
        <w:rPr>
          <w:lang w:eastAsia="en-NZ"/>
        </w:rPr>
        <w:t xml:space="preserve"> </w:t>
      </w:r>
      <w:r w:rsidR="00FE5D32" w:rsidRPr="00FE5D32">
        <w:rPr>
          <w:lang w:eastAsia="en-NZ"/>
        </w:rPr>
        <w:t>who rate their health status as good, very good or excellent</w:t>
      </w:r>
      <w:r w:rsidR="00FE5D32">
        <w:rPr>
          <w:lang w:eastAsia="en-NZ"/>
        </w:rPr>
        <w:t xml:space="preserve">) is available annually </w:t>
      </w:r>
      <w:r w:rsidR="0088306D">
        <w:rPr>
          <w:lang w:eastAsia="en-NZ"/>
        </w:rPr>
        <w:t>from the NZ Health Survey.</w:t>
      </w:r>
      <w:r w:rsidR="00FE5D32">
        <w:rPr>
          <w:lang w:eastAsia="en-NZ"/>
        </w:rPr>
        <w:t xml:space="preserve"> </w:t>
      </w:r>
    </w:p>
    <w:p w14:paraId="0AB31CEA" w14:textId="12427A72" w:rsidR="00B87206" w:rsidRDefault="00686814" w:rsidP="00C00157">
      <w:pPr>
        <w:pStyle w:val="Heading3"/>
        <w:ind w:left="851" w:hanging="851"/>
      </w:pPr>
      <w:r>
        <w:t>P</w:t>
      </w:r>
      <w:r w:rsidR="00B87206">
        <w:t>sychological distress</w:t>
      </w:r>
    </w:p>
    <w:p w14:paraId="7DA10E64" w14:textId="1F1E520D" w:rsidR="007503CF" w:rsidRDefault="007503CF" w:rsidP="007503CF">
      <w:r w:rsidRPr="00390550">
        <w:t>High levels of psychological distress are associated with greater risk for both non-fatal self-harm and suicide</w:t>
      </w:r>
      <w:r w:rsidR="00AC620F">
        <w:t xml:space="preserve"> in adults</w:t>
      </w:r>
      <w:r w:rsidR="00E96047">
        <w:t xml:space="preserve"> </w:t>
      </w:r>
      <w:r w:rsidR="008E0095">
        <w:t>(Bell</w:t>
      </w:r>
      <w:r w:rsidR="00C542C1">
        <w:t xml:space="preserve"> </w:t>
      </w:r>
      <w:r w:rsidR="00CB3EB6">
        <w:t>et al., 2015)</w:t>
      </w:r>
      <w:r w:rsidR="003B3FA5">
        <w:t>. M</w:t>
      </w:r>
      <w:r w:rsidR="00C542C1">
        <w:t>oderate</w:t>
      </w:r>
      <w:r w:rsidR="005863E3">
        <w:t xml:space="preserve"> </w:t>
      </w:r>
      <w:r w:rsidR="003B3FA5">
        <w:t>psychological</w:t>
      </w:r>
      <w:r w:rsidR="005863E3">
        <w:t xml:space="preserve"> distress (measured by the</w:t>
      </w:r>
      <w:r w:rsidR="00C542C1">
        <w:t xml:space="preserve"> </w:t>
      </w:r>
      <w:r w:rsidR="005863E3">
        <w:t>K6</w:t>
      </w:r>
      <w:r w:rsidR="00C542C1">
        <w:rPr>
          <w:rStyle w:val="FootnoteReference"/>
        </w:rPr>
        <w:footnoteReference w:id="15"/>
      </w:r>
      <w:r w:rsidR="005863E3">
        <w:t xml:space="preserve">) </w:t>
      </w:r>
      <w:r w:rsidR="00DA51CD">
        <w:t>has</w:t>
      </w:r>
      <w:r w:rsidR="005863E3">
        <w:t xml:space="preserve"> also </w:t>
      </w:r>
      <w:r w:rsidR="00DA51CD">
        <w:t xml:space="preserve">been </w:t>
      </w:r>
      <w:r w:rsidR="005863E3">
        <w:t>associated</w:t>
      </w:r>
      <w:r w:rsidR="009A30FB">
        <w:t xml:space="preserve"> </w:t>
      </w:r>
      <w:r w:rsidR="00BD3505">
        <w:t xml:space="preserve">- in one adult study in Japan - </w:t>
      </w:r>
      <w:r w:rsidR="005863E3">
        <w:t xml:space="preserve">with </w:t>
      </w:r>
      <w:r w:rsidR="005863E3" w:rsidRPr="005863E3">
        <w:t xml:space="preserve">an increased risk of </w:t>
      </w:r>
      <w:r w:rsidR="00DB23D2">
        <w:t>death by</w:t>
      </w:r>
      <w:r w:rsidR="00DB23D2" w:rsidRPr="005863E3">
        <w:t xml:space="preserve"> </w:t>
      </w:r>
      <w:r w:rsidR="005863E3" w:rsidRPr="005863E3">
        <w:t>suicide</w:t>
      </w:r>
      <w:r w:rsidR="00043D51">
        <w:t xml:space="preserve"> in adults</w:t>
      </w:r>
      <w:r w:rsidR="00DA51CD">
        <w:t xml:space="preserve"> (</w:t>
      </w:r>
      <w:r w:rsidR="003B3FA5">
        <w:t>Tanji et al., 2018)</w:t>
      </w:r>
      <w:r w:rsidR="005863E3" w:rsidRPr="005863E3">
        <w:t xml:space="preserve">. </w:t>
      </w:r>
    </w:p>
    <w:p w14:paraId="583629F3" w14:textId="02DDFB49" w:rsidR="0068578A" w:rsidRDefault="0068578A" w:rsidP="0068578A">
      <w:r>
        <w:t xml:space="preserve">Data for this </w:t>
      </w:r>
      <w:r w:rsidR="00B45F1A">
        <w:t xml:space="preserve">potential </w:t>
      </w:r>
      <w:r>
        <w:t>indicator comes from the New Zealand Health Survey</w:t>
      </w:r>
      <w:r w:rsidR="00B45F1A">
        <w:t xml:space="preserve"> (</w:t>
      </w:r>
      <w:r w:rsidR="00985B04">
        <w:t xml:space="preserve">the </w:t>
      </w:r>
      <w:r w:rsidR="006E0859">
        <w:t>p</w:t>
      </w:r>
      <w:r w:rsidR="003147D9" w:rsidRPr="00D07B0C">
        <w:t xml:space="preserve">ercentage of </w:t>
      </w:r>
      <w:r w:rsidR="001C3FC0">
        <w:t xml:space="preserve">the </w:t>
      </w:r>
      <w:r w:rsidR="003147D9" w:rsidRPr="00D07B0C">
        <w:t xml:space="preserve">population aged 15+ </w:t>
      </w:r>
      <w:r w:rsidR="003147D9">
        <w:t>who have e</w:t>
      </w:r>
      <w:r w:rsidR="003147D9" w:rsidRPr="00D07B0C">
        <w:t>xperienced high or very high levels of psychological distress in the past 4 weeks</w:t>
      </w:r>
      <w:r w:rsidR="003147D9">
        <w:t>)</w:t>
      </w:r>
      <w:r>
        <w:t xml:space="preserve">. </w:t>
      </w:r>
      <w:r w:rsidRPr="00292E59">
        <w:t>The K10</w:t>
      </w:r>
      <w:r w:rsidR="003147D9" w:rsidRPr="00292E59">
        <w:rPr>
          <w:rStyle w:val="FootnoteReference"/>
        </w:rPr>
        <w:footnoteReference w:id="16"/>
      </w:r>
      <w:r w:rsidRPr="00292E59">
        <w:t xml:space="preserve"> scale</w:t>
      </w:r>
      <w:r>
        <w:t xml:space="preserve"> used in the survey questionnaire</w:t>
      </w:r>
      <w:r w:rsidRPr="00447669">
        <w:t xml:space="preserve"> is a screening tool, </w:t>
      </w:r>
      <w:r>
        <w:t>not</w:t>
      </w:r>
      <w:r w:rsidRPr="00447669">
        <w:t xml:space="preserve"> a diagnostic tool</w:t>
      </w:r>
      <w:r w:rsidR="008269B2">
        <w:t xml:space="preserve">, however, </w:t>
      </w:r>
      <w:r w:rsidRPr="004540ED">
        <w:t xml:space="preserve">distress measures such as the K10 are a sensitive, low-burden method for tracking changes in mental </w:t>
      </w:r>
      <w:r w:rsidRPr="004540ED">
        <w:lastRenderedPageBreak/>
        <w:t xml:space="preserve">wellbeing. </w:t>
      </w:r>
      <w:r w:rsidR="00DE7154">
        <w:t>Using such a</w:t>
      </w:r>
      <w:r w:rsidRPr="004540ED">
        <w:t xml:space="preserve"> </w:t>
      </w:r>
      <w:r>
        <w:t>population-level</w:t>
      </w:r>
      <w:r w:rsidRPr="004540ED">
        <w:t xml:space="preserve"> indicator is</w:t>
      </w:r>
      <w:r>
        <w:t xml:space="preserve"> </w:t>
      </w:r>
      <w:r w:rsidRPr="004540ED">
        <w:t xml:space="preserve">supported by international public health practice </w:t>
      </w:r>
      <w:r>
        <w:t>(</w:t>
      </w:r>
      <w:r w:rsidRPr="004540ED">
        <w:t>Tanji et al</w:t>
      </w:r>
      <w:r>
        <w:t>.,</w:t>
      </w:r>
      <w:r w:rsidRPr="004540ED">
        <w:t xml:space="preserve"> 2018</w:t>
      </w:r>
      <w:r>
        <w:t>).</w:t>
      </w:r>
      <w:r w:rsidR="004845F3">
        <w:t xml:space="preserve"> </w:t>
      </w:r>
      <w:r w:rsidR="00AE461D">
        <w:t xml:space="preserve">Again, data for children and young people may come from the upcoming </w:t>
      </w:r>
      <w:r w:rsidR="00AE461D" w:rsidRPr="00134045">
        <w:t>Child and</w:t>
      </w:r>
      <w:r w:rsidR="00AE461D" w:rsidRPr="00134045">
        <w:rPr>
          <w:rFonts w:ascii="Calibri" w:hAnsi="Calibri" w:cs="Calibri"/>
        </w:rPr>
        <w:t> </w:t>
      </w:r>
      <w:r w:rsidR="00AE461D" w:rsidRPr="00134045">
        <w:t xml:space="preserve">Youth Mental Health </w:t>
      </w:r>
      <w:r w:rsidR="004B6672" w:rsidRPr="00134045">
        <w:t>and Addiction</w:t>
      </w:r>
      <w:r w:rsidR="004B6672" w:rsidRPr="00134045">
        <w:rPr>
          <w:rFonts w:ascii="Calibri" w:hAnsi="Calibri" w:cs="Calibri"/>
        </w:rPr>
        <w:t> </w:t>
      </w:r>
      <w:r w:rsidR="004B6672" w:rsidRPr="00134045">
        <w:t xml:space="preserve">Prevalence </w:t>
      </w:r>
      <w:r w:rsidR="00AE461D">
        <w:t>S</w:t>
      </w:r>
      <w:r w:rsidR="00AE461D" w:rsidRPr="00134045">
        <w:t>urvey</w:t>
      </w:r>
      <w:r w:rsidR="00AE461D">
        <w:t>, or from the Youth Health and Wellbeing Survey</w:t>
      </w:r>
      <w:r w:rsidR="00D17659">
        <w:t>.</w:t>
      </w:r>
    </w:p>
    <w:p w14:paraId="3AFC0EBB" w14:textId="77F1535C" w:rsidR="00071E90" w:rsidRDefault="00071E90" w:rsidP="0068578A">
      <w:r>
        <w:t xml:space="preserve">Note that </w:t>
      </w:r>
      <w:r w:rsidR="0089184E">
        <w:t>the p</w:t>
      </w:r>
      <w:r w:rsidR="0089184E" w:rsidRPr="0089184E">
        <w:t xml:space="preserve">roportion of the population reporting high, or very high, levels of psychological distress </w:t>
      </w:r>
      <w:r>
        <w:t>is included as a longer-term outcome measure in the Suicide Prevention Action Plan 2025-29</w:t>
      </w:r>
      <w:r w:rsidR="001E68D2">
        <w:t xml:space="preserve"> (Ministry of Health, 2025)</w:t>
      </w:r>
      <w:r>
        <w:t xml:space="preserve">, using </w:t>
      </w:r>
      <w:r w:rsidR="0089184E">
        <w:t>New Zealand Health Survey data.</w:t>
      </w:r>
    </w:p>
    <w:p w14:paraId="493601DE" w14:textId="4B97E573" w:rsidR="00F96D5A" w:rsidRDefault="00F96D5A" w:rsidP="00C00157">
      <w:pPr>
        <w:pStyle w:val="Heading3"/>
        <w:ind w:left="851" w:hanging="851"/>
      </w:pPr>
      <w:r>
        <w:t>Depression</w:t>
      </w:r>
    </w:p>
    <w:p w14:paraId="1AA8013E" w14:textId="7ABB9C50" w:rsidR="007665E0" w:rsidRDefault="00EB1D4F" w:rsidP="007665E0">
      <w:pPr>
        <w:rPr>
          <w:lang w:eastAsia="en-NZ"/>
        </w:rPr>
      </w:pPr>
      <w:r>
        <w:rPr>
          <w:lang w:eastAsia="en-NZ"/>
        </w:rPr>
        <w:t xml:space="preserve">Depression is a </w:t>
      </w:r>
      <w:r w:rsidR="0076384E">
        <w:rPr>
          <w:lang w:eastAsia="en-NZ"/>
        </w:rPr>
        <w:t>significant</w:t>
      </w:r>
      <w:r>
        <w:rPr>
          <w:lang w:eastAsia="en-NZ"/>
        </w:rPr>
        <w:t xml:space="preserve"> </w:t>
      </w:r>
      <w:r w:rsidR="0076384E">
        <w:rPr>
          <w:lang w:eastAsia="en-NZ"/>
        </w:rPr>
        <w:t>risk factor for suicid</w:t>
      </w:r>
      <w:r w:rsidR="002A45F3">
        <w:rPr>
          <w:lang w:eastAsia="en-NZ"/>
        </w:rPr>
        <w:t>al</w:t>
      </w:r>
      <w:r w:rsidR="00F558C6">
        <w:rPr>
          <w:lang w:eastAsia="en-NZ"/>
        </w:rPr>
        <w:t xml:space="preserve"> </w:t>
      </w:r>
      <w:r w:rsidR="002402B8">
        <w:rPr>
          <w:lang w:eastAsia="en-NZ"/>
        </w:rPr>
        <w:t>thoughts and attempts</w:t>
      </w:r>
      <w:r w:rsidR="0076384E">
        <w:rPr>
          <w:lang w:eastAsia="en-NZ"/>
        </w:rPr>
        <w:t xml:space="preserve"> </w:t>
      </w:r>
      <w:r w:rsidR="003449A6">
        <w:rPr>
          <w:lang w:eastAsia="en-NZ"/>
        </w:rPr>
        <w:t>although the risk of</w:t>
      </w:r>
      <w:r w:rsidR="00515F9C">
        <w:rPr>
          <w:lang w:eastAsia="en-NZ"/>
        </w:rPr>
        <w:t xml:space="preserve"> </w:t>
      </w:r>
      <w:r w:rsidR="005C1910">
        <w:rPr>
          <w:lang w:eastAsia="en-NZ"/>
        </w:rPr>
        <w:t xml:space="preserve">suicide mortality is </w:t>
      </w:r>
      <w:r w:rsidR="003449A6">
        <w:rPr>
          <w:lang w:eastAsia="en-NZ"/>
        </w:rPr>
        <w:t>less clear</w:t>
      </w:r>
      <w:r w:rsidR="006E34A4">
        <w:rPr>
          <w:lang w:eastAsia="en-NZ"/>
        </w:rPr>
        <w:t xml:space="preserve"> </w:t>
      </w:r>
      <w:r w:rsidR="007318CD">
        <w:rPr>
          <w:lang w:eastAsia="en-NZ"/>
        </w:rPr>
        <w:t>(</w:t>
      </w:r>
      <w:r w:rsidR="006E34A4">
        <w:rPr>
          <w:lang w:eastAsia="en-NZ"/>
        </w:rPr>
        <w:t>Ferrari et al., 20</w:t>
      </w:r>
      <w:r w:rsidR="00B45FD8">
        <w:rPr>
          <w:lang w:eastAsia="en-NZ"/>
        </w:rPr>
        <w:t>14</w:t>
      </w:r>
      <w:r w:rsidR="006E34A4">
        <w:rPr>
          <w:lang w:eastAsia="en-NZ"/>
        </w:rPr>
        <w:t xml:space="preserve">; </w:t>
      </w:r>
      <w:r w:rsidR="007318CD">
        <w:rPr>
          <w:lang w:eastAsia="en-NZ"/>
        </w:rPr>
        <w:t>Ribeiro et al</w:t>
      </w:r>
      <w:r w:rsidR="00AA12FF">
        <w:rPr>
          <w:lang w:eastAsia="en-NZ"/>
        </w:rPr>
        <w:t>., 2018)</w:t>
      </w:r>
      <w:r w:rsidR="0076384E">
        <w:rPr>
          <w:lang w:eastAsia="en-NZ"/>
        </w:rPr>
        <w:t xml:space="preserve">. </w:t>
      </w:r>
      <w:r w:rsidR="003F1071">
        <w:rPr>
          <w:lang w:eastAsia="en-NZ"/>
        </w:rPr>
        <w:t>Hawton</w:t>
      </w:r>
      <w:r w:rsidR="004D6F44">
        <w:rPr>
          <w:lang w:eastAsia="en-NZ"/>
        </w:rPr>
        <w:t xml:space="preserve"> et al. (2013)</w:t>
      </w:r>
      <w:r w:rsidR="00B06AAD">
        <w:rPr>
          <w:lang w:eastAsia="en-NZ"/>
        </w:rPr>
        <w:t xml:space="preserve"> </w:t>
      </w:r>
      <w:r w:rsidR="0040502C">
        <w:rPr>
          <w:lang w:eastAsia="en-NZ"/>
        </w:rPr>
        <w:t>identif</w:t>
      </w:r>
      <w:r w:rsidR="004D6F44">
        <w:rPr>
          <w:lang w:eastAsia="en-NZ"/>
        </w:rPr>
        <w:t>ied</w:t>
      </w:r>
      <w:r w:rsidR="0040502C">
        <w:rPr>
          <w:lang w:eastAsia="en-NZ"/>
        </w:rPr>
        <w:t xml:space="preserve"> that risk </w:t>
      </w:r>
      <w:r w:rsidR="00B80D0B">
        <w:rPr>
          <w:lang w:eastAsia="en-NZ"/>
        </w:rPr>
        <w:t>of s</w:t>
      </w:r>
      <w:r w:rsidR="00B77C5A">
        <w:rPr>
          <w:lang w:eastAsia="en-NZ"/>
        </w:rPr>
        <w:t xml:space="preserve">uicidal thoughts and behaviours </w:t>
      </w:r>
      <w:r w:rsidR="0040502C">
        <w:rPr>
          <w:lang w:eastAsia="en-NZ"/>
        </w:rPr>
        <w:t xml:space="preserve">is </w:t>
      </w:r>
      <w:r w:rsidR="00B06AAD">
        <w:rPr>
          <w:lang w:eastAsia="en-NZ"/>
        </w:rPr>
        <w:t>particularly</w:t>
      </w:r>
      <w:r w:rsidR="0040502C">
        <w:rPr>
          <w:lang w:eastAsia="en-NZ"/>
        </w:rPr>
        <w:t xml:space="preserve"> high when </w:t>
      </w:r>
      <w:r w:rsidR="00B06AAD">
        <w:rPr>
          <w:lang w:eastAsia="en-NZ"/>
        </w:rPr>
        <w:t>depression</w:t>
      </w:r>
      <w:r w:rsidR="0040502C">
        <w:rPr>
          <w:lang w:eastAsia="en-NZ"/>
        </w:rPr>
        <w:t xml:space="preserve"> occurs with </w:t>
      </w:r>
      <w:r w:rsidR="00372C54">
        <w:rPr>
          <w:lang w:eastAsia="en-NZ"/>
        </w:rPr>
        <w:t>other</w:t>
      </w:r>
      <w:r w:rsidR="009A30FB">
        <w:rPr>
          <w:lang w:eastAsia="en-NZ"/>
        </w:rPr>
        <w:t xml:space="preserve"> </w:t>
      </w:r>
      <w:r w:rsidR="00372C54">
        <w:rPr>
          <w:lang w:eastAsia="en-NZ"/>
        </w:rPr>
        <w:t>conditions such as substance use or anxiety disorders</w:t>
      </w:r>
      <w:r w:rsidR="00915E01">
        <w:rPr>
          <w:lang w:eastAsia="en-NZ"/>
        </w:rPr>
        <w:t>.</w:t>
      </w:r>
      <w:r w:rsidR="00D42829">
        <w:rPr>
          <w:lang w:eastAsia="en-NZ"/>
        </w:rPr>
        <w:t xml:space="preserve"> </w:t>
      </w:r>
      <w:r w:rsidR="00282770">
        <w:t>The New Zealand Health Survey</w:t>
      </w:r>
      <w:r w:rsidR="00282770" w:rsidRPr="00EC5950">
        <w:t xml:space="preserve"> reports </w:t>
      </w:r>
      <w:r w:rsidR="00282770">
        <w:t>PHQ-9</w:t>
      </w:r>
      <w:r w:rsidR="00F358B9">
        <w:rPr>
          <w:rStyle w:val="FootnoteReference"/>
        </w:rPr>
        <w:footnoteReference w:id="17"/>
      </w:r>
      <w:r w:rsidR="00282770" w:rsidRPr="00EC5950">
        <w:t xml:space="preserve"> data </w:t>
      </w:r>
      <w:r w:rsidR="00282770">
        <w:t xml:space="preserve">from the </w:t>
      </w:r>
      <w:r w:rsidR="001D3839">
        <w:t xml:space="preserve">periodic </w:t>
      </w:r>
      <w:r w:rsidR="00282770">
        <w:t xml:space="preserve">mental health and </w:t>
      </w:r>
      <w:r w:rsidR="008F0FBC">
        <w:t xml:space="preserve">problematic </w:t>
      </w:r>
      <w:r w:rsidR="00282770">
        <w:t xml:space="preserve">substance abuse </w:t>
      </w:r>
      <w:r w:rsidR="00282770" w:rsidRPr="00EC5950">
        <w:t>module</w:t>
      </w:r>
      <w:r w:rsidR="00282770">
        <w:t>, but</w:t>
      </w:r>
      <w:r w:rsidR="00282770" w:rsidRPr="00EC5950">
        <w:t xml:space="preserve"> </w:t>
      </w:r>
      <w:r w:rsidR="00282770">
        <w:rPr>
          <w:lang w:eastAsia="en-NZ"/>
        </w:rPr>
        <w:t>w</w:t>
      </w:r>
      <w:r w:rsidR="00803CB9">
        <w:rPr>
          <w:lang w:eastAsia="en-NZ"/>
        </w:rPr>
        <w:t xml:space="preserve">e do not have a </w:t>
      </w:r>
      <w:r w:rsidR="00282770">
        <w:rPr>
          <w:lang w:eastAsia="en-NZ"/>
        </w:rPr>
        <w:t xml:space="preserve">more </w:t>
      </w:r>
      <w:r w:rsidR="001D3839">
        <w:rPr>
          <w:lang w:eastAsia="en-NZ"/>
        </w:rPr>
        <w:t>frequent</w:t>
      </w:r>
      <w:r w:rsidR="00803CB9">
        <w:rPr>
          <w:lang w:eastAsia="en-NZ"/>
        </w:rPr>
        <w:t xml:space="preserve"> source of data for o</w:t>
      </w:r>
      <w:r w:rsidR="00D42829">
        <w:rPr>
          <w:lang w:eastAsia="en-NZ"/>
        </w:rPr>
        <w:t xml:space="preserve">ur indicator </w:t>
      </w:r>
      <w:r w:rsidR="000B0F90">
        <w:rPr>
          <w:lang w:eastAsia="en-NZ"/>
        </w:rPr>
        <w:t xml:space="preserve">for this risk factor </w:t>
      </w:r>
      <w:r w:rsidR="00282770">
        <w:rPr>
          <w:lang w:eastAsia="en-NZ"/>
        </w:rPr>
        <w:t>(percentage</w:t>
      </w:r>
      <w:r w:rsidR="000B0F90">
        <w:rPr>
          <w:lang w:eastAsia="en-NZ"/>
        </w:rPr>
        <w:t xml:space="preserve"> of </w:t>
      </w:r>
      <w:r w:rsidR="00414F59">
        <w:rPr>
          <w:lang w:eastAsia="en-NZ"/>
        </w:rPr>
        <w:t>adults</w:t>
      </w:r>
      <w:r w:rsidR="000B0F90">
        <w:rPr>
          <w:lang w:eastAsia="en-NZ"/>
        </w:rPr>
        <w:t xml:space="preserve"> reporting moderate to severe symptoms of depression in the past two weeks</w:t>
      </w:r>
      <w:r w:rsidR="00282770">
        <w:rPr>
          <w:lang w:eastAsia="en-NZ"/>
        </w:rPr>
        <w:t>)</w:t>
      </w:r>
      <w:r w:rsidR="00414F59">
        <w:rPr>
          <w:lang w:eastAsia="en-NZ"/>
        </w:rPr>
        <w:t>.</w:t>
      </w:r>
      <w:r w:rsidR="00E44281">
        <w:rPr>
          <w:lang w:eastAsia="en-NZ"/>
        </w:rPr>
        <w:t xml:space="preserve"> </w:t>
      </w:r>
      <w:r w:rsidR="00E44281">
        <w:t xml:space="preserve">Data for children and young people may come from the upcoming </w:t>
      </w:r>
      <w:r w:rsidR="00E44281" w:rsidRPr="00134045">
        <w:t>Child and</w:t>
      </w:r>
      <w:r w:rsidR="00E44281" w:rsidRPr="00134045">
        <w:rPr>
          <w:rFonts w:ascii="Calibri" w:hAnsi="Calibri" w:cs="Calibri"/>
        </w:rPr>
        <w:t> </w:t>
      </w:r>
      <w:r w:rsidR="00E44281" w:rsidRPr="00134045">
        <w:t>Youth Mental Health</w:t>
      </w:r>
      <w:r w:rsidR="00E44281" w:rsidRPr="00134045">
        <w:rPr>
          <w:rFonts w:ascii="Calibri" w:hAnsi="Calibri" w:cs="Calibri"/>
        </w:rPr>
        <w:t> </w:t>
      </w:r>
      <w:r w:rsidR="00E44281" w:rsidRPr="00134045">
        <w:t>and Addiction</w:t>
      </w:r>
      <w:r w:rsidR="00E44281" w:rsidRPr="00134045">
        <w:rPr>
          <w:rFonts w:ascii="Calibri" w:hAnsi="Calibri" w:cs="Calibri"/>
        </w:rPr>
        <w:t> </w:t>
      </w:r>
      <w:r w:rsidR="00E44281" w:rsidRPr="00134045">
        <w:t xml:space="preserve">Prevalence </w:t>
      </w:r>
      <w:r w:rsidR="00E44281">
        <w:t>S</w:t>
      </w:r>
      <w:r w:rsidR="00E44281" w:rsidRPr="00134045">
        <w:t>urvey</w:t>
      </w:r>
      <w:r w:rsidR="00E44281">
        <w:t>, or from the Youth Health and Wellbeing Survey.</w:t>
      </w:r>
    </w:p>
    <w:p w14:paraId="51EA97CD" w14:textId="392A6453" w:rsidR="00AF3AD4" w:rsidRDefault="00AF3AD4" w:rsidP="00FD7241">
      <w:pPr>
        <w:pStyle w:val="Heading3"/>
        <w:ind w:left="851" w:hanging="851"/>
      </w:pPr>
      <w:r w:rsidRPr="00497678">
        <w:t>Anxiety</w:t>
      </w:r>
    </w:p>
    <w:p w14:paraId="0F4E98DC" w14:textId="1F22C8C1" w:rsidR="00B45F1A" w:rsidRPr="001D3839" w:rsidRDefault="001C1E67" w:rsidP="001C1E67">
      <w:pPr>
        <w:rPr>
          <w:color w:val="FF0000"/>
        </w:rPr>
      </w:pPr>
      <w:r>
        <w:t xml:space="preserve">Having symptoms consistent with an anxiety disorder </w:t>
      </w:r>
      <w:r w:rsidR="00F25B0D">
        <w:t xml:space="preserve">is </w:t>
      </w:r>
      <w:r>
        <w:t xml:space="preserve">associated with suicide-related behaviours </w:t>
      </w:r>
      <w:r w:rsidR="00AD630C">
        <w:t>(</w:t>
      </w:r>
      <w:r w:rsidR="00E67F44">
        <w:t xml:space="preserve">Bentley et al., 2017; </w:t>
      </w:r>
      <w:r w:rsidR="00AD630C">
        <w:t>Kanwar et al., 2013)</w:t>
      </w:r>
      <w:r w:rsidR="00E67F44">
        <w:t>.</w:t>
      </w:r>
      <w:r w:rsidR="001D3839">
        <w:rPr>
          <w:color w:val="FF0000"/>
        </w:rPr>
        <w:t xml:space="preserve"> </w:t>
      </w:r>
      <w:r w:rsidR="00B45F1A">
        <w:t xml:space="preserve">Data for </w:t>
      </w:r>
      <w:r w:rsidR="0050167F">
        <w:t>our</w:t>
      </w:r>
      <w:r w:rsidR="00B45F1A">
        <w:t xml:space="preserve"> potential indicator </w:t>
      </w:r>
      <w:r w:rsidR="0050167F">
        <w:t xml:space="preserve">of anxiety </w:t>
      </w:r>
      <w:r w:rsidR="009E5D1F">
        <w:t>(</w:t>
      </w:r>
      <w:r w:rsidR="00B118C3">
        <w:t>the p</w:t>
      </w:r>
      <w:r w:rsidR="009E5D1F" w:rsidRPr="00E83842">
        <w:t>ercentage of population aged 15+ who have experienced moderate or greater anxiety symptoms in the past 2 weeks</w:t>
      </w:r>
      <w:r w:rsidR="009E5D1F">
        <w:t xml:space="preserve">) </w:t>
      </w:r>
      <w:r w:rsidR="001D3839">
        <w:t xml:space="preserve">also </w:t>
      </w:r>
      <w:r w:rsidR="00B45F1A">
        <w:t xml:space="preserve">comes from the </w:t>
      </w:r>
      <w:r w:rsidR="00F271C8">
        <w:t>periodic</w:t>
      </w:r>
      <w:r w:rsidR="00DB37AE">
        <w:t xml:space="preserve"> </w:t>
      </w:r>
      <w:r w:rsidR="00B45F1A">
        <w:t>New Zealand Health Survey</w:t>
      </w:r>
      <w:r w:rsidR="00EC5950">
        <w:t xml:space="preserve"> mental health and </w:t>
      </w:r>
      <w:r w:rsidR="00BE0F7D">
        <w:t>problematic substance use</w:t>
      </w:r>
      <w:r w:rsidR="00EC5950">
        <w:t xml:space="preserve"> module</w:t>
      </w:r>
      <w:r w:rsidR="00B45F1A">
        <w:t>.</w:t>
      </w:r>
      <w:r w:rsidR="00EC5950">
        <w:t xml:space="preserve"> </w:t>
      </w:r>
      <w:r w:rsidR="005F1247">
        <w:t xml:space="preserve">The </w:t>
      </w:r>
      <w:r w:rsidR="00DB37AE">
        <w:t>Ministry of Health</w:t>
      </w:r>
      <w:r w:rsidR="00EC5950" w:rsidRPr="00EC5950">
        <w:t xml:space="preserve"> reports </w:t>
      </w:r>
      <w:r w:rsidR="005F1247" w:rsidRPr="00EC5950">
        <w:t>limited GAD 7</w:t>
      </w:r>
      <w:r w:rsidR="005F1247">
        <w:rPr>
          <w:rStyle w:val="FootnoteReference"/>
        </w:rPr>
        <w:footnoteReference w:id="18"/>
      </w:r>
      <w:r w:rsidR="005F1247" w:rsidRPr="00EC5950">
        <w:t xml:space="preserve"> data </w:t>
      </w:r>
      <w:r w:rsidR="00F271C8">
        <w:t>from the</w:t>
      </w:r>
      <w:r w:rsidR="00A46618">
        <w:t xml:space="preserve"> </w:t>
      </w:r>
      <w:r w:rsidR="00DB37AE">
        <w:t>module</w:t>
      </w:r>
      <w:r w:rsidR="005F1247" w:rsidRPr="00EC5950">
        <w:t xml:space="preserve"> </w:t>
      </w:r>
      <w:r w:rsidR="007B5DED">
        <w:t xml:space="preserve">(the </w:t>
      </w:r>
      <w:r w:rsidR="004051E7">
        <w:t xml:space="preserve">indicator reported in the data explorer is the </w:t>
      </w:r>
      <w:r w:rsidR="007B5DED">
        <w:t>percentage of</w:t>
      </w:r>
      <w:r w:rsidR="005F1247" w:rsidRPr="00EC5950">
        <w:t xml:space="preserve"> adults (15+) with no/minimal anxiety and/or depression symptoms in the past 2 weeks</w:t>
      </w:r>
      <w:r w:rsidR="00F25B0D">
        <w:t>. Other GAD 7 data may be available on request</w:t>
      </w:r>
      <w:r w:rsidR="007B5DED">
        <w:t>)</w:t>
      </w:r>
      <w:r w:rsidR="00680F46">
        <w:t>.</w:t>
      </w:r>
      <w:r w:rsidR="005F1247" w:rsidRPr="00EC5950">
        <w:t xml:space="preserve"> </w:t>
      </w:r>
      <w:r w:rsidR="0021026F">
        <w:t xml:space="preserve">Again, data for children and young people may come from the upcoming </w:t>
      </w:r>
      <w:r w:rsidR="0021026F" w:rsidRPr="00134045">
        <w:t>Child and</w:t>
      </w:r>
      <w:r w:rsidR="0021026F" w:rsidRPr="00134045">
        <w:rPr>
          <w:rFonts w:ascii="Calibri" w:hAnsi="Calibri" w:cs="Calibri"/>
        </w:rPr>
        <w:t> </w:t>
      </w:r>
      <w:r w:rsidR="0021026F" w:rsidRPr="00134045">
        <w:t>Youth Mental Health</w:t>
      </w:r>
      <w:r w:rsidR="0021026F" w:rsidRPr="00134045">
        <w:rPr>
          <w:rFonts w:ascii="Calibri" w:hAnsi="Calibri" w:cs="Calibri"/>
        </w:rPr>
        <w:t> </w:t>
      </w:r>
      <w:r w:rsidR="0021026F" w:rsidRPr="00134045">
        <w:t>and Addiction</w:t>
      </w:r>
      <w:r w:rsidR="0021026F" w:rsidRPr="00134045">
        <w:rPr>
          <w:rFonts w:ascii="Calibri" w:hAnsi="Calibri" w:cs="Calibri"/>
        </w:rPr>
        <w:t> </w:t>
      </w:r>
      <w:r w:rsidR="0021026F" w:rsidRPr="00134045">
        <w:t xml:space="preserve">Prevalence </w:t>
      </w:r>
      <w:r w:rsidR="0021026F">
        <w:t>S</w:t>
      </w:r>
      <w:r w:rsidR="0021026F" w:rsidRPr="00134045">
        <w:t>urvey</w:t>
      </w:r>
      <w:r w:rsidR="0021026F">
        <w:t>, or</w:t>
      </w:r>
      <w:r w:rsidR="00890277">
        <w:t xml:space="preserve"> </w:t>
      </w:r>
      <w:r w:rsidR="0021026F">
        <w:t>from the Youth Health and Wellbeing Survey.</w:t>
      </w:r>
    </w:p>
    <w:p w14:paraId="0806873A" w14:textId="77C656FD" w:rsidR="00AC095B" w:rsidRDefault="005D73E0" w:rsidP="00FD7241">
      <w:pPr>
        <w:pStyle w:val="Heading3"/>
        <w:ind w:left="851" w:hanging="851"/>
      </w:pPr>
      <w:r w:rsidRPr="00E61983">
        <w:t>S</w:t>
      </w:r>
      <w:r w:rsidR="00AC095B" w:rsidRPr="00E61983">
        <w:t>ubstance</w:t>
      </w:r>
      <w:r w:rsidR="00AC095B">
        <w:t xml:space="preserve"> use</w:t>
      </w:r>
    </w:p>
    <w:p w14:paraId="6F72BB5E" w14:textId="184A0CBA" w:rsidR="00B44115" w:rsidRPr="00CA5744" w:rsidRDefault="004D494A" w:rsidP="00C63802">
      <w:pPr>
        <w:rPr>
          <w:color w:val="FF0000"/>
        </w:rPr>
      </w:pPr>
      <w:r>
        <w:t>P</w:t>
      </w:r>
      <w:r w:rsidR="00FC27B1">
        <w:t xml:space="preserve">eople who </w:t>
      </w:r>
      <w:r>
        <w:t xml:space="preserve">problematically </w:t>
      </w:r>
      <w:r w:rsidR="00FC27B1">
        <w:t xml:space="preserve">use </w:t>
      </w:r>
      <w:r>
        <w:t>substances</w:t>
      </w:r>
      <w:r w:rsidRPr="00A12B8F">
        <w:t xml:space="preserve"> </w:t>
      </w:r>
      <w:r>
        <w:t xml:space="preserve">(alcohol and other drugs) </w:t>
      </w:r>
      <w:r w:rsidR="00053503" w:rsidRPr="00053503">
        <w:t xml:space="preserve">are at increased risk of </w:t>
      </w:r>
      <w:r w:rsidR="00A46B81">
        <w:t>self-harm and</w:t>
      </w:r>
      <w:r w:rsidR="00053503" w:rsidRPr="00053503">
        <w:t xml:space="preserve"> suicide in comparison to the general population</w:t>
      </w:r>
      <w:r w:rsidR="00BD4A64" w:rsidRPr="00BD4A64">
        <w:t xml:space="preserve"> </w:t>
      </w:r>
      <w:r w:rsidR="00BD4A64">
        <w:t>(</w:t>
      </w:r>
      <w:r w:rsidR="00BD4A64" w:rsidRPr="00A12B8F">
        <w:t>Devin et al</w:t>
      </w:r>
      <w:r w:rsidR="00BD4A64">
        <w:t>.,</w:t>
      </w:r>
      <w:r w:rsidR="00BD4A64" w:rsidRPr="00A12B8F">
        <w:t xml:space="preserve"> 2023</w:t>
      </w:r>
      <w:r w:rsidR="00BD4A64">
        <w:t xml:space="preserve">; </w:t>
      </w:r>
      <w:r w:rsidR="00BD4A64" w:rsidRPr="001417F0">
        <w:t>Larkin et al</w:t>
      </w:r>
      <w:r w:rsidR="00BD4A64">
        <w:t>.,</w:t>
      </w:r>
      <w:r w:rsidR="00BD4A64" w:rsidRPr="001417F0">
        <w:t xml:space="preserve"> 2017</w:t>
      </w:r>
      <w:r w:rsidR="00BD4A64">
        <w:t>;</w:t>
      </w:r>
      <w:r w:rsidR="00BD4A64" w:rsidRPr="001417F0">
        <w:t xml:space="preserve"> Ledden </w:t>
      </w:r>
      <w:r w:rsidR="00BD4A64">
        <w:t>et al</w:t>
      </w:r>
      <w:r>
        <w:t>.,</w:t>
      </w:r>
      <w:r w:rsidR="00BD4A64">
        <w:t xml:space="preserve"> </w:t>
      </w:r>
      <w:r w:rsidR="00BD4A64" w:rsidRPr="001417F0">
        <w:t>2022</w:t>
      </w:r>
      <w:r>
        <w:t xml:space="preserve">; Ness et al., </w:t>
      </w:r>
      <w:r w:rsidR="006C0535">
        <w:t>2015</w:t>
      </w:r>
      <w:r w:rsidR="00BD4A64">
        <w:t>)</w:t>
      </w:r>
      <w:r w:rsidR="00053503" w:rsidRPr="00053503">
        <w:t xml:space="preserve">. </w:t>
      </w:r>
    </w:p>
    <w:p w14:paraId="50C25DCC" w14:textId="323CC15C" w:rsidR="00182EE1" w:rsidRDefault="009A19F2" w:rsidP="00F6008E">
      <w:r>
        <w:lastRenderedPageBreak/>
        <w:t>D</w:t>
      </w:r>
      <w:r w:rsidR="004B03ED">
        <w:t xml:space="preserve">ata for </w:t>
      </w:r>
      <w:r w:rsidR="00CB74AC">
        <w:t>a</w:t>
      </w:r>
      <w:r w:rsidR="00215325">
        <w:t xml:space="preserve"> potential</w:t>
      </w:r>
      <w:r w:rsidR="004B03ED">
        <w:t xml:space="preserve"> hazardous drinking </w:t>
      </w:r>
      <w:r w:rsidR="00913CC8">
        <w:t xml:space="preserve">indicator comes from the core </w:t>
      </w:r>
      <w:r w:rsidR="000A41C2">
        <w:t>N</w:t>
      </w:r>
      <w:r w:rsidR="00C63802">
        <w:t xml:space="preserve">ew </w:t>
      </w:r>
      <w:r w:rsidR="000A41C2">
        <w:t>Z</w:t>
      </w:r>
      <w:r w:rsidR="00C63802">
        <w:t>ealand</w:t>
      </w:r>
      <w:r w:rsidR="000A41C2">
        <w:t xml:space="preserve"> Health Survey</w:t>
      </w:r>
      <w:r w:rsidR="00E54D2E">
        <w:t xml:space="preserve"> for adults</w:t>
      </w:r>
      <w:r w:rsidR="001E685E">
        <w:t xml:space="preserve"> (the p</w:t>
      </w:r>
      <w:r w:rsidR="001E685E" w:rsidRPr="00D07B0C">
        <w:t xml:space="preserve">ercentage of </w:t>
      </w:r>
      <w:r w:rsidR="001E685E">
        <w:t xml:space="preserve">the </w:t>
      </w:r>
      <w:r w:rsidR="001E685E" w:rsidRPr="00D07B0C">
        <w:t>population aged 15+ with a hazardous drinking (alcohol) pattern</w:t>
      </w:r>
      <w:r w:rsidR="001E685E">
        <w:t>)</w:t>
      </w:r>
      <w:r w:rsidR="00F76497">
        <w:t xml:space="preserve">. </w:t>
      </w:r>
    </w:p>
    <w:p w14:paraId="7DA94F7B" w14:textId="33DBB3DD" w:rsidR="00F6008E" w:rsidRDefault="009A19F2" w:rsidP="00F6008E">
      <w:r>
        <w:t>D</w:t>
      </w:r>
      <w:r w:rsidR="00913CC8">
        <w:t xml:space="preserve">ata for </w:t>
      </w:r>
      <w:r w:rsidR="00CB74AC">
        <w:t>a</w:t>
      </w:r>
      <w:r w:rsidR="00215325">
        <w:t xml:space="preserve"> potential</w:t>
      </w:r>
      <w:r w:rsidR="005B2C5E">
        <w:t xml:space="preserve"> </w:t>
      </w:r>
      <w:r w:rsidR="00913CC8">
        <w:t xml:space="preserve">problematic </w:t>
      </w:r>
      <w:r w:rsidR="00F6008E">
        <w:t>substance</w:t>
      </w:r>
      <w:r w:rsidR="00913CC8">
        <w:t xml:space="preserve"> use </w:t>
      </w:r>
      <w:r w:rsidR="000A41C2">
        <w:t xml:space="preserve">indicator </w:t>
      </w:r>
      <w:r w:rsidR="00913CC8">
        <w:t xml:space="preserve">comes from the </w:t>
      </w:r>
      <w:r w:rsidR="000C1A0E">
        <w:t>N</w:t>
      </w:r>
      <w:r w:rsidR="005F7778">
        <w:t xml:space="preserve">ew </w:t>
      </w:r>
      <w:r w:rsidR="000C1A0E">
        <w:t>Z</w:t>
      </w:r>
      <w:r w:rsidR="005F7778">
        <w:t>ealand</w:t>
      </w:r>
      <w:r w:rsidR="000C1A0E">
        <w:t xml:space="preserve"> Health Survey </w:t>
      </w:r>
      <w:r w:rsidR="00F6008E">
        <w:t>mental</w:t>
      </w:r>
      <w:r w:rsidR="000C1A0E">
        <w:t xml:space="preserve"> health and problematic </w:t>
      </w:r>
      <w:r w:rsidR="00F6008E">
        <w:t>substance</w:t>
      </w:r>
      <w:r w:rsidR="000C1A0E">
        <w:t xml:space="preserve"> </w:t>
      </w:r>
      <w:r w:rsidR="00F6008E">
        <w:t>u</w:t>
      </w:r>
      <w:r w:rsidR="000C1A0E">
        <w:t xml:space="preserve">se </w:t>
      </w:r>
      <w:r w:rsidR="008E2754">
        <w:t xml:space="preserve">module </w:t>
      </w:r>
      <w:r w:rsidR="007409F7">
        <w:t>(the p</w:t>
      </w:r>
      <w:r w:rsidR="007409F7" w:rsidRPr="00D07B0C">
        <w:t>ercentage of population aged 15+ with moderate or high risk of problematic substance use</w:t>
      </w:r>
      <w:r w:rsidR="007409F7">
        <w:t xml:space="preserve">) </w:t>
      </w:r>
      <w:r w:rsidR="008E2754">
        <w:t>and</w:t>
      </w:r>
      <w:r w:rsidR="00F6008E">
        <w:t xml:space="preserve"> </w:t>
      </w:r>
      <w:r w:rsidR="000A41C2">
        <w:t>i</w:t>
      </w:r>
      <w:r w:rsidR="00F6008E">
        <w:t xml:space="preserve">s not </w:t>
      </w:r>
      <w:r w:rsidR="000A41C2">
        <w:t>reported</w:t>
      </w:r>
      <w:r w:rsidR="00F6008E">
        <w:t xml:space="preserve"> annually.</w:t>
      </w:r>
    </w:p>
    <w:p w14:paraId="468011AF" w14:textId="491C28F7" w:rsidR="00CB74AC" w:rsidRPr="00E53661" w:rsidRDefault="00CB74AC" w:rsidP="00F6008E">
      <w:r>
        <w:t xml:space="preserve">The </w:t>
      </w:r>
      <w:r w:rsidR="007E3EB1">
        <w:t xml:space="preserve">three-yearly </w:t>
      </w:r>
      <w:r>
        <w:t xml:space="preserve">Youth Health and Wellbeing Survey will provide data </w:t>
      </w:r>
      <w:r w:rsidR="00707FB0">
        <w:t xml:space="preserve">for </w:t>
      </w:r>
      <w:r w:rsidR="008E59CD">
        <w:t>similar (yet to be determined) problematic alcohol and other substance use</w:t>
      </w:r>
      <w:r w:rsidR="00707FB0">
        <w:t xml:space="preserve"> </w:t>
      </w:r>
      <w:r w:rsidR="00A77429">
        <w:t>indicators</w:t>
      </w:r>
      <w:r w:rsidR="00707FB0">
        <w:t xml:space="preserve"> for </w:t>
      </w:r>
      <w:r w:rsidR="00C20486">
        <w:t xml:space="preserve">young people </w:t>
      </w:r>
      <w:r w:rsidR="00A77429">
        <w:t>(13–19</w:t>
      </w:r>
      <w:r w:rsidR="00A77429" w:rsidDel="00626871">
        <w:t>-</w:t>
      </w:r>
      <w:r w:rsidR="00A77429">
        <w:t>year-olds)</w:t>
      </w:r>
      <w:r w:rsidR="007E3EB1">
        <w:t>.</w:t>
      </w:r>
    </w:p>
    <w:p w14:paraId="4D0D8FBD" w14:textId="30110A12" w:rsidR="00AC095B" w:rsidRDefault="00063FFE" w:rsidP="00FD7241">
      <w:pPr>
        <w:pStyle w:val="Heading3"/>
        <w:ind w:left="851" w:hanging="851"/>
      </w:pPr>
      <w:r>
        <w:t>G</w:t>
      </w:r>
      <w:r w:rsidR="00AC095B">
        <w:t>ambling</w:t>
      </w:r>
    </w:p>
    <w:p w14:paraId="77291ABB" w14:textId="3E177920" w:rsidR="00010C6B" w:rsidRDefault="008D7C25" w:rsidP="00010C6B">
      <w:r>
        <w:t>T</w:t>
      </w:r>
      <w:r w:rsidR="00225AA6">
        <w:t>he literature shows an association between problem gambling and self-harm, particularly suicide</w:t>
      </w:r>
      <w:r w:rsidR="00737C5D">
        <w:t xml:space="preserve"> attempts</w:t>
      </w:r>
      <w:r w:rsidR="00390197">
        <w:t xml:space="preserve"> (</w:t>
      </w:r>
      <w:r w:rsidR="004A404D" w:rsidRPr="004A404D">
        <w:t>Kristensen</w:t>
      </w:r>
      <w:r w:rsidR="004A404D">
        <w:t xml:space="preserve"> et al., 202</w:t>
      </w:r>
      <w:r w:rsidR="00E76C34">
        <w:t>4</w:t>
      </w:r>
      <w:r w:rsidR="004A404D">
        <w:t>;</w:t>
      </w:r>
      <w:r w:rsidR="00EE4BF6">
        <w:t xml:space="preserve"> </w:t>
      </w:r>
      <w:r w:rsidR="005F6D27">
        <w:t xml:space="preserve">Rintoul et al., 2023; </w:t>
      </w:r>
      <w:r w:rsidR="00EE4BF6">
        <w:t>Wardle et al., 2007)</w:t>
      </w:r>
      <w:r w:rsidR="00680F46">
        <w:t>.</w:t>
      </w:r>
      <w:r w:rsidR="00D42C0E">
        <w:t xml:space="preserve"> C</w:t>
      </w:r>
      <w:r w:rsidR="00D42C0E" w:rsidRPr="00D42C0E">
        <w:t xml:space="preserve">ross-sectional </w:t>
      </w:r>
      <w:r w:rsidR="00707CA5">
        <w:t>study</w:t>
      </w:r>
      <w:r w:rsidR="00D42C0E">
        <w:t xml:space="preserve"> </w:t>
      </w:r>
      <w:r w:rsidR="00D42C0E" w:rsidRPr="00D42C0E">
        <w:t xml:space="preserve">findings </w:t>
      </w:r>
      <w:r w:rsidR="00D42C0E">
        <w:t xml:space="preserve">support the </w:t>
      </w:r>
      <w:r w:rsidR="00C4558F">
        <w:t>interrelationship of</w:t>
      </w:r>
      <w:r w:rsidR="00D42C0E" w:rsidRPr="00D42C0E">
        <w:t xml:space="preserve"> gambling </w:t>
      </w:r>
      <w:r w:rsidR="00C4558F" w:rsidRPr="00D42C0E">
        <w:t>disorde</w:t>
      </w:r>
      <w:r w:rsidR="00C4558F">
        <w:t>r</w:t>
      </w:r>
      <w:r w:rsidR="00C4558F" w:rsidRPr="00D42C0E">
        <w:t>s</w:t>
      </w:r>
      <w:r w:rsidR="00D42C0E" w:rsidRPr="00D42C0E">
        <w:t>, self-harm, and substance use</w:t>
      </w:r>
      <w:r w:rsidR="00C4558F">
        <w:t xml:space="preserve"> and</w:t>
      </w:r>
      <w:r w:rsidR="00D42C0E" w:rsidRPr="00D42C0E">
        <w:t xml:space="preserve"> mental health problems </w:t>
      </w:r>
      <w:r w:rsidR="00225AA6">
        <w:t>(Gray et al., 2021</w:t>
      </w:r>
      <w:r w:rsidR="00DB727C">
        <w:t>; Rintoul et al., 2023</w:t>
      </w:r>
      <w:r w:rsidR="00225AA6">
        <w:t>)</w:t>
      </w:r>
      <w:r w:rsidR="008F0358">
        <w:t>.</w:t>
      </w:r>
      <w:r w:rsidR="00562864">
        <w:t xml:space="preserve"> </w:t>
      </w:r>
    </w:p>
    <w:p w14:paraId="0534478F" w14:textId="5C453901" w:rsidR="00010C6B" w:rsidRPr="00010C6B" w:rsidRDefault="004A62A7" w:rsidP="00010C6B">
      <w:r>
        <w:t>D</w:t>
      </w:r>
      <w:r w:rsidR="008F25CE">
        <w:t xml:space="preserve">ata for this indicator </w:t>
      </w:r>
      <w:r w:rsidR="00176DAC">
        <w:t>(</w:t>
      </w:r>
      <w:r w:rsidR="00097011">
        <w:t>the p</w:t>
      </w:r>
      <w:r w:rsidR="00176DAC" w:rsidRPr="00D07B0C">
        <w:t>ercentage of population aged 15+ who are moderate risk and problem gamblers</w:t>
      </w:r>
      <w:r w:rsidR="00097011">
        <w:t xml:space="preserve">) </w:t>
      </w:r>
      <w:r w:rsidR="00225AA6">
        <w:t xml:space="preserve">could </w:t>
      </w:r>
      <w:r w:rsidR="00D80BEC">
        <w:t xml:space="preserve">come </w:t>
      </w:r>
      <w:r w:rsidR="008F25CE">
        <w:t xml:space="preserve">from the </w:t>
      </w:r>
      <w:r w:rsidR="00630255">
        <w:t>New Zealand</w:t>
      </w:r>
      <w:r w:rsidR="008F25CE">
        <w:t xml:space="preserve"> Gambling </w:t>
      </w:r>
      <w:r w:rsidR="00A33DA0">
        <w:t>Survey</w:t>
      </w:r>
      <w:r w:rsidR="00630255">
        <w:t xml:space="preserve">. </w:t>
      </w:r>
      <w:r w:rsidR="008F25CE">
        <w:t xml:space="preserve">This was last fielded in </w:t>
      </w:r>
      <w:r w:rsidR="007639B2">
        <w:t>2023/24,</w:t>
      </w:r>
      <w:r w:rsidR="00D04B50">
        <w:t xml:space="preserve"> but </w:t>
      </w:r>
      <w:r w:rsidR="00176DAC">
        <w:t>it</w:t>
      </w:r>
      <w:r w:rsidR="008F25CE">
        <w:t xml:space="preserve"> is not known whether this </w:t>
      </w:r>
      <w:r w:rsidR="00D70463">
        <w:t xml:space="preserve">survey will be </w:t>
      </w:r>
      <w:r w:rsidR="00C47D01">
        <w:t>repeated</w:t>
      </w:r>
      <w:r w:rsidR="00D70463">
        <w:t>.</w:t>
      </w:r>
    </w:p>
    <w:p w14:paraId="3911574B" w14:textId="41B8B290" w:rsidR="00804108" w:rsidRDefault="00804108" w:rsidP="00FD7241">
      <w:pPr>
        <w:pStyle w:val="Heading3"/>
        <w:ind w:left="851" w:hanging="851"/>
      </w:pPr>
      <w:r w:rsidRPr="00804108">
        <w:t>Child</w:t>
      </w:r>
      <w:r w:rsidR="006760BD">
        <w:t>hood</w:t>
      </w:r>
      <w:r>
        <w:t xml:space="preserve"> in </w:t>
      </w:r>
      <w:r w:rsidR="000E2A66">
        <w:t xml:space="preserve">state </w:t>
      </w:r>
      <w:r>
        <w:t>care</w:t>
      </w:r>
    </w:p>
    <w:p w14:paraId="694EB8FA" w14:textId="7ACEFF34" w:rsidR="00804108" w:rsidRDefault="00804108" w:rsidP="00804108">
      <w:pPr>
        <w:rPr>
          <w:color w:val="FF0000"/>
        </w:rPr>
      </w:pPr>
      <w:r>
        <w:t>Self-harm and s</w:t>
      </w:r>
      <w:r w:rsidRPr="00342BF1">
        <w:t>uicid</w:t>
      </w:r>
      <w:r>
        <w:t>al</w:t>
      </w:r>
      <w:r w:rsidRPr="00342BF1">
        <w:t xml:space="preserve"> </w:t>
      </w:r>
      <w:r>
        <w:t>behaviour</w:t>
      </w:r>
      <w:r w:rsidRPr="00342BF1">
        <w:t xml:space="preserve"> are </w:t>
      </w:r>
      <w:r>
        <w:t xml:space="preserve">markedly </w:t>
      </w:r>
      <w:r w:rsidRPr="00342BF1">
        <w:t xml:space="preserve">more likely in children and young people in </w:t>
      </w:r>
      <w:r>
        <w:t xml:space="preserve">state </w:t>
      </w:r>
      <w:r w:rsidRPr="00342BF1">
        <w:t>care compared to non-care populations</w:t>
      </w:r>
      <w:r>
        <w:t xml:space="preserve"> (Evans et al., 2017; Katz et al., 2011). In New Zealand, as elsewhere, this impact extends to adults who have experienced being in the care</w:t>
      </w:r>
      <w:r w:rsidR="00134887">
        <w:t xml:space="preserve"> </w:t>
      </w:r>
      <w:r>
        <w:t>or custody of the state as children (</w:t>
      </w:r>
      <w:r w:rsidRPr="00773BFF">
        <w:t>Independent Children’s Monitor</w:t>
      </w:r>
      <w:r>
        <w:t xml:space="preserve">, 2025; </w:t>
      </w:r>
      <w:proofErr w:type="spellStart"/>
      <w:r w:rsidR="00C84D26">
        <w:t>Favril</w:t>
      </w:r>
      <w:proofErr w:type="spellEnd"/>
      <w:r w:rsidR="00C84D26">
        <w:t xml:space="preserve"> et al., 2023; </w:t>
      </w:r>
      <w:proofErr w:type="spellStart"/>
      <w:r>
        <w:t>Vinnerljung</w:t>
      </w:r>
      <w:proofErr w:type="spellEnd"/>
      <w:r>
        <w:t xml:space="preserve"> et al., 2005</w:t>
      </w:r>
      <w:r w:rsidR="00FB3584">
        <w:t>).</w:t>
      </w:r>
    </w:p>
    <w:p w14:paraId="0C1B3BC5" w14:textId="051EA50D" w:rsidR="00804108" w:rsidRDefault="00804108" w:rsidP="00804108">
      <w:r w:rsidRPr="00CC15E2">
        <w:t xml:space="preserve">Outcomes for </w:t>
      </w:r>
      <w:r w:rsidR="00064B0B">
        <w:t>those who have experienced childhood in care</w:t>
      </w:r>
      <w:r w:rsidRPr="00CC15E2">
        <w:t xml:space="preserve"> are affected by a range of factors including age at first placement, </w:t>
      </w:r>
      <w:r>
        <w:t xml:space="preserve">and </w:t>
      </w:r>
      <w:r w:rsidRPr="00CC15E2">
        <w:t>placement stability (Jone</w:t>
      </w:r>
      <w:r>
        <w:t>s</w:t>
      </w:r>
      <w:r w:rsidRPr="00CC15E2">
        <w:t xml:space="preserve"> et al., 2020). </w:t>
      </w:r>
      <w:r>
        <w:t>Our</w:t>
      </w:r>
      <w:r w:rsidRPr="00CC15E2">
        <w:t xml:space="preserve"> potential indicator (</w:t>
      </w:r>
      <w:r w:rsidR="000A4174">
        <w:t>the a</w:t>
      </w:r>
      <w:r w:rsidRPr="00CC15E2">
        <w:t xml:space="preserve">ge standardised </w:t>
      </w:r>
      <w:r w:rsidRPr="004C303C">
        <w:t xml:space="preserve">rate of entries to care per </w:t>
      </w:r>
      <w:r>
        <w:t>1,000</w:t>
      </w:r>
      <w:r w:rsidRPr="004C303C">
        <w:t xml:space="preserve"> population </w:t>
      </w:r>
      <w:r>
        <w:t>(0-17 years))</w:t>
      </w:r>
      <w:r w:rsidR="00134887">
        <w:t xml:space="preserve"> </w:t>
      </w:r>
      <w:r w:rsidRPr="00AF4F14">
        <w:t xml:space="preserve">does not reflect these nuances but is a relevant indicator of social adversity in children and young people. </w:t>
      </w:r>
      <w:r w:rsidR="00167347" w:rsidRPr="00167347">
        <w:t xml:space="preserve">This is an important indicator for Māori, </w:t>
      </w:r>
      <w:r w:rsidR="00167347">
        <w:t>as approximately two-thirds</w:t>
      </w:r>
      <w:r w:rsidR="00167347" w:rsidRPr="00167347">
        <w:t xml:space="preserve"> of children and young people in care are Māor</w:t>
      </w:r>
      <w:r w:rsidR="00167347">
        <w:t>i (Independent Children’s Monitor</w:t>
      </w:r>
      <w:r w:rsidR="00DD61A3">
        <w:t>, 2025</w:t>
      </w:r>
      <w:r w:rsidR="00167347">
        <w:t>).</w:t>
      </w:r>
    </w:p>
    <w:p w14:paraId="19FF5DF5" w14:textId="073F0BF8" w:rsidR="00DB23D2" w:rsidRDefault="00FF7B99" w:rsidP="00FD7241">
      <w:pPr>
        <w:pStyle w:val="Heading3"/>
        <w:ind w:left="851" w:hanging="851"/>
      </w:pPr>
      <w:r>
        <w:t>Violence</w:t>
      </w:r>
      <w:r w:rsidR="00832AEC">
        <w:t xml:space="preserve"> and sexual abuse</w:t>
      </w:r>
    </w:p>
    <w:p w14:paraId="360C6264" w14:textId="7AA5988C" w:rsidR="00A92BA1" w:rsidRDefault="00643DBA" w:rsidP="00970E91">
      <w:pPr>
        <w:rPr>
          <w:lang w:eastAsia="en-NZ"/>
        </w:rPr>
      </w:pPr>
      <w:r>
        <w:rPr>
          <w:lang w:eastAsia="en-NZ"/>
        </w:rPr>
        <w:t>P</w:t>
      </w:r>
      <w:r w:rsidR="003954CB">
        <w:rPr>
          <w:lang w:eastAsia="en-NZ"/>
        </w:rPr>
        <w:t>hysical abuse in</w:t>
      </w:r>
      <w:r w:rsidR="00A73BD8">
        <w:rPr>
          <w:lang w:eastAsia="en-NZ"/>
        </w:rPr>
        <w:t xml:space="preserve"> </w:t>
      </w:r>
      <w:r w:rsidR="003954CB">
        <w:rPr>
          <w:lang w:eastAsia="en-NZ"/>
        </w:rPr>
        <w:t>childhood is associated with an increased risk of suicidal</w:t>
      </w:r>
      <w:r w:rsidR="00A73BD8">
        <w:rPr>
          <w:lang w:eastAsia="en-NZ"/>
        </w:rPr>
        <w:t xml:space="preserve"> behaviour</w:t>
      </w:r>
      <w:r w:rsidR="003954CB">
        <w:rPr>
          <w:lang w:eastAsia="en-NZ"/>
        </w:rPr>
        <w:t xml:space="preserve"> </w:t>
      </w:r>
      <w:r w:rsidR="00A73BD8">
        <w:rPr>
          <w:lang w:eastAsia="en-NZ"/>
        </w:rPr>
        <w:t>across the life course</w:t>
      </w:r>
      <w:r w:rsidR="005555AE">
        <w:rPr>
          <w:lang w:eastAsia="en-NZ"/>
        </w:rPr>
        <w:t xml:space="preserve">. </w:t>
      </w:r>
      <w:r w:rsidR="00AC139C">
        <w:rPr>
          <w:lang w:eastAsia="en-NZ"/>
        </w:rPr>
        <w:t>The relationship appears robust across sexes and persist</w:t>
      </w:r>
      <w:r w:rsidR="00670607">
        <w:rPr>
          <w:lang w:eastAsia="en-NZ"/>
        </w:rPr>
        <w:t>s</w:t>
      </w:r>
      <w:r w:rsidR="00AC139C">
        <w:rPr>
          <w:lang w:eastAsia="en-NZ"/>
        </w:rPr>
        <w:t xml:space="preserve"> when controlling for other </w:t>
      </w:r>
      <w:r w:rsidR="0097112E">
        <w:rPr>
          <w:lang w:eastAsia="en-NZ"/>
        </w:rPr>
        <w:t xml:space="preserve">forms of maltreatment and </w:t>
      </w:r>
      <w:r w:rsidR="00BF3EA7">
        <w:rPr>
          <w:lang w:eastAsia="en-NZ"/>
        </w:rPr>
        <w:t>mental</w:t>
      </w:r>
      <w:r w:rsidR="0097112E">
        <w:rPr>
          <w:lang w:eastAsia="en-NZ"/>
        </w:rPr>
        <w:t xml:space="preserve"> health conditions. The strength of the association tends </w:t>
      </w:r>
      <w:r w:rsidR="00BF3EA7">
        <w:rPr>
          <w:lang w:eastAsia="en-NZ"/>
        </w:rPr>
        <w:t>to</w:t>
      </w:r>
      <w:r w:rsidR="0097112E">
        <w:rPr>
          <w:lang w:eastAsia="en-NZ"/>
        </w:rPr>
        <w:t xml:space="preserve"> increase with the severity and </w:t>
      </w:r>
      <w:r w:rsidR="001814A0">
        <w:rPr>
          <w:lang w:eastAsia="en-NZ"/>
        </w:rPr>
        <w:t>duration over time of the abuse (Angelakis et al., 2019</w:t>
      </w:r>
      <w:r w:rsidR="007F0902">
        <w:rPr>
          <w:lang w:eastAsia="en-NZ"/>
        </w:rPr>
        <w:t xml:space="preserve">; </w:t>
      </w:r>
      <w:proofErr w:type="spellStart"/>
      <w:r w:rsidR="001814A0">
        <w:rPr>
          <w:lang w:eastAsia="en-NZ"/>
        </w:rPr>
        <w:t>Zatti</w:t>
      </w:r>
      <w:proofErr w:type="spellEnd"/>
      <w:r w:rsidR="001814A0">
        <w:rPr>
          <w:lang w:eastAsia="en-NZ"/>
        </w:rPr>
        <w:t xml:space="preserve"> et al., 2017).</w:t>
      </w:r>
    </w:p>
    <w:p w14:paraId="11D8A257" w14:textId="193DDB9B" w:rsidR="009C1AD5" w:rsidRDefault="009C1AD5" w:rsidP="00970E91">
      <w:pPr>
        <w:rPr>
          <w:lang w:eastAsia="en-NZ"/>
        </w:rPr>
      </w:pPr>
      <w:r>
        <w:rPr>
          <w:lang w:eastAsia="en-NZ"/>
        </w:rPr>
        <w:lastRenderedPageBreak/>
        <w:t>Chil</w:t>
      </w:r>
      <w:r w:rsidR="00557133">
        <w:rPr>
          <w:lang w:eastAsia="en-NZ"/>
        </w:rPr>
        <w:t xml:space="preserve">dhood sexual abuse </w:t>
      </w:r>
      <w:r w:rsidR="00C20EAC">
        <w:rPr>
          <w:lang w:eastAsia="en-NZ"/>
        </w:rPr>
        <w:t xml:space="preserve">is </w:t>
      </w:r>
      <w:r w:rsidR="00891179">
        <w:rPr>
          <w:lang w:eastAsia="en-NZ"/>
        </w:rPr>
        <w:t xml:space="preserve">also </w:t>
      </w:r>
      <w:r w:rsidR="008251CE">
        <w:rPr>
          <w:lang w:eastAsia="en-NZ"/>
        </w:rPr>
        <w:t xml:space="preserve">a </w:t>
      </w:r>
      <w:r w:rsidR="003020A4">
        <w:rPr>
          <w:lang w:eastAsia="en-NZ"/>
        </w:rPr>
        <w:t>consistently identified</w:t>
      </w:r>
      <w:r w:rsidR="008251CE">
        <w:rPr>
          <w:lang w:eastAsia="en-NZ"/>
        </w:rPr>
        <w:t xml:space="preserve"> risk factor </w:t>
      </w:r>
      <w:r w:rsidR="0062241C">
        <w:rPr>
          <w:lang w:eastAsia="en-NZ"/>
        </w:rPr>
        <w:t>for self-harm and suicide</w:t>
      </w:r>
      <w:r w:rsidR="003020A4">
        <w:rPr>
          <w:lang w:eastAsia="en-NZ"/>
        </w:rPr>
        <w:t xml:space="preserve">. </w:t>
      </w:r>
      <w:r w:rsidR="008914B1">
        <w:rPr>
          <w:lang w:eastAsia="en-NZ"/>
        </w:rPr>
        <w:t xml:space="preserve">The risk extends into adulthood </w:t>
      </w:r>
      <w:r w:rsidR="00DE017C">
        <w:rPr>
          <w:lang w:eastAsia="en-NZ"/>
        </w:rPr>
        <w:t xml:space="preserve">and is found in general and clinical </w:t>
      </w:r>
      <w:r w:rsidR="001C67EC">
        <w:rPr>
          <w:lang w:eastAsia="en-NZ"/>
        </w:rPr>
        <w:t>populations</w:t>
      </w:r>
      <w:r w:rsidR="00891179">
        <w:rPr>
          <w:lang w:eastAsia="en-NZ"/>
        </w:rPr>
        <w:t xml:space="preserve"> (</w:t>
      </w:r>
      <w:r w:rsidR="00F1607E">
        <w:rPr>
          <w:lang w:eastAsia="en-NZ"/>
        </w:rPr>
        <w:t xml:space="preserve">Angelakis et al., 2019; </w:t>
      </w:r>
      <w:r w:rsidR="00164184">
        <w:rPr>
          <w:lang w:eastAsia="en-NZ"/>
        </w:rPr>
        <w:t>Ng et al., 2018;</w:t>
      </w:r>
      <w:r w:rsidR="00090751">
        <w:rPr>
          <w:lang w:eastAsia="en-NZ"/>
        </w:rPr>
        <w:t xml:space="preserve"> </w:t>
      </w:r>
      <w:proofErr w:type="spellStart"/>
      <w:r w:rsidR="00090751">
        <w:rPr>
          <w:lang w:eastAsia="en-NZ"/>
        </w:rPr>
        <w:t>Zatti</w:t>
      </w:r>
      <w:proofErr w:type="spellEnd"/>
      <w:r w:rsidR="00090751">
        <w:rPr>
          <w:lang w:eastAsia="en-NZ"/>
        </w:rPr>
        <w:t xml:space="preserve"> et al., 2017</w:t>
      </w:r>
      <w:r w:rsidR="00891179">
        <w:rPr>
          <w:lang w:eastAsia="en-NZ"/>
        </w:rPr>
        <w:t>).</w:t>
      </w:r>
    </w:p>
    <w:p w14:paraId="309D243C" w14:textId="2641BFC1" w:rsidR="001C67EC" w:rsidRDefault="009A4923" w:rsidP="00970E91">
      <w:pPr>
        <w:rPr>
          <w:lang w:eastAsia="en-NZ"/>
        </w:rPr>
      </w:pPr>
      <w:r>
        <w:rPr>
          <w:lang w:eastAsia="en-NZ"/>
        </w:rPr>
        <w:t>Further, t</w:t>
      </w:r>
      <w:r w:rsidR="00FD5D17">
        <w:rPr>
          <w:lang w:eastAsia="en-NZ"/>
        </w:rPr>
        <w:t xml:space="preserve">here </w:t>
      </w:r>
      <w:r w:rsidR="007E4D81">
        <w:rPr>
          <w:lang w:eastAsia="en-NZ"/>
        </w:rPr>
        <w:t xml:space="preserve">is consistent </w:t>
      </w:r>
      <w:r w:rsidR="00D04104">
        <w:rPr>
          <w:lang w:eastAsia="en-NZ"/>
        </w:rPr>
        <w:t>evidence</w:t>
      </w:r>
      <w:r w:rsidR="007E4D81">
        <w:rPr>
          <w:lang w:eastAsia="en-NZ"/>
        </w:rPr>
        <w:t xml:space="preserve"> that adult </w:t>
      </w:r>
      <w:r w:rsidR="00D04104">
        <w:rPr>
          <w:lang w:eastAsia="en-NZ"/>
        </w:rPr>
        <w:t>exposure</w:t>
      </w:r>
      <w:r w:rsidR="007E4D81">
        <w:rPr>
          <w:lang w:eastAsia="en-NZ"/>
        </w:rPr>
        <w:t xml:space="preserve"> to </w:t>
      </w:r>
      <w:r w:rsidR="001C67EC">
        <w:rPr>
          <w:lang w:eastAsia="en-NZ"/>
        </w:rPr>
        <w:t>intimate partner</w:t>
      </w:r>
      <w:r w:rsidR="0020168F">
        <w:rPr>
          <w:lang w:eastAsia="en-NZ"/>
        </w:rPr>
        <w:t xml:space="preserve"> violence</w:t>
      </w:r>
      <w:r w:rsidR="001C67EC">
        <w:rPr>
          <w:lang w:eastAsia="en-NZ"/>
        </w:rPr>
        <w:t xml:space="preserve"> </w:t>
      </w:r>
      <w:r w:rsidR="00D04104">
        <w:rPr>
          <w:lang w:eastAsia="en-NZ"/>
        </w:rPr>
        <w:t>i</w:t>
      </w:r>
      <w:r w:rsidR="007E4D81">
        <w:rPr>
          <w:lang w:eastAsia="en-NZ"/>
        </w:rPr>
        <w:t>ncreases the</w:t>
      </w:r>
      <w:r w:rsidR="001C67EC">
        <w:rPr>
          <w:lang w:eastAsia="en-NZ"/>
        </w:rPr>
        <w:t xml:space="preserve"> risk of </w:t>
      </w:r>
      <w:r w:rsidR="0012786E">
        <w:rPr>
          <w:lang w:eastAsia="en-NZ"/>
        </w:rPr>
        <w:t xml:space="preserve">self-harm and </w:t>
      </w:r>
      <w:r w:rsidR="001C67EC">
        <w:rPr>
          <w:lang w:eastAsia="en-NZ"/>
        </w:rPr>
        <w:t>suicide</w:t>
      </w:r>
      <w:r w:rsidR="007E4D81">
        <w:rPr>
          <w:lang w:eastAsia="en-NZ"/>
        </w:rPr>
        <w:t>, particularly among women</w:t>
      </w:r>
      <w:r w:rsidR="00DC57F3">
        <w:rPr>
          <w:lang w:eastAsia="en-NZ"/>
        </w:rPr>
        <w:t xml:space="preserve"> (Devries et al., 2013;</w:t>
      </w:r>
      <w:r w:rsidR="009A30FB">
        <w:rPr>
          <w:lang w:eastAsia="en-NZ"/>
        </w:rPr>
        <w:t xml:space="preserve"> </w:t>
      </w:r>
      <w:r w:rsidR="00467E6C">
        <w:rPr>
          <w:lang w:eastAsia="en-NZ"/>
        </w:rPr>
        <w:t>MacIsaac et al., 2013;</w:t>
      </w:r>
      <w:r w:rsidR="00505713">
        <w:rPr>
          <w:lang w:eastAsia="en-NZ"/>
        </w:rPr>
        <w:t xml:space="preserve"> </w:t>
      </w:r>
      <w:r w:rsidR="005F017F">
        <w:rPr>
          <w:lang w:eastAsia="en-NZ"/>
        </w:rPr>
        <w:t xml:space="preserve">McLaughlin et al., 2012; </w:t>
      </w:r>
      <w:r w:rsidR="00505713">
        <w:rPr>
          <w:lang w:eastAsia="en-NZ"/>
        </w:rPr>
        <w:t>McManus et al., 2022</w:t>
      </w:r>
      <w:r w:rsidR="009109D2">
        <w:rPr>
          <w:lang w:eastAsia="en-NZ"/>
        </w:rPr>
        <w:t>C</w:t>
      </w:r>
      <w:r w:rsidR="00505713">
        <w:rPr>
          <w:lang w:eastAsia="en-NZ"/>
        </w:rPr>
        <w:t>)</w:t>
      </w:r>
      <w:r w:rsidR="007C53CA">
        <w:rPr>
          <w:lang w:eastAsia="en-NZ"/>
        </w:rPr>
        <w:t>.</w:t>
      </w:r>
    </w:p>
    <w:p w14:paraId="49BD8B1B" w14:textId="6D0E224F" w:rsidR="00905E48" w:rsidRDefault="00A26758" w:rsidP="00970E91">
      <w:pPr>
        <w:rPr>
          <w:lang w:eastAsia="en-NZ"/>
        </w:rPr>
      </w:pPr>
      <w:r>
        <w:rPr>
          <w:lang w:eastAsia="en-NZ"/>
        </w:rPr>
        <w:t xml:space="preserve">Our suggested indicators to monitor these factors </w:t>
      </w:r>
      <w:r w:rsidR="00B44C29">
        <w:rPr>
          <w:lang w:eastAsia="en-NZ"/>
        </w:rPr>
        <w:t>come from the</w:t>
      </w:r>
      <w:r w:rsidR="00DB3007">
        <w:rPr>
          <w:lang w:eastAsia="en-NZ"/>
        </w:rPr>
        <w:t xml:space="preserve"> Youth Health and Wellbeing Survey, and the</w:t>
      </w:r>
      <w:r w:rsidR="00B44C29">
        <w:rPr>
          <w:lang w:eastAsia="en-NZ"/>
        </w:rPr>
        <w:t xml:space="preserve"> NZ Crime and Victims Survey</w:t>
      </w:r>
      <w:r w:rsidR="00E17EFD">
        <w:rPr>
          <w:lang w:eastAsia="en-NZ"/>
        </w:rPr>
        <w:t>.</w:t>
      </w:r>
    </w:p>
    <w:p w14:paraId="078E767C" w14:textId="77777777" w:rsidR="00905E48" w:rsidRDefault="00905E48" w:rsidP="00FD7241">
      <w:pPr>
        <w:pStyle w:val="Heading3"/>
        <w:ind w:left="851" w:hanging="851"/>
      </w:pPr>
      <w:r>
        <w:t>Suicide attempts</w:t>
      </w:r>
    </w:p>
    <w:p w14:paraId="7F642732" w14:textId="28F9DFEA" w:rsidR="00905E48" w:rsidRDefault="00905E48" w:rsidP="00905E48">
      <w:r w:rsidRPr="009F0186">
        <w:t>Suicid</w:t>
      </w:r>
      <w:r>
        <w:t xml:space="preserve">e </w:t>
      </w:r>
      <w:r w:rsidRPr="009F0186">
        <w:t xml:space="preserve">attempts are </w:t>
      </w:r>
      <w:r>
        <w:t xml:space="preserve">strongly </w:t>
      </w:r>
      <w:r w:rsidRPr="009F0186">
        <w:t xml:space="preserve">predictive of suicide deaths </w:t>
      </w:r>
      <w:r>
        <w:t xml:space="preserve">(Bostwick et al., 2016; </w:t>
      </w:r>
      <w:r w:rsidRPr="009F0186">
        <w:t>W</w:t>
      </w:r>
      <w:r>
        <w:t xml:space="preserve">orld </w:t>
      </w:r>
      <w:r w:rsidRPr="009F0186">
        <w:t>H</w:t>
      </w:r>
      <w:r>
        <w:t xml:space="preserve">ealth </w:t>
      </w:r>
      <w:r w:rsidRPr="009F0186">
        <w:t>O</w:t>
      </w:r>
      <w:r>
        <w:t>rganization,</w:t>
      </w:r>
      <w:r w:rsidRPr="009F0186">
        <w:t xml:space="preserve"> 2014)</w:t>
      </w:r>
      <w:r>
        <w:t>. We do</w:t>
      </w:r>
      <w:r w:rsidR="009C5A66">
        <w:t xml:space="preserve"> not</w:t>
      </w:r>
      <w:r>
        <w:t xml:space="preserve"> have a source of data for this indicator for adults. Data for children and young people will be available from the upcoming Child and Youth Mental Health and Addiction Prevalence Survey and from the Youth Health and Wellbeing Survey. </w:t>
      </w:r>
    </w:p>
    <w:p w14:paraId="20632B70" w14:textId="72253A87" w:rsidR="00D67795" w:rsidRPr="00AF4F14" w:rsidRDefault="00905E48" w:rsidP="00D67795">
      <w:r>
        <w:t>Note that a reduction in people reporting (suicidal) thoughts, plans and attempts is included as a longer-term outcome measure in the Suicide Prevention Action Plan 2025-29 (Ministry of Health, 2025), using unspecified survey data.</w:t>
      </w:r>
      <w:r w:rsidR="00E17EFD">
        <w:rPr>
          <w:lang w:eastAsia="en-NZ"/>
        </w:rPr>
        <w:t xml:space="preserve"> </w:t>
      </w:r>
    </w:p>
    <w:p w14:paraId="17863684" w14:textId="77777777" w:rsidR="00D67795" w:rsidRDefault="00D67795" w:rsidP="00D67795">
      <w:pPr>
        <w:pStyle w:val="Caption"/>
        <w:sectPr w:rsidR="00D67795" w:rsidSect="00886D66">
          <w:footerReference w:type="default" r:id="rId30"/>
          <w:pgSz w:w="11906" w:h="16838"/>
          <w:pgMar w:top="1440" w:right="1440" w:bottom="1440" w:left="1440" w:header="708" w:footer="708" w:gutter="0"/>
          <w:cols w:space="708"/>
          <w:docGrid w:linePitch="360"/>
        </w:sectPr>
      </w:pPr>
      <w:bookmarkStart w:id="15" w:name="_Ref201670535"/>
    </w:p>
    <w:p w14:paraId="12E61CBB" w14:textId="5EF842BA" w:rsidR="00D67795" w:rsidRPr="00713E0C" w:rsidRDefault="00D67795" w:rsidP="00D67795">
      <w:pPr>
        <w:pStyle w:val="Caption"/>
      </w:pPr>
      <w:bookmarkStart w:id="16" w:name="_Ref204948730"/>
      <w:r>
        <w:lastRenderedPageBreak/>
        <w:t xml:space="preserve">Table </w:t>
      </w:r>
      <w:r>
        <w:fldChar w:fldCharType="begin"/>
      </w:r>
      <w:r>
        <w:instrText xml:space="preserve"> SEQ Table \* ARABIC </w:instrText>
      </w:r>
      <w:r>
        <w:fldChar w:fldCharType="separate"/>
      </w:r>
      <w:r w:rsidR="00914243">
        <w:rPr>
          <w:noProof/>
        </w:rPr>
        <w:t>5</w:t>
      </w:r>
      <w:r>
        <w:rPr>
          <w:noProof/>
        </w:rPr>
        <w:fldChar w:fldCharType="end"/>
      </w:r>
      <w:bookmarkEnd w:id="15"/>
      <w:bookmarkEnd w:id="16"/>
      <w:r>
        <w:t>: Potential indicators of individual-level protective and risk factor</w:t>
      </w:r>
      <w:r w:rsidR="00293B0B">
        <w:t>s</w:t>
      </w:r>
      <w:r>
        <w:t xml:space="preserve"> for suicide and self-harm</w:t>
      </w:r>
    </w:p>
    <w:tbl>
      <w:tblPr>
        <w:tblStyle w:val="PlainTable2"/>
        <w:tblW w:w="14439" w:type="dxa"/>
        <w:tblLook w:val="04A0" w:firstRow="1" w:lastRow="0" w:firstColumn="1" w:lastColumn="0" w:noHBand="0" w:noVBand="1"/>
      </w:tblPr>
      <w:tblGrid>
        <w:gridCol w:w="2269"/>
        <w:gridCol w:w="4706"/>
        <w:gridCol w:w="1871"/>
        <w:gridCol w:w="1871"/>
        <w:gridCol w:w="1871"/>
        <w:gridCol w:w="1851"/>
      </w:tblGrid>
      <w:tr w:rsidR="00E72B1C" w:rsidRPr="00D07B0C" w14:paraId="275173AC" w14:textId="7707190E" w:rsidTr="009A2FB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69" w:type="dxa"/>
            <w:noWrap/>
          </w:tcPr>
          <w:p w14:paraId="20E8DCF2" w14:textId="383930B3" w:rsidR="00E86669" w:rsidRPr="006D4BAA" w:rsidRDefault="00814A20">
            <w:pPr>
              <w:pStyle w:val="Tabletext"/>
              <w:rPr>
                <w:b w:val="0"/>
                <w:bCs w:val="0"/>
              </w:rPr>
            </w:pPr>
            <w:r>
              <w:t>Indicator</w:t>
            </w:r>
          </w:p>
        </w:tc>
        <w:tc>
          <w:tcPr>
            <w:tcW w:w="4706" w:type="dxa"/>
            <w:noWrap/>
          </w:tcPr>
          <w:p w14:paraId="2070ED6F" w14:textId="3273D671" w:rsidR="00E86669" w:rsidRPr="00814A20" w:rsidRDefault="00814A20" w:rsidP="009A2FBF">
            <w:pPr>
              <w:pStyle w:val="Tabletext"/>
              <w:cnfStyle w:val="100000000000" w:firstRow="1" w:lastRow="0" w:firstColumn="0" w:lastColumn="0" w:oddVBand="0" w:evenVBand="0" w:oddHBand="0" w:evenHBand="0" w:firstRowFirstColumn="0" w:firstRowLastColumn="0" w:lastRowFirstColumn="0" w:lastRowLastColumn="0"/>
            </w:pPr>
            <w:r w:rsidRPr="00814A20">
              <w:t>Definition</w:t>
            </w:r>
          </w:p>
        </w:tc>
        <w:tc>
          <w:tcPr>
            <w:tcW w:w="1871" w:type="dxa"/>
          </w:tcPr>
          <w:p w14:paraId="7C402672" w14:textId="3CF3F43E" w:rsidR="00E86669" w:rsidRPr="00BE37F7" w:rsidRDefault="00E86669">
            <w:pPr>
              <w:pStyle w:val="Tabletext"/>
              <w:cnfStyle w:val="100000000000" w:firstRow="1" w:lastRow="0" w:firstColumn="0" w:lastColumn="0" w:oddVBand="0" w:evenVBand="0" w:oddHBand="0" w:evenHBand="0" w:firstRowFirstColumn="0" w:firstRowLastColumn="0" w:lastRowFirstColumn="0" w:lastRowLastColumn="0"/>
            </w:pPr>
            <w:r>
              <w:t>Data source</w:t>
            </w:r>
          </w:p>
        </w:tc>
        <w:tc>
          <w:tcPr>
            <w:tcW w:w="1871" w:type="dxa"/>
          </w:tcPr>
          <w:p w14:paraId="4935997F" w14:textId="6D5BCCE2" w:rsidR="00E86669" w:rsidRPr="00BE37F7" w:rsidRDefault="00E86669">
            <w:pPr>
              <w:pStyle w:val="Tabletext"/>
              <w:cnfStyle w:val="100000000000" w:firstRow="1" w:lastRow="0" w:firstColumn="0" w:lastColumn="0" w:oddVBand="0" w:evenVBand="0" w:oddHBand="0" w:evenHBand="0" w:firstRowFirstColumn="0" w:firstRowLastColumn="0" w:lastRowFirstColumn="0" w:lastRowLastColumn="0"/>
            </w:pPr>
            <w:r>
              <w:t>Data quality</w:t>
            </w:r>
          </w:p>
        </w:tc>
        <w:tc>
          <w:tcPr>
            <w:tcW w:w="1871" w:type="dxa"/>
          </w:tcPr>
          <w:p w14:paraId="452D8FBE" w14:textId="58803642" w:rsidR="00E86669" w:rsidRPr="00BE37F7" w:rsidRDefault="00E86669">
            <w:pPr>
              <w:pStyle w:val="Tabletext"/>
              <w:cnfStyle w:val="100000000000" w:firstRow="1" w:lastRow="0" w:firstColumn="0" w:lastColumn="0" w:oddVBand="0" w:evenVBand="0" w:oddHBand="0" w:evenHBand="0" w:firstRowFirstColumn="0" w:firstRowLastColumn="0" w:lastRowFirstColumn="0" w:lastRowLastColumn="0"/>
            </w:pPr>
            <w:r>
              <w:t>Population sensitivity</w:t>
            </w:r>
          </w:p>
        </w:tc>
        <w:tc>
          <w:tcPr>
            <w:tcW w:w="1851" w:type="dxa"/>
          </w:tcPr>
          <w:p w14:paraId="665934BB" w14:textId="37D0D96B" w:rsidR="00E86669" w:rsidRDefault="00E86669">
            <w:pPr>
              <w:pStyle w:val="Tabletext"/>
              <w:cnfStyle w:val="100000000000" w:firstRow="1" w:lastRow="0" w:firstColumn="0" w:lastColumn="0" w:oddVBand="0" w:evenVBand="0" w:oddHBand="0" w:evenHBand="0" w:firstRowFirstColumn="0" w:firstRowLastColumn="0" w:lastRowFirstColumn="0" w:lastRowLastColumn="0"/>
            </w:pPr>
            <w:r>
              <w:t>Recommend</w:t>
            </w:r>
            <w:r w:rsidR="00C4376D">
              <w:t>ation</w:t>
            </w:r>
          </w:p>
        </w:tc>
      </w:tr>
      <w:tr w:rsidR="002B334D" w:rsidRPr="00D07B0C" w14:paraId="7EABEAEE" w14:textId="2AFC4E60" w:rsidTr="009A2F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7ACF57BC" w14:textId="77777777" w:rsidR="002B334D" w:rsidRPr="006D4BAA" w:rsidRDefault="002B334D" w:rsidP="002B334D">
            <w:pPr>
              <w:pStyle w:val="Tabletext"/>
              <w:rPr>
                <w:b w:val="0"/>
                <w:bCs w:val="0"/>
              </w:rPr>
            </w:pPr>
            <w:r w:rsidRPr="006D4BAA">
              <w:rPr>
                <w:b w:val="0"/>
                <w:bCs w:val="0"/>
              </w:rPr>
              <w:t>Social connectedness</w:t>
            </w:r>
          </w:p>
        </w:tc>
        <w:tc>
          <w:tcPr>
            <w:tcW w:w="4706" w:type="dxa"/>
            <w:noWrap/>
            <w:hideMark/>
          </w:tcPr>
          <w:p w14:paraId="7F65C7B8" w14:textId="00493023" w:rsidR="002B334D" w:rsidRPr="00D07B0C" w:rsidRDefault="002B334D" w:rsidP="009A2FBF">
            <w:pPr>
              <w:pStyle w:val="Tabletext"/>
              <w:cnfStyle w:val="000000100000" w:firstRow="0" w:lastRow="0" w:firstColumn="0" w:lastColumn="0" w:oddVBand="0" w:evenVBand="0" w:oddHBand="1" w:evenHBand="0" w:firstRowFirstColumn="0" w:firstRowLastColumn="0" w:lastRowFirstColumn="0" w:lastRowLastColumn="0"/>
            </w:pPr>
            <w:r w:rsidRPr="00D07B0C">
              <w:t xml:space="preserve">Percentage of population </w:t>
            </w:r>
            <w:r>
              <w:t xml:space="preserve">aged </w:t>
            </w:r>
            <w:r w:rsidRPr="00D07B0C">
              <w:t>15+ who report feeling lonely a little or none of the time in the last four weeks</w:t>
            </w:r>
          </w:p>
        </w:tc>
        <w:tc>
          <w:tcPr>
            <w:tcW w:w="1871" w:type="dxa"/>
          </w:tcPr>
          <w:p w14:paraId="5E118C7B" w14:textId="01F79BC1" w:rsidR="002B334D" w:rsidRPr="00D07B0C" w:rsidRDefault="002B334D" w:rsidP="002B334D">
            <w:pPr>
              <w:pStyle w:val="Tabletext"/>
              <w:cnfStyle w:val="000000100000" w:firstRow="0" w:lastRow="0" w:firstColumn="0" w:lastColumn="0" w:oddVBand="0" w:evenVBand="0" w:oddHBand="1" w:evenHBand="0" w:firstRowFirstColumn="0" w:firstRowLastColumn="0" w:lastRowFirstColumn="0" w:lastRowLastColumn="0"/>
            </w:pPr>
            <w:r>
              <w:t>Ministry of Health, NZ Health Survey</w:t>
            </w:r>
          </w:p>
        </w:tc>
        <w:tc>
          <w:tcPr>
            <w:tcW w:w="1871" w:type="dxa"/>
          </w:tcPr>
          <w:p w14:paraId="5BAA6902" w14:textId="7DB121E2" w:rsidR="002B334D" w:rsidRPr="00D07B0C" w:rsidRDefault="002B334D" w:rsidP="002B334D">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Data available annually and comparable over time</w:t>
            </w:r>
          </w:p>
        </w:tc>
        <w:tc>
          <w:tcPr>
            <w:tcW w:w="1871" w:type="dxa"/>
          </w:tcPr>
          <w:p w14:paraId="3CE46CAD" w14:textId="060FBF3D" w:rsidR="002B334D" w:rsidRPr="00D07B0C" w:rsidRDefault="002B334D" w:rsidP="002B334D">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Data available by ethnicity, sex, age group</w:t>
            </w:r>
          </w:p>
        </w:tc>
        <w:tc>
          <w:tcPr>
            <w:tcW w:w="1851" w:type="dxa"/>
          </w:tcPr>
          <w:p w14:paraId="2C57890D" w14:textId="155B1A00" w:rsidR="002B334D" w:rsidRPr="00D07B0C" w:rsidRDefault="002B334D" w:rsidP="002B334D">
            <w:pPr>
              <w:pStyle w:val="Tabletext"/>
              <w:cnfStyle w:val="000000100000" w:firstRow="0" w:lastRow="0" w:firstColumn="0" w:lastColumn="0" w:oddVBand="0" w:evenVBand="0" w:oddHBand="1" w:evenHBand="0" w:firstRowFirstColumn="0" w:firstRowLastColumn="0" w:lastRowFirstColumn="0" w:lastRowLastColumn="0"/>
            </w:pPr>
            <w:r>
              <w:t>Include</w:t>
            </w:r>
          </w:p>
        </w:tc>
      </w:tr>
      <w:tr w:rsidR="00B83E76" w:rsidRPr="00D07B0C" w14:paraId="03D1616D" w14:textId="77777777" w:rsidTr="009A2FBF">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2AEA12D2" w14:textId="723DA437" w:rsidR="00B83E76" w:rsidRPr="006D4BAA" w:rsidRDefault="00B83E76" w:rsidP="00B83E76">
            <w:pPr>
              <w:pStyle w:val="Tabletext"/>
            </w:pPr>
            <w:r w:rsidRPr="00B83E76">
              <w:rPr>
                <w:b w:val="0"/>
                <w:bCs w:val="0"/>
              </w:rPr>
              <w:t>Physical health</w:t>
            </w:r>
          </w:p>
        </w:tc>
        <w:tc>
          <w:tcPr>
            <w:tcW w:w="4706" w:type="dxa"/>
            <w:noWrap/>
          </w:tcPr>
          <w:p w14:paraId="70E0D84E" w14:textId="2A844B0D" w:rsidR="00B83E76" w:rsidRPr="00D07B0C" w:rsidRDefault="00B83E76" w:rsidP="00B83E76">
            <w:pPr>
              <w:pStyle w:val="Tabletext"/>
              <w:cnfStyle w:val="000000000000" w:firstRow="0" w:lastRow="0" w:firstColumn="0" w:lastColumn="0" w:oddVBand="0" w:evenVBand="0" w:oddHBand="0" w:evenHBand="0" w:firstRowFirstColumn="0" w:firstRowLastColumn="0" w:lastRowFirstColumn="0" w:lastRowLastColumn="0"/>
            </w:pPr>
            <w:r>
              <w:t>Percentage</w:t>
            </w:r>
            <w:r w:rsidRPr="00FE5D32">
              <w:t xml:space="preserve"> of </w:t>
            </w:r>
            <w:r w:rsidRPr="00D07B0C">
              <w:t xml:space="preserve">population </w:t>
            </w:r>
            <w:r>
              <w:t xml:space="preserve">aged 15+ </w:t>
            </w:r>
            <w:r w:rsidRPr="00FE5D32">
              <w:t>who rate their health status as good, very good or excellent</w:t>
            </w:r>
          </w:p>
        </w:tc>
        <w:tc>
          <w:tcPr>
            <w:tcW w:w="1871" w:type="dxa"/>
          </w:tcPr>
          <w:p w14:paraId="7CD71641" w14:textId="5236F2CC" w:rsidR="00B83E76" w:rsidRDefault="00B83E76" w:rsidP="00B83E76">
            <w:pPr>
              <w:pStyle w:val="Tabletext"/>
              <w:cnfStyle w:val="000000000000" w:firstRow="0" w:lastRow="0" w:firstColumn="0" w:lastColumn="0" w:oddVBand="0" w:evenVBand="0" w:oddHBand="0" w:evenHBand="0" w:firstRowFirstColumn="0" w:firstRowLastColumn="0" w:lastRowFirstColumn="0" w:lastRowLastColumn="0"/>
            </w:pPr>
            <w:r>
              <w:t>Ministry of Health, NZ Health Survey</w:t>
            </w:r>
          </w:p>
        </w:tc>
        <w:tc>
          <w:tcPr>
            <w:tcW w:w="1871" w:type="dxa"/>
          </w:tcPr>
          <w:p w14:paraId="627DA76F" w14:textId="210D5281" w:rsidR="00B83E76" w:rsidRPr="00DA7D37" w:rsidRDefault="00B83E76" w:rsidP="00B83E7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Data available annually and comparable over time</w:t>
            </w:r>
          </w:p>
        </w:tc>
        <w:tc>
          <w:tcPr>
            <w:tcW w:w="1871" w:type="dxa"/>
          </w:tcPr>
          <w:p w14:paraId="098D35DA" w14:textId="1722E2E7" w:rsidR="00B83E76" w:rsidRPr="00DA7D37" w:rsidRDefault="00B83E76" w:rsidP="00B83E7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Data available by ethnicity, sex, age group</w:t>
            </w:r>
          </w:p>
        </w:tc>
        <w:tc>
          <w:tcPr>
            <w:tcW w:w="1851" w:type="dxa"/>
          </w:tcPr>
          <w:p w14:paraId="0957AE96" w14:textId="306768B3" w:rsidR="00B83E76" w:rsidRDefault="00B83E76" w:rsidP="00B83E76">
            <w:pPr>
              <w:pStyle w:val="Tabletext"/>
              <w:cnfStyle w:val="000000000000" w:firstRow="0" w:lastRow="0" w:firstColumn="0" w:lastColumn="0" w:oddVBand="0" w:evenVBand="0" w:oddHBand="0" w:evenHBand="0" w:firstRowFirstColumn="0" w:firstRowLastColumn="0" w:lastRowFirstColumn="0" w:lastRowLastColumn="0"/>
            </w:pPr>
            <w:r>
              <w:t>Include</w:t>
            </w:r>
          </w:p>
        </w:tc>
      </w:tr>
      <w:tr w:rsidR="004D6880" w:rsidRPr="00D07B0C" w14:paraId="1C39AC43" w14:textId="75E2A704" w:rsidTr="009A2F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9" w:type="dxa"/>
            <w:vMerge w:val="restart"/>
            <w:noWrap/>
            <w:hideMark/>
          </w:tcPr>
          <w:p w14:paraId="7E1ED80D" w14:textId="77777777" w:rsidR="004D6880" w:rsidRPr="006D4BAA" w:rsidRDefault="004D6880" w:rsidP="00B83E76">
            <w:pPr>
              <w:pStyle w:val="Tabletext"/>
              <w:rPr>
                <w:b w:val="0"/>
                <w:bCs w:val="0"/>
              </w:rPr>
            </w:pPr>
            <w:r w:rsidRPr="006D4BAA">
              <w:rPr>
                <w:b w:val="0"/>
                <w:bCs w:val="0"/>
              </w:rPr>
              <w:t>Psychological distress</w:t>
            </w:r>
          </w:p>
        </w:tc>
        <w:tc>
          <w:tcPr>
            <w:tcW w:w="4706" w:type="dxa"/>
            <w:noWrap/>
            <w:hideMark/>
          </w:tcPr>
          <w:p w14:paraId="00537199" w14:textId="12C84F29" w:rsidR="004D6880" w:rsidRPr="00D07B0C" w:rsidRDefault="004D6880" w:rsidP="00B83E76">
            <w:pPr>
              <w:pStyle w:val="Tabletext"/>
              <w:cnfStyle w:val="000000100000" w:firstRow="0" w:lastRow="0" w:firstColumn="0" w:lastColumn="0" w:oddVBand="0" w:evenVBand="0" w:oddHBand="1" w:evenHBand="0" w:firstRowFirstColumn="0" w:firstRowLastColumn="0" w:lastRowFirstColumn="0" w:lastRowLastColumn="0"/>
            </w:pPr>
            <w:r w:rsidRPr="00D07B0C">
              <w:t xml:space="preserve">Percentage of population aged 15+ </w:t>
            </w:r>
            <w:r>
              <w:t>who have e</w:t>
            </w:r>
            <w:r w:rsidRPr="00D07B0C">
              <w:t>xperienced high or very high levels of psychological distress in the past 4 weeks</w:t>
            </w:r>
          </w:p>
        </w:tc>
        <w:tc>
          <w:tcPr>
            <w:tcW w:w="1871" w:type="dxa"/>
          </w:tcPr>
          <w:p w14:paraId="6A063BEF" w14:textId="672016A6" w:rsidR="004D6880" w:rsidRPr="00D07B0C" w:rsidRDefault="004D6880" w:rsidP="00B83E76">
            <w:pPr>
              <w:pStyle w:val="Tabletext"/>
              <w:cnfStyle w:val="000000100000" w:firstRow="0" w:lastRow="0" w:firstColumn="0" w:lastColumn="0" w:oddVBand="0" w:evenVBand="0" w:oddHBand="1" w:evenHBand="0" w:firstRowFirstColumn="0" w:firstRowLastColumn="0" w:lastRowFirstColumn="0" w:lastRowLastColumn="0"/>
            </w:pPr>
            <w:r>
              <w:t>Ministry of Health, NZ Health Survey</w:t>
            </w:r>
          </w:p>
        </w:tc>
        <w:tc>
          <w:tcPr>
            <w:tcW w:w="1871" w:type="dxa"/>
          </w:tcPr>
          <w:p w14:paraId="08407B3E" w14:textId="3FA9193B" w:rsidR="004D6880" w:rsidRPr="00D07B0C" w:rsidRDefault="004D6880" w:rsidP="00B83E76">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Data available annually and comparable over time</w:t>
            </w:r>
          </w:p>
        </w:tc>
        <w:tc>
          <w:tcPr>
            <w:tcW w:w="1871" w:type="dxa"/>
          </w:tcPr>
          <w:p w14:paraId="79E36FB1" w14:textId="5539BBC8" w:rsidR="004D6880" w:rsidRPr="00D07B0C" w:rsidRDefault="004D6880" w:rsidP="00B83E76">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Data available by ethnicity, sex, age group</w:t>
            </w:r>
          </w:p>
        </w:tc>
        <w:tc>
          <w:tcPr>
            <w:tcW w:w="1851" w:type="dxa"/>
            <w:vMerge w:val="restart"/>
          </w:tcPr>
          <w:p w14:paraId="132E3081" w14:textId="7CFD5A3D" w:rsidR="004D6880" w:rsidRPr="00D07B0C" w:rsidRDefault="004D6880" w:rsidP="00B83E76">
            <w:pPr>
              <w:pStyle w:val="Tabletext"/>
              <w:cnfStyle w:val="000000100000" w:firstRow="0" w:lastRow="0" w:firstColumn="0" w:lastColumn="0" w:oddVBand="0" w:evenVBand="0" w:oddHBand="1" w:evenHBand="0" w:firstRowFirstColumn="0" w:firstRowLastColumn="0" w:lastRowFirstColumn="0" w:lastRowLastColumn="0"/>
            </w:pPr>
            <w:r>
              <w:t>Include</w:t>
            </w:r>
          </w:p>
        </w:tc>
      </w:tr>
      <w:tr w:rsidR="004D6880" w:rsidRPr="00D07B0C" w14:paraId="5EB37AF9" w14:textId="77777777" w:rsidTr="009A2FBF">
        <w:trPr>
          <w:trHeight w:val="300"/>
        </w:trPr>
        <w:tc>
          <w:tcPr>
            <w:cnfStyle w:val="001000000000" w:firstRow="0" w:lastRow="0" w:firstColumn="1" w:lastColumn="0" w:oddVBand="0" w:evenVBand="0" w:oddHBand="0" w:evenHBand="0" w:firstRowFirstColumn="0" w:firstRowLastColumn="0" w:lastRowFirstColumn="0" w:lastRowLastColumn="0"/>
            <w:tcW w:w="2269" w:type="dxa"/>
            <w:vMerge/>
            <w:noWrap/>
          </w:tcPr>
          <w:p w14:paraId="0387C696" w14:textId="77777777" w:rsidR="004D6880" w:rsidRPr="006D4BAA" w:rsidRDefault="004D6880" w:rsidP="00B83E76">
            <w:pPr>
              <w:pStyle w:val="Tabletext"/>
            </w:pPr>
          </w:p>
        </w:tc>
        <w:tc>
          <w:tcPr>
            <w:tcW w:w="4706" w:type="dxa"/>
            <w:noWrap/>
          </w:tcPr>
          <w:p w14:paraId="0ADA15FA" w14:textId="73DC425F" w:rsidR="004D6880" w:rsidRPr="00D07B0C" w:rsidRDefault="004D6880" w:rsidP="00B83E76">
            <w:pPr>
              <w:pStyle w:val="Tabletext"/>
              <w:cnfStyle w:val="000000000000" w:firstRow="0" w:lastRow="0" w:firstColumn="0" w:lastColumn="0" w:oddVBand="0" w:evenVBand="0" w:oddHBand="0" w:evenHBand="0" w:firstRowFirstColumn="0" w:firstRowLastColumn="0" w:lastRowFirstColumn="0" w:lastRowLastColumn="0"/>
            </w:pPr>
            <w:r>
              <w:t>Youth-related indicator to be determined</w:t>
            </w:r>
          </w:p>
        </w:tc>
        <w:tc>
          <w:tcPr>
            <w:tcW w:w="1871" w:type="dxa"/>
          </w:tcPr>
          <w:p w14:paraId="6B89D51C" w14:textId="63EB1F56" w:rsidR="004D6880" w:rsidRDefault="004D6880" w:rsidP="00B83E76">
            <w:pPr>
              <w:pStyle w:val="Tabletext"/>
              <w:cnfStyle w:val="000000000000" w:firstRow="0" w:lastRow="0" w:firstColumn="0" w:lastColumn="0" w:oddVBand="0" w:evenVBand="0" w:oddHBand="0" w:evenHBand="0" w:firstRowFirstColumn="0" w:firstRowLastColumn="0" w:lastRowFirstColumn="0" w:lastRowLastColumn="0"/>
            </w:pPr>
            <w:r>
              <w:t>MSD, Youth Health and Wellbeing Survey</w:t>
            </w:r>
          </w:p>
        </w:tc>
        <w:tc>
          <w:tcPr>
            <w:tcW w:w="1871" w:type="dxa"/>
          </w:tcPr>
          <w:p w14:paraId="21C18357" w14:textId="4E1E0494" w:rsidR="004D6880" w:rsidRPr="00DA7D37" w:rsidRDefault="004D6880" w:rsidP="00B83E76">
            <w:pPr>
              <w:pStyle w:val="Tabletext"/>
              <w:cnfStyle w:val="000000000000" w:firstRow="0" w:lastRow="0" w:firstColumn="0" w:lastColumn="0" w:oddVBand="0" w:evenVBand="0" w:oddHBand="0" w:evenHBand="0" w:firstRowFirstColumn="0" w:firstRowLastColumn="0" w:lastRowFirstColumn="0" w:lastRowLastColumn="0"/>
              <w:rPr>
                <w:szCs w:val="20"/>
              </w:rPr>
            </w:pPr>
            <w:r>
              <w:rPr>
                <w:szCs w:val="20"/>
              </w:rPr>
              <w:t xml:space="preserve">Data available three-yearly and </w:t>
            </w:r>
            <w:r w:rsidRPr="00DA7D37">
              <w:rPr>
                <w:szCs w:val="20"/>
              </w:rPr>
              <w:t>comparable over time</w:t>
            </w:r>
            <w:r>
              <w:rPr>
                <w:szCs w:val="20"/>
              </w:rPr>
              <w:t xml:space="preserve"> </w:t>
            </w:r>
          </w:p>
        </w:tc>
        <w:tc>
          <w:tcPr>
            <w:tcW w:w="1871" w:type="dxa"/>
          </w:tcPr>
          <w:p w14:paraId="17D8774D" w14:textId="4B4A50FA" w:rsidR="004D6880" w:rsidRPr="00DA7D37" w:rsidRDefault="004D6880" w:rsidP="00B83E7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Data available by ethnicity, sex, age group</w:t>
            </w:r>
          </w:p>
        </w:tc>
        <w:tc>
          <w:tcPr>
            <w:tcW w:w="1851" w:type="dxa"/>
            <w:vMerge/>
          </w:tcPr>
          <w:p w14:paraId="66657E84" w14:textId="77777777" w:rsidR="004D6880" w:rsidRDefault="004D6880" w:rsidP="00B83E76">
            <w:pPr>
              <w:pStyle w:val="Tabletext"/>
              <w:cnfStyle w:val="000000000000" w:firstRow="0" w:lastRow="0" w:firstColumn="0" w:lastColumn="0" w:oddVBand="0" w:evenVBand="0" w:oddHBand="0" w:evenHBand="0" w:firstRowFirstColumn="0" w:firstRowLastColumn="0" w:lastRowFirstColumn="0" w:lastRowLastColumn="0"/>
            </w:pPr>
          </w:p>
        </w:tc>
      </w:tr>
      <w:tr w:rsidR="00FC7043" w:rsidRPr="00F96D5A" w14:paraId="58B673BD" w14:textId="378C6045" w:rsidTr="009A2F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9" w:type="dxa"/>
            <w:vMerge w:val="restart"/>
            <w:noWrap/>
          </w:tcPr>
          <w:p w14:paraId="482687AF" w14:textId="2CDAE632" w:rsidR="00FC7043" w:rsidRPr="00F96D5A" w:rsidRDefault="00FC7043" w:rsidP="00B83E76">
            <w:pPr>
              <w:pStyle w:val="Tabletext"/>
              <w:rPr>
                <w:b w:val="0"/>
                <w:bCs w:val="0"/>
              </w:rPr>
            </w:pPr>
            <w:r w:rsidRPr="00F96D5A">
              <w:rPr>
                <w:b w:val="0"/>
                <w:bCs w:val="0"/>
              </w:rPr>
              <w:t>Depression</w:t>
            </w:r>
          </w:p>
        </w:tc>
        <w:tc>
          <w:tcPr>
            <w:tcW w:w="4706" w:type="dxa"/>
            <w:noWrap/>
          </w:tcPr>
          <w:p w14:paraId="09301B45" w14:textId="717E3DD3" w:rsidR="00FC7043" w:rsidRPr="00E83842" w:rsidRDefault="00FC7043" w:rsidP="00B83E76">
            <w:pPr>
              <w:pStyle w:val="Tabletext"/>
              <w:cnfStyle w:val="000000100000" w:firstRow="0" w:lastRow="0" w:firstColumn="0" w:lastColumn="0" w:oddVBand="0" w:evenVBand="0" w:oddHBand="1" w:evenHBand="0" w:firstRowFirstColumn="0" w:firstRowLastColumn="0" w:lastRowFirstColumn="0" w:lastRowLastColumn="0"/>
            </w:pPr>
            <w:r>
              <w:t>Percentage of adults aged 15+ reporting moderate to severe symptoms of depression in the past 2 weeks</w:t>
            </w:r>
          </w:p>
        </w:tc>
        <w:tc>
          <w:tcPr>
            <w:tcW w:w="1871" w:type="dxa"/>
          </w:tcPr>
          <w:p w14:paraId="1592DF9D" w14:textId="529E814B" w:rsidR="00FC7043" w:rsidRPr="00E83842" w:rsidRDefault="00FC7043" w:rsidP="00B83E76">
            <w:pPr>
              <w:pStyle w:val="Tabletext"/>
              <w:cnfStyle w:val="000000100000" w:firstRow="0" w:lastRow="0" w:firstColumn="0" w:lastColumn="0" w:oddVBand="0" w:evenVBand="0" w:oddHBand="1" w:evenHBand="0" w:firstRowFirstColumn="0" w:firstRowLastColumn="0" w:lastRowFirstColumn="0" w:lastRowLastColumn="0"/>
            </w:pPr>
            <w:r>
              <w:t>Ministry of Health, NZ Health Survey, MHPSA module</w:t>
            </w:r>
          </w:p>
        </w:tc>
        <w:tc>
          <w:tcPr>
            <w:tcW w:w="1871" w:type="dxa"/>
          </w:tcPr>
          <w:p w14:paraId="3E9950B1" w14:textId="422FFE88" w:rsidR="00FC7043" w:rsidRPr="00E83842" w:rsidRDefault="00FC7043" w:rsidP="00B83E76">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 xml:space="preserve">Data available </w:t>
            </w:r>
            <w:r>
              <w:rPr>
                <w:szCs w:val="20"/>
              </w:rPr>
              <w:t>irregularly,</w:t>
            </w:r>
            <w:r w:rsidRPr="00DA7D37">
              <w:rPr>
                <w:szCs w:val="20"/>
              </w:rPr>
              <w:t xml:space="preserve"> comparable over time</w:t>
            </w:r>
          </w:p>
        </w:tc>
        <w:tc>
          <w:tcPr>
            <w:tcW w:w="1871" w:type="dxa"/>
          </w:tcPr>
          <w:p w14:paraId="1AB97B28" w14:textId="4D9AB9FF" w:rsidR="00FC7043" w:rsidRPr="00E83842" w:rsidRDefault="00FC7043" w:rsidP="00B83E76">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Data available by ethnicity, sex, age group</w:t>
            </w:r>
          </w:p>
        </w:tc>
        <w:tc>
          <w:tcPr>
            <w:tcW w:w="1851" w:type="dxa"/>
            <w:vMerge w:val="restart"/>
          </w:tcPr>
          <w:p w14:paraId="1F5605BE" w14:textId="28F2A009" w:rsidR="00FC7043" w:rsidRDefault="00FC7043" w:rsidP="00B83E76">
            <w:pPr>
              <w:pStyle w:val="Tabletext"/>
              <w:cnfStyle w:val="000000100000" w:firstRow="0" w:lastRow="0" w:firstColumn="0" w:lastColumn="0" w:oddVBand="0" w:evenVBand="0" w:oddHBand="1" w:evenHBand="0" w:firstRowFirstColumn="0" w:firstRowLastColumn="0" w:lastRowFirstColumn="0" w:lastRowLastColumn="0"/>
            </w:pPr>
            <w:r>
              <w:t>Include</w:t>
            </w:r>
          </w:p>
        </w:tc>
      </w:tr>
      <w:tr w:rsidR="00FC7043" w:rsidRPr="00F96D5A" w14:paraId="3B944721" w14:textId="77777777" w:rsidTr="009A2FBF">
        <w:trPr>
          <w:trHeight w:val="300"/>
        </w:trPr>
        <w:tc>
          <w:tcPr>
            <w:cnfStyle w:val="001000000000" w:firstRow="0" w:lastRow="0" w:firstColumn="1" w:lastColumn="0" w:oddVBand="0" w:evenVBand="0" w:oddHBand="0" w:evenHBand="0" w:firstRowFirstColumn="0" w:firstRowLastColumn="0" w:lastRowFirstColumn="0" w:lastRowLastColumn="0"/>
            <w:tcW w:w="2269" w:type="dxa"/>
            <w:vMerge/>
            <w:noWrap/>
          </w:tcPr>
          <w:p w14:paraId="348D5D88" w14:textId="77777777" w:rsidR="00FC7043" w:rsidRPr="00F96D5A" w:rsidRDefault="00FC7043" w:rsidP="00B83E76">
            <w:pPr>
              <w:pStyle w:val="Tabletext"/>
            </w:pPr>
          </w:p>
        </w:tc>
        <w:tc>
          <w:tcPr>
            <w:tcW w:w="4706" w:type="dxa"/>
            <w:noWrap/>
          </w:tcPr>
          <w:p w14:paraId="2E4A0A04" w14:textId="3F6B5ECE" w:rsidR="00FC7043" w:rsidRDefault="00FC7043" w:rsidP="00B83E76">
            <w:pPr>
              <w:pStyle w:val="Tabletext"/>
              <w:cnfStyle w:val="000000000000" w:firstRow="0" w:lastRow="0" w:firstColumn="0" w:lastColumn="0" w:oddVBand="0" w:evenVBand="0" w:oddHBand="0" w:evenHBand="0" w:firstRowFirstColumn="0" w:firstRowLastColumn="0" w:lastRowFirstColumn="0" w:lastRowLastColumn="0"/>
            </w:pPr>
            <w:r>
              <w:t>Youth-related indicator to be determined</w:t>
            </w:r>
          </w:p>
        </w:tc>
        <w:tc>
          <w:tcPr>
            <w:tcW w:w="1871" w:type="dxa"/>
          </w:tcPr>
          <w:p w14:paraId="696F0C99" w14:textId="1520E8CB" w:rsidR="00FC7043" w:rsidRDefault="00FC7043" w:rsidP="00B83E76">
            <w:pPr>
              <w:pStyle w:val="Tabletext"/>
              <w:cnfStyle w:val="000000000000" w:firstRow="0" w:lastRow="0" w:firstColumn="0" w:lastColumn="0" w:oddVBand="0" w:evenVBand="0" w:oddHBand="0" w:evenHBand="0" w:firstRowFirstColumn="0" w:firstRowLastColumn="0" w:lastRowFirstColumn="0" w:lastRowLastColumn="0"/>
            </w:pPr>
            <w:r>
              <w:t>MSD, Youth Health and Wellbeing Survey</w:t>
            </w:r>
          </w:p>
        </w:tc>
        <w:tc>
          <w:tcPr>
            <w:tcW w:w="1871" w:type="dxa"/>
          </w:tcPr>
          <w:p w14:paraId="64433EEB" w14:textId="2A8F7310" w:rsidR="00FC7043" w:rsidRPr="00DA7D37" w:rsidRDefault="00FC7043" w:rsidP="00B83E76">
            <w:pPr>
              <w:pStyle w:val="Tabletext"/>
              <w:cnfStyle w:val="000000000000" w:firstRow="0" w:lastRow="0" w:firstColumn="0" w:lastColumn="0" w:oddVBand="0" w:evenVBand="0" w:oddHBand="0" w:evenHBand="0" w:firstRowFirstColumn="0" w:firstRowLastColumn="0" w:lastRowFirstColumn="0" w:lastRowLastColumn="0"/>
              <w:rPr>
                <w:szCs w:val="20"/>
              </w:rPr>
            </w:pPr>
            <w:r>
              <w:rPr>
                <w:szCs w:val="20"/>
              </w:rPr>
              <w:t xml:space="preserve">Data available three-yearly and </w:t>
            </w:r>
            <w:r w:rsidRPr="00DA7D37">
              <w:rPr>
                <w:szCs w:val="20"/>
              </w:rPr>
              <w:t>comparable over time</w:t>
            </w:r>
            <w:r>
              <w:rPr>
                <w:szCs w:val="20"/>
              </w:rPr>
              <w:t xml:space="preserve"> </w:t>
            </w:r>
          </w:p>
        </w:tc>
        <w:tc>
          <w:tcPr>
            <w:tcW w:w="1871" w:type="dxa"/>
          </w:tcPr>
          <w:p w14:paraId="02D1A873" w14:textId="7D115651" w:rsidR="00FC7043" w:rsidRPr="00DA7D37" w:rsidRDefault="00FC7043" w:rsidP="00B83E7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Data available by ethnicity, sex, age group</w:t>
            </w:r>
          </w:p>
        </w:tc>
        <w:tc>
          <w:tcPr>
            <w:tcW w:w="1851" w:type="dxa"/>
            <w:vMerge/>
          </w:tcPr>
          <w:p w14:paraId="4037E68B" w14:textId="77777777" w:rsidR="00FC7043" w:rsidRDefault="00FC7043" w:rsidP="00B83E76">
            <w:pPr>
              <w:pStyle w:val="Tabletext"/>
              <w:cnfStyle w:val="000000000000" w:firstRow="0" w:lastRow="0" w:firstColumn="0" w:lastColumn="0" w:oddVBand="0" w:evenVBand="0" w:oddHBand="0" w:evenHBand="0" w:firstRowFirstColumn="0" w:firstRowLastColumn="0" w:lastRowFirstColumn="0" w:lastRowLastColumn="0"/>
            </w:pPr>
          </w:p>
        </w:tc>
      </w:tr>
      <w:tr w:rsidR="00FC7043" w:rsidRPr="00D07B0C" w14:paraId="50A6BC45" w14:textId="13DE21EC" w:rsidTr="009A2F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9" w:type="dxa"/>
            <w:vMerge w:val="restart"/>
            <w:noWrap/>
          </w:tcPr>
          <w:p w14:paraId="6B924A39" w14:textId="77777777" w:rsidR="00FC7043" w:rsidRPr="006D4BAA" w:rsidRDefault="00FC7043" w:rsidP="00B83E76">
            <w:pPr>
              <w:pStyle w:val="Tabletext"/>
            </w:pPr>
            <w:r w:rsidRPr="00E83842">
              <w:rPr>
                <w:b w:val="0"/>
                <w:bCs w:val="0"/>
              </w:rPr>
              <w:t>Anxiety</w:t>
            </w:r>
          </w:p>
        </w:tc>
        <w:tc>
          <w:tcPr>
            <w:tcW w:w="4706" w:type="dxa"/>
            <w:noWrap/>
          </w:tcPr>
          <w:p w14:paraId="66366AA9" w14:textId="77777777" w:rsidR="00FC7043" w:rsidRPr="00D07B0C" w:rsidRDefault="00FC7043" w:rsidP="00B83E76">
            <w:pPr>
              <w:pStyle w:val="Tabletext"/>
              <w:cnfStyle w:val="000000100000" w:firstRow="0" w:lastRow="0" w:firstColumn="0" w:lastColumn="0" w:oddVBand="0" w:evenVBand="0" w:oddHBand="1" w:evenHBand="0" w:firstRowFirstColumn="0" w:firstRowLastColumn="0" w:lastRowFirstColumn="0" w:lastRowLastColumn="0"/>
            </w:pPr>
            <w:r w:rsidRPr="00E83842">
              <w:t>Percentage of population aged 15+ who have experienced moderate or greater anxiety symptoms in the past 2 weeks</w:t>
            </w:r>
          </w:p>
        </w:tc>
        <w:tc>
          <w:tcPr>
            <w:tcW w:w="1871" w:type="dxa"/>
          </w:tcPr>
          <w:p w14:paraId="5D194173" w14:textId="53DA2E3B" w:rsidR="00FC7043" w:rsidRPr="00E83842" w:rsidRDefault="00FC7043" w:rsidP="00B83E76">
            <w:pPr>
              <w:pStyle w:val="Tabletext"/>
              <w:cnfStyle w:val="000000100000" w:firstRow="0" w:lastRow="0" w:firstColumn="0" w:lastColumn="0" w:oddVBand="0" w:evenVBand="0" w:oddHBand="1" w:evenHBand="0" w:firstRowFirstColumn="0" w:firstRowLastColumn="0" w:lastRowFirstColumn="0" w:lastRowLastColumn="0"/>
            </w:pPr>
            <w:r>
              <w:t>Ministry of Health, NZ Health Survey, MHPSA module</w:t>
            </w:r>
          </w:p>
        </w:tc>
        <w:tc>
          <w:tcPr>
            <w:tcW w:w="1871" w:type="dxa"/>
          </w:tcPr>
          <w:p w14:paraId="00926CD8" w14:textId="373C7DC1" w:rsidR="00FC7043" w:rsidRPr="00E83842" w:rsidRDefault="00FC7043" w:rsidP="00B83E76">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 xml:space="preserve">Data available </w:t>
            </w:r>
            <w:r>
              <w:rPr>
                <w:szCs w:val="20"/>
              </w:rPr>
              <w:t>irregularly,</w:t>
            </w:r>
            <w:r w:rsidRPr="00DA7D37">
              <w:rPr>
                <w:szCs w:val="20"/>
              </w:rPr>
              <w:t xml:space="preserve"> comparable over time</w:t>
            </w:r>
          </w:p>
        </w:tc>
        <w:tc>
          <w:tcPr>
            <w:tcW w:w="1871" w:type="dxa"/>
          </w:tcPr>
          <w:p w14:paraId="2AFB60CF" w14:textId="49FB9AEE" w:rsidR="00FC7043" w:rsidRPr="00E83842" w:rsidRDefault="00FC7043" w:rsidP="00B83E76">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Data available by ethnicity, sex, age group</w:t>
            </w:r>
          </w:p>
        </w:tc>
        <w:tc>
          <w:tcPr>
            <w:tcW w:w="1851" w:type="dxa"/>
            <w:vMerge w:val="restart"/>
          </w:tcPr>
          <w:p w14:paraId="4BC81A33" w14:textId="13E429F8" w:rsidR="00FC7043" w:rsidRPr="00E83842" w:rsidRDefault="00FC7043" w:rsidP="00B83E76">
            <w:pPr>
              <w:pStyle w:val="Tabletext"/>
              <w:cnfStyle w:val="000000100000" w:firstRow="0" w:lastRow="0" w:firstColumn="0" w:lastColumn="0" w:oddVBand="0" w:evenVBand="0" w:oddHBand="1" w:evenHBand="0" w:firstRowFirstColumn="0" w:firstRowLastColumn="0" w:lastRowFirstColumn="0" w:lastRowLastColumn="0"/>
            </w:pPr>
            <w:r>
              <w:t>Include</w:t>
            </w:r>
          </w:p>
        </w:tc>
      </w:tr>
      <w:tr w:rsidR="00FC7043" w:rsidRPr="00D07B0C" w14:paraId="18976354" w14:textId="77777777" w:rsidTr="009A2FBF">
        <w:trPr>
          <w:trHeight w:val="300"/>
        </w:trPr>
        <w:tc>
          <w:tcPr>
            <w:cnfStyle w:val="001000000000" w:firstRow="0" w:lastRow="0" w:firstColumn="1" w:lastColumn="0" w:oddVBand="0" w:evenVBand="0" w:oddHBand="0" w:evenHBand="0" w:firstRowFirstColumn="0" w:firstRowLastColumn="0" w:lastRowFirstColumn="0" w:lastRowLastColumn="0"/>
            <w:tcW w:w="2269" w:type="dxa"/>
            <w:vMerge/>
            <w:noWrap/>
          </w:tcPr>
          <w:p w14:paraId="237DB9C2" w14:textId="77777777" w:rsidR="00FC7043" w:rsidRPr="00E83842" w:rsidRDefault="00FC7043" w:rsidP="00B83E76">
            <w:pPr>
              <w:pStyle w:val="Tabletext"/>
            </w:pPr>
          </w:p>
        </w:tc>
        <w:tc>
          <w:tcPr>
            <w:tcW w:w="4706" w:type="dxa"/>
            <w:noWrap/>
          </w:tcPr>
          <w:p w14:paraId="294C1D0C" w14:textId="7679CEF6" w:rsidR="00FC7043" w:rsidRPr="00E83842" w:rsidRDefault="00FC7043" w:rsidP="00B83E76">
            <w:pPr>
              <w:pStyle w:val="Tabletext"/>
              <w:cnfStyle w:val="000000000000" w:firstRow="0" w:lastRow="0" w:firstColumn="0" w:lastColumn="0" w:oddVBand="0" w:evenVBand="0" w:oddHBand="0" w:evenHBand="0" w:firstRowFirstColumn="0" w:firstRowLastColumn="0" w:lastRowFirstColumn="0" w:lastRowLastColumn="0"/>
            </w:pPr>
            <w:r>
              <w:t>Youth-related indicator to be determined</w:t>
            </w:r>
          </w:p>
        </w:tc>
        <w:tc>
          <w:tcPr>
            <w:tcW w:w="1871" w:type="dxa"/>
          </w:tcPr>
          <w:p w14:paraId="68031978" w14:textId="3A05A3C3" w:rsidR="00FC7043" w:rsidRDefault="00FC7043" w:rsidP="00B83E76">
            <w:pPr>
              <w:pStyle w:val="Tabletext"/>
              <w:cnfStyle w:val="000000000000" w:firstRow="0" w:lastRow="0" w:firstColumn="0" w:lastColumn="0" w:oddVBand="0" w:evenVBand="0" w:oddHBand="0" w:evenHBand="0" w:firstRowFirstColumn="0" w:firstRowLastColumn="0" w:lastRowFirstColumn="0" w:lastRowLastColumn="0"/>
            </w:pPr>
            <w:r>
              <w:t>MSD, Youth Health and Wellbeing Survey</w:t>
            </w:r>
          </w:p>
        </w:tc>
        <w:tc>
          <w:tcPr>
            <w:tcW w:w="1871" w:type="dxa"/>
          </w:tcPr>
          <w:p w14:paraId="59F4EEB4" w14:textId="05683501" w:rsidR="00FC7043" w:rsidRPr="00DA7D37" w:rsidRDefault="00FC7043" w:rsidP="006B5ABA">
            <w:pPr>
              <w:pStyle w:val="Tabletext"/>
              <w:ind w:right="-314"/>
              <w:cnfStyle w:val="000000000000" w:firstRow="0" w:lastRow="0" w:firstColumn="0" w:lastColumn="0" w:oddVBand="0" w:evenVBand="0" w:oddHBand="0" w:evenHBand="0" w:firstRowFirstColumn="0" w:firstRowLastColumn="0" w:lastRowFirstColumn="0" w:lastRowLastColumn="0"/>
              <w:rPr>
                <w:szCs w:val="20"/>
              </w:rPr>
            </w:pPr>
            <w:r>
              <w:rPr>
                <w:szCs w:val="20"/>
              </w:rPr>
              <w:t xml:space="preserve">Data available three-yearly and </w:t>
            </w:r>
            <w:r w:rsidRPr="00DA7D37">
              <w:rPr>
                <w:szCs w:val="20"/>
              </w:rPr>
              <w:t>comparable over time</w:t>
            </w:r>
            <w:r>
              <w:rPr>
                <w:szCs w:val="20"/>
              </w:rPr>
              <w:t xml:space="preserve"> </w:t>
            </w:r>
          </w:p>
        </w:tc>
        <w:tc>
          <w:tcPr>
            <w:tcW w:w="1871" w:type="dxa"/>
          </w:tcPr>
          <w:p w14:paraId="24764EA0" w14:textId="1D2956EA" w:rsidR="00FC7043" w:rsidRPr="00DA7D37" w:rsidRDefault="00FC7043" w:rsidP="00B83E7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Data available by ethnicity, sex, age group</w:t>
            </w:r>
          </w:p>
        </w:tc>
        <w:tc>
          <w:tcPr>
            <w:tcW w:w="1851" w:type="dxa"/>
            <w:vMerge/>
          </w:tcPr>
          <w:p w14:paraId="69B324CB" w14:textId="77777777" w:rsidR="00FC7043" w:rsidRDefault="00FC7043" w:rsidP="00B83E76">
            <w:pPr>
              <w:pStyle w:val="Tabletext"/>
              <w:cnfStyle w:val="000000000000" w:firstRow="0" w:lastRow="0" w:firstColumn="0" w:lastColumn="0" w:oddVBand="0" w:evenVBand="0" w:oddHBand="0" w:evenHBand="0" w:firstRowFirstColumn="0" w:firstRowLastColumn="0" w:lastRowFirstColumn="0" w:lastRowLastColumn="0"/>
            </w:pPr>
          </w:p>
        </w:tc>
      </w:tr>
      <w:tr w:rsidR="00B83E76" w:rsidRPr="00D07B0C" w14:paraId="1EA80B0E" w14:textId="6A63D318" w:rsidTr="009A2F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9" w:type="dxa"/>
            <w:vMerge w:val="restart"/>
            <w:noWrap/>
            <w:hideMark/>
          </w:tcPr>
          <w:p w14:paraId="27918BF8" w14:textId="77777777" w:rsidR="00B83E76" w:rsidRPr="006D4BAA" w:rsidRDefault="00B83E76" w:rsidP="00B83E76">
            <w:pPr>
              <w:pStyle w:val="Tabletext"/>
              <w:rPr>
                <w:b w:val="0"/>
                <w:bCs w:val="0"/>
              </w:rPr>
            </w:pPr>
            <w:r w:rsidRPr="006D4BAA">
              <w:rPr>
                <w:b w:val="0"/>
                <w:bCs w:val="0"/>
              </w:rPr>
              <w:lastRenderedPageBreak/>
              <w:t xml:space="preserve">Substance use </w:t>
            </w:r>
          </w:p>
        </w:tc>
        <w:tc>
          <w:tcPr>
            <w:tcW w:w="4706" w:type="dxa"/>
            <w:noWrap/>
            <w:hideMark/>
          </w:tcPr>
          <w:p w14:paraId="15B367F6" w14:textId="2991A453" w:rsidR="00B83E76" w:rsidRPr="00D07B0C" w:rsidRDefault="00B83E76" w:rsidP="00B83E76">
            <w:pPr>
              <w:pStyle w:val="Tabletext"/>
              <w:cnfStyle w:val="000000100000" w:firstRow="0" w:lastRow="0" w:firstColumn="0" w:lastColumn="0" w:oddVBand="0" w:evenVBand="0" w:oddHBand="1" w:evenHBand="0" w:firstRowFirstColumn="0" w:firstRowLastColumn="0" w:lastRowFirstColumn="0" w:lastRowLastColumn="0"/>
            </w:pPr>
            <w:r w:rsidRPr="00D07B0C">
              <w:t>Percentage of population aged 15+ with a hazardous drinking (alcohol) pattern</w:t>
            </w:r>
          </w:p>
        </w:tc>
        <w:tc>
          <w:tcPr>
            <w:tcW w:w="1871" w:type="dxa"/>
          </w:tcPr>
          <w:p w14:paraId="0376120E" w14:textId="38B2EAD3" w:rsidR="00B83E76" w:rsidRPr="00D07B0C" w:rsidRDefault="00B83E76" w:rsidP="00B83E76">
            <w:pPr>
              <w:pStyle w:val="Tabletext"/>
              <w:cnfStyle w:val="000000100000" w:firstRow="0" w:lastRow="0" w:firstColumn="0" w:lastColumn="0" w:oddVBand="0" w:evenVBand="0" w:oddHBand="1" w:evenHBand="0" w:firstRowFirstColumn="0" w:firstRowLastColumn="0" w:lastRowFirstColumn="0" w:lastRowLastColumn="0"/>
            </w:pPr>
            <w:r>
              <w:t>Ministry of Health, NZ Health Survey</w:t>
            </w:r>
          </w:p>
        </w:tc>
        <w:tc>
          <w:tcPr>
            <w:tcW w:w="1871" w:type="dxa"/>
          </w:tcPr>
          <w:p w14:paraId="57EB014A" w14:textId="678362B2" w:rsidR="00B83E76" w:rsidRPr="00D07B0C" w:rsidRDefault="00B83E76" w:rsidP="00B83E76">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Data available annually and comparable over time</w:t>
            </w:r>
          </w:p>
        </w:tc>
        <w:tc>
          <w:tcPr>
            <w:tcW w:w="1871" w:type="dxa"/>
            <w:vMerge w:val="restart"/>
          </w:tcPr>
          <w:p w14:paraId="649C52E7" w14:textId="1B151917" w:rsidR="00B83E76" w:rsidRPr="00D07B0C" w:rsidRDefault="00B83E76" w:rsidP="00B83E76">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Data available by ethnicity, sex, age group</w:t>
            </w:r>
          </w:p>
        </w:tc>
        <w:tc>
          <w:tcPr>
            <w:tcW w:w="1851" w:type="dxa"/>
            <w:vMerge w:val="restart"/>
          </w:tcPr>
          <w:p w14:paraId="12A63DD3" w14:textId="2C410B05" w:rsidR="00B83E76" w:rsidRPr="00D07B0C" w:rsidRDefault="00B83E76" w:rsidP="00B83E76">
            <w:pPr>
              <w:pStyle w:val="Tabletext"/>
              <w:cnfStyle w:val="000000100000" w:firstRow="0" w:lastRow="0" w:firstColumn="0" w:lastColumn="0" w:oddVBand="0" w:evenVBand="0" w:oddHBand="1" w:evenHBand="0" w:firstRowFirstColumn="0" w:firstRowLastColumn="0" w:lastRowFirstColumn="0" w:lastRowLastColumn="0"/>
            </w:pPr>
            <w:r>
              <w:t>Include</w:t>
            </w:r>
          </w:p>
        </w:tc>
      </w:tr>
      <w:tr w:rsidR="00B83E76" w:rsidRPr="00D07B0C" w14:paraId="07010998" w14:textId="77777777" w:rsidTr="009A2FBF">
        <w:trPr>
          <w:trHeight w:val="300"/>
        </w:trPr>
        <w:tc>
          <w:tcPr>
            <w:cnfStyle w:val="001000000000" w:firstRow="0" w:lastRow="0" w:firstColumn="1" w:lastColumn="0" w:oddVBand="0" w:evenVBand="0" w:oddHBand="0" w:evenHBand="0" w:firstRowFirstColumn="0" w:firstRowLastColumn="0" w:lastRowFirstColumn="0" w:lastRowLastColumn="0"/>
            <w:tcW w:w="2269" w:type="dxa"/>
            <w:vMerge/>
            <w:noWrap/>
          </w:tcPr>
          <w:p w14:paraId="00017E3F" w14:textId="77777777" w:rsidR="00B83E76" w:rsidRPr="006D4BAA" w:rsidRDefault="00B83E76" w:rsidP="00B83E76">
            <w:pPr>
              <w:pStyle w:val="Tabletext"/>
            </w:pPr>
          </w:p>
        </w:tc>
        <w:tc>
          <w:tcPr>
            <w:tcW w:w="4706" w:type="dxa"/>
            <w:noWrap/>
          </w:tcPr>
          <w:p w14:paraId="5454D3F5" w14:textId="6A8C337E" w:rsidR="00B83E76" w:rsidRPr="00D07B0C" w:rsidRDefault="00B83E76" w:rsidP="00B83E76">
            <w:pPr>
              <w:pStyle w:val="Tabletext"/>
              <w:cnfStyle w:val="000000000000" w:firstRow="0" w:lastRow="0" w:firstColumn="0" w:lastColumn="0" w:oddVBand="0" w:evenVBand="0" w:oddHBand="0" w:evenHBand="0" w:firstRowFirstColumn="0" w:firstRowLastColumn="0" w:lastRowFirstColumn="0" w:lastRowLastColumn="0"/>
            </w:pPr>
            <w:r>
              <w:t>Youth-related indicator to be determined</w:t>
            </w:r>
          </w:p>
        </w:tc>
        <w:tc>
          <w:tcPr>
            <w:tcW w:w="1871" w:type="dxa"/>
          </w:tcPr>
          <w:p w14:paraId="55544A20" w14:textId="201D89C0" w:rsidR="00B83E76" w:rsidRDefault="00B83E76" w:rsidP="00B83E76">
            <w:pPr>
              <w:pStyle w:val="Tabletext"/>
              <w:cnfStyle w:val="000000000000" w:firstRow="0" w:lastRow="0" w:firstColumn="0" w:lastColumn="0" w:oddVBand="0" w:evenVBand="0" w:oddHBand="0" w:evenHBand="0" w:firstRowFirstColumn="0" w:firstRowLastColumn="0" w:lastRowFirstColumn="0" w:lastRowLastColumn="0"/>
            </w:pPr>
            <w:r>
              <w:t>MSD, Youth Health and Wellbeing Survey</w:t>
            </w:r>
          </w:p>
        </w:tc>
        <w:tc>
          <w:tcPr>
            <w:tcW w:w="1871" w:type="dxa"/>
          </w:tcPr>
          <w:p w14:paraId="1DAC9973" w14:textId="1F44F83C" w:rsidR="00B83E76" w:rsidRPr="00DA7D37" w:rsidRDefault="00B83E76" w:rsidP="00B83E76">
            <w:pPr>
              <w:pStyle w:val="Tabletext"/>
              <w:cnfStyle w:val="000000000000" w:firstRow="0" w:lastRow="0" w:firstColumn="0" w:lastColumn="0" w:oddVBand="0" w:evenVBand="0" w:oddHBand="0" w:evenHBand="0" w:firstRowFirstColumn="0" w:firstRowLastColumn="0" w:lastRowFirstColumn="0" w:lastRowLastColumn="0"/>
              <w:rPr>
                <w:szCs w:val="20"/>
              </w:rPr>
            </w:pPr>
            <w:r>
              <w:rPr>
                <w:szCs w:val="20"/>
              </w:rPr>
              <w:t xml:space="preserve">Data available three-yearly and </w:t>
            </w:r>
            <w:r w:rsidRPr="00DA7D37">
              <w:rPr>
                <w:szCs w:val="20"/>
              </w:rPr>
              <w:t>comparable over time</w:t>
            </w:r>
            <w:r>
              <w:rPr>
                <w:szCs w:val="20"/>
              </w:rPr>
              <w:t xml:space="preserve"> </w:t>
            </w:r>
          </w:p>
        </w:tc>
        <w:tc>
          <w:tcPr>
            <w:tcW w:w="1871" w:type="dxa"/>
            <w:vMerge/>
          </w:tcPr>
          <w:p w14:paraId="018792DE" w14:textId="77777777" w:rsidR="00B83E76" w:rsidRPr="00DA7D37" w:rsidRDefault="00B83E76" w:rsidP="00B83E76">
            <w:pPr>
              <w:pStyle w:val="Tabletext"/>
              <w:cnfStyle w:val="000000000000" w:firstRow="0" w:lastRow="0" w:firstColumn="0" w:lastColumn="0" w:oddVBand="0" w:evenVBand="0" w:oddHBand="0" w:evenHBand="0" w:firstRowFirstColumn="0" w:firstRowLastColumn="0" w:lastRowFirstColumn="0" w:lastRowLastColumn="0"/>
              <w:rPr>
                <w:szCs w:val="20"/>
              </w:rPr>
            </w:pPr>
          </w:p>
        </w:tc>
        <w:tc>
          <w:tcPr>
            <w:tcW w:w="1851" w:type="dxa"/>
            <w:vMerge/>
          </w:tcPr>
          <w:p w14:paraId="491A0A11" w14:textId="77777777" w:rsidR="00B83E76" w:rsidRDefault="00B83E76" w:rsidP="00B83E76">
            <w:pPr>
              <w:pStyle w:val="Tabletext"/>
              <w:cnfStyle w:val="000000000000" w:firstRow="0" w:lastRow="0" w:firstColumn="0" w:lastColumn="0" w:oddVBand="0" w:evenVBand="0" w:oddHBand="0" w:evenHBand="0" w:firstRowFirstColumn="0" w:firstRowLastColumn="0" w:lastRowFirstColumn="0" w:lastRowLastColumn="0"/>
            </w:pPr>
          </w:p>
        </w:tc>
      </w:tr>
      <w:tr w:rsidR="00B83E76" w:rsidRPr="00D07B0C" w14:paraId="7CC17FFA" w14:textId="78881587" w:rsidTr="009A2F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9" w:type="dxa"/>
            <w:vMerge/>
            <w:noWrap/>
            <w:hideMark/>
          </w:tcPr>
          <w:p w14:paraId="2FBCE4E4" w14:textId="77777777" w:rsidR="00B83E76" w:rsidRPr="006D4BAA" w:rsidRDefault="00B83E76" w:rsidP="00B83E76">
            <w:pPr>
              <w:pStyle w:val="Tabletext"/>
              <w:rPr>
                <w:b w:val="0"/>
                <w:bCs w:val="0"/>
              </w:rPr>
            </w:pPr>
          </w:p>
        </w:tc>
        <w:tc>
          <w:tcPr>
            <w:tcW w:w="4706" w:type="dxa"/>
            <w:noWrap/>
            <w:hideMark/>
          </w:tcPr>
          <w:p w14:paraId="7CA5B945" w14:textId="77777777" w:rsidR="00B83E76" w:rsidRPr="00D07B0C" w:rsidRDefault="00B83E76" w:rsidP="00B83E76">
            <w:pPr>
              <w:pStyle w:val="Tabletext"/>
              <w:cnfStyle w:val="000000100000" w:firstRow="0" w:lastRow="0" w:firstColumn="0" w:lastColumn="0" w:oddVBand="0" w:evenVBand="0" w:oddHBand="1" w:evenHBand="0" w:firstRowFirstColumn="0" w:firstRowLastColumn="0" w:lastRowFirstColumn="0" w:lastRowLastColumn="0"/>
            </w:pPr>
            <w:r w:rsidRPr="00D07B0C">
              <w:t>Percentage of population aged 15+ with moderate or high risk of problematic substance use</w:t>
            </w:r>
          </w:p>
        </w:tc>
        <w:tc>
          <w:tcPr>
            <w:tcW w:w="1871" w:type="dxa"/>
          </w:tcPr>
          <w:p w14:paraId="3E4B62C1" w14:textId="1BEFE063" w:rsidR="00B83E76" w:rsidRPr="00D07B0C" w:rsidRDefault="00B83E76" w:rsidP="00B83E76">
            <w:pPr>
              <w:pStyle w:val="Tabletext"/>
              <w:cnfStyle w:val="000000100000" w:firstRow="0" w:lastRow="0" w:firstColumn="0" w:lastColumn="0" w:oddVBand="0" w:evenVBand="0" w:oddHBand="1" w:evenHBand="0" w:firstRowFirstColumn="0" w:firstRowLastColumn="0" w:lastRowFirstColumn="0" w:lastRowLastColumn="0"/>
            </w:pPr>
            <w:r>
              <w:t>Ministry of Health, NZ Health Survey, MHPSA module</w:t>
            </w:r>
          </w:p>
        </w:tc>
        <w:tc>
          <w:tcPr>
            <w:tcW w:w="1871" w:type="dxa"/>
          </w:tcPr>
          <w:p w14:paraId="238CC841" w14:textId="5105CDE1" w:rsidR="00B83E76" w:rsidRPr="00D07B0C" w:rsidRDefault="00B83E76" w:rsidP="00B83E76">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 xml:space="preserve">Data available </w:t>
            </w:r>
            <w:r>
              <w:rPr>
                <w:szCs w:val="20"/>
              </w:rPr>
              <w:t>irregularly,</w:t>
            </w:r>
            <w:r w:rsidRPr="00DA7D37">
              <w:rPr>
                <w:szCs w:val="20"/>
              </w:rPr>
              <w:t xml:space="preserve"> comparable over time</w:t>
            </w:r>
          </w:p>
        </w:tc>
        <w:tc>
          <w:tcPr>
            <w:tcW w:w="1871" w:type="dxa"/>
            <w:vMerge w:val="restart"/>
          </w:tcPr>
          <w:p w14:paraId="589E5FD6" w14:textId="4942EBE8" w:rsidR="00B83E76" w:rsidRPr="00D07B0C" w:rsidRDefault="00B83E76" w:rsidP="00B83E76">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Data available by ethnicity, sex, age group</w:t>
            </w:r>
          </w:p>
        </w:tc>
        <w:tc>
          <w:tcPr>
            <w:tcW w:w="1851" w:type="dxa"/>
            <w:vMerge w:val="restart"/>
          </w:tcPr>
          <w:p w14:paraId="17AEE40A" w14:textId="515A6718" w:rsidR="00B83E76" w:rsidRPr="00D07B0C" w:rsidRDefault="00FC7043" w:rsidP="00B83E76">
            <w:pPr>
              <w:pStyle w:val="Tabletext"/>
              <w:cnfStyle w:val="000000100000" w:firstRow="0" w:lastRow="0" w:firstColumn="0" w:lastColumn="0" w:oddVBand="0" w:evenVBand="0" w:oddHBand="1" w:evenHBand="0" w:firstRowFirstColumn="0" w:firstRowLastColumn="0" w:lastRowFirstColumn="0" w:lastRowLastColumn="0"/>
            </w:pPr>
            <w:r>
              <w:t>I</w:t>
            </w:r>
            <w:r w:rsidR="00B83E76">
              <w:t>nclude</w:t>
            </w:r>
          </w:p>
        </w:tc>
      </w:tr>
      <w:tr w:rsidR="00B83E76" w:rsidRPr="00D07B0C" w14:paraId="734D0B07" w14:textId="77777777" w:rsidTr="009A2FBF">
        <w:trPr>
          <w:trHeight w:val="300"/>
        </w:trPr>
        <w:tc>
          <w:tcPr>
            <w:cnfStyle w:val="001000000000" w:firstRow="0" w:lastRow="0" w:firstColumn="1" w:lastColumn="0" w:oddVBand="0" w:evenVBand="0" w:oddHBand="0" w:evenHBand="0" w:firstRowFirstColumn="0" w:firstRowLastColumn="0" w:lastRowFirstColumn="0" w:lastRowLastColumn="0"/>
            <w:tcW w:w="2269" w:type="dxa"/>
            <w:vMerge/>
            <w:noWrap/>
          </w:tcPr>
          <w:p w14:paraId="753187B4" w14:textId="77777777" w:rsidR="00B83E76" w:rsidRPr="006D4BAA" w:rsidRDefault="00B83E76" w:rsidP="00B83E76">
            <w:pPr>
              <w:pStyle w:val="Tabletext"/>
              <w:rPr>
                <w:b w:val="0"/>
                <w:bCs w:val="0"/>
              </w:rPr>
            </w:pPr>
          </w:p>
        </w:tc>
        <w:tc>
          <w:tcPr>
            <w:tcW w:w="4706" w:type="dxa"/>
            <w:noWrap/>
          </w:tcPr>
          <w:p w14:paraId="082FEC9F" w14:textId="66C2DDAE" w:rsidR="00B83E76" w:rsidRPr="00D07B0C" w:rsidRDefault="00B83E76" w:rsidP="00B83E76">
            <w:pPr>
              <w:pStyle w:val="Tabletext"/>
              <w:cnfStyle w:val="000000000000" w:firstRow="0" w:lastRow="0" w:firstColumn="0" w:lastColumn="0" w:oddVBand="0" w:evenVBand="0" w:oddHBand="0" w:evenHBand="0" w:firstRowFirstColumn="0" w:firstRowLastColumn="0" w:lastRowFirstColumn="0" w:lastRowLastColumn="0"/>
            </w:pPr>
            <w:r>
              <w:t>Youth-related indicator to be determined</w:t>
            </w:r>
          </w:p>
        </w:tc>
        <w:tc>
          <w:tcPr>
            <w:tcW w:w="1871" w:type="dxa"/>
          </w:tcPr>
          <w:p w14:paraId="3195365A" w14:textId="5388067C" w:rsidR="00B83E76" w:rsidRDefault="00B83E76" w:rsidP="00B83E76">
            <w:pPr>
              <w:pStyle w:val="Tabletext"/>
              <w:cnfStyle w:val="000000000000" w:firstRow="0" w:lastRow="0" w:firstColumn="0" w:lastColumn="0" w:oddVBand="0" w:evenVBand="0" w:oddHBand="0" w:evenHBand="0" w:firstRowFirstColumn="0" w:firstRowLastColumn="0" w:lastRowFirstColumn="0" w:lastRowLastColumn="0"/>
            </w:pPr>
            <w:r>
              <w:t>MSD, Youth Health and Wellbeing Survey</w:t>
            </w:r>
          </w:p>
        </w:tc>
        <w:tc>
          <w:tcPr>
            <w:tcW w:w="1871" w:type="dxa"/>
          </w:tcPr>
          <w:p w14:paraId="4452E313" w14:textId="246DA98D" w:rsidR="00B83E76" w:rsidRPr="00DA7D37" w:rsidRDefault="00B83E76" w:rsidP="00B83E76">
            <w:pPr>
              <w:pStyle w:val="Tabletext"/>
              <w:cnfStyle w:val="000000000000" w:firstRow="0" w:lastRow="0" w:firstColumn="0" w:lastColumn="0" w:oddVBand="0" w:evenVBand="0" w:oddHBand="0" w:evenHBand="0" w:firstRowFirstColumn="0" w:firstRowLastColumn="0" w:lastRowFirstColumn="0" w:lastRowLastColumn="0"/>
              <w:rPr>
                <w:szCs w:val="20"/>
              </w:rPr>
            </w:pPr>
            <w:r>
              <w:rPr>
                <w:szCs w:val="20"/>
              </w:rPr>
              <w:t xml:space="preserve">Data available three-yearly and </w:t>
            </w:r>
            <w:r w:rsidRPr="00DA7D37">
              <w:rPr>
                <w:szCs w:val="20"/>
              </w:rPr>
              <w:t>comparable over time</w:t>
            </w:r>
            <w:r>
              <w:rPr>
                <w:szCs w:val="20"/>
              </w:rPr>
              <w:t xml:space="preserve"> </w:t>
            </w:r>
          </w:p>
        </w:tc>
        <w:tc>
          <w:tcPr>
            <w:tcW w:w="1871" w:type="dxa"/>
            <w:vMerge/>
          </w:tcPr>
          <w:p w14:paraId="3ADE3B93" w14:textId="77777777" w:rsidR="00B83E76" w:rsidRPr="00DA7D37" w:rsidRDefault="00B83E76" w:rsidP="00B83E76">
            <w:pPr>
              <w:pStyle w:val="Tabletext"/>
              <w:cnfStyle w:val="000000000000" w:firstRow="0" w:lastRow="0" w:firstColumn="0" w:lastColumn="0" w:oddVBand="0" w:evenVBand="0" w:oddHBand="0" w:evenHBand="0" w:firstRowFirstColumn="0" w:firstRowLastColumn="0" w:lastRowFirstColumn="0" w:lastRowLastColumn="0"/>
              <w:rPr>
                <w:szCs w:val="20"/>
              </w:rPr>
            </w:pPr>
          </w:p>
        </w:tc>
        <w:tc>
          <w:tcPr>
            <w:tcW w:w="1851" w:type="dxa"/>
            <w:vMerge/>
          </w:tcPr>
          <w:p w14:paraId="7AA050EA" w14:textId="77777777" w:rsidR="00B83E76" w:rsidRDefault="00B83E76" w:rsidP="00B83E76">
            <w:pPr>
              <w:pStyle w:val="Tabletext"/>
              <w:cnfStyle w:val="000000000000" w:firstRow="0" w:lastRow="0" w:firstColumn="0" w:lastColumn="0" w:oddVBand="0" w:evenVBand="0" w:oddHBand="0" w:evenHBand="0" w:firstRowFirstColumn="0" w:firstRowLastColumn="0" w:lastRowFirstColumn="0" w:lastRowLastColumn="0"/>
            </w:pPr>
          </w:p>
        </w:tc>
      </w:tr>
      <w:tr w:rsidR="00B83E76" w:rsidRPr="00D07B0C" w14:paraId="25CFC975" w14:textId="29DCBFD0" w:rsidTr="009A2F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26579A06" w14:textId="024D57DD" w:rsidR="00B83E76" w:rsidRPr="006D4BAA" w:rsidRDefault="00B83E76" w:rsidP="00B83E76">
            <w:pPr>
              <w:pStyle w:val="Tabletext"/>
              <w:rPr>
                <w:b w:val="0"/>
                <w:bCs w:val="0"/>
              </w:rPr>
            </w:pPr>
            <w:r>
              <w:rPr>
                <w:b w:val="0"/>
                <w:bCs w:val="0"/>
              </w:rPr>
              <w:t>G</w:t>
            </w:r>
            <w:r w:rsidRPr="006D4BAA">
              <w:rPr>
                <w:b w:val="0"/>
                <w:bCs w:val="0"/>
              </w:rPr>
              <w:t>ambling</w:t>
            </w:r>
          </w:p>
        </w:tc>
        <w:tc>
          <w:tcPr>
            <w:tcW w:w="4706" w:type="dxa"/>
            <w:noWrap/>
            <w:hideMark/>
          </w:tcPr>
          <w:p w14:paraId="09BCA9EE" w14:textId="77777777" w:rsidR="00B83E76" w:rsidRPr="00D07B0C" w:rsidRDefault="00B83E76" w:rsidP="00B83E76">
            <w:pPr>
              <w:pStyle w:val="Tabletext"/>
              <w:cnfStyle w:val="000000100000" w:firstRow="0" w:lastRow="0" w:firstColumn="0" w:lastColumn="0" w:oddVBand="0" w:evenVBand="0" w:oddHBand="1" w:evenHBand="0" w:firstRowFirstColumn="0" w:firstRowLastColumn="0" w:lastRowFirstColumn="0" w:lastRowLastColumn="0"/>
            </w:pPr>
            <w:r w:rsidRPr="00D07B0C">
              <w:t xml:space="preserve">Percentage of population aged 15+ who are moderate risk and problem gamblers </w:t>
            </w:r>
          </w:p>
        </w:tc>
        <w:tc>
          <w:tcPr>
            <w:tcW w:w="1871" w:type="dxa"/>
          </w:tcPr>
          <w:p w14:paraId="7D6C0225" w14:textId="2D488C15" w:rsidR="00B83E76" w:rsidRPr="00D07B0C" w:rsidRDefault="00B83E76" w:rsidP="00B83E76">
            <w:pPr>
              <w:pStyle w:val="Tabletext"/>
              <w:cnfStyle w:val="000000100000" w:firstRow="0" w:lastRow="0" w:firstColumn="0" w:lastColumn="0" w:oddVBand="0" w:evenVBand="0" w:oddHBand="1" w:evenHBand="0" w:firstRowFirstColumn="0" w:firstRowLastColumn="0" w:lastRowFirstColumn="0" w:lastRowLastColumn="0"/>
            </w:pPr>
            <w:r>
              <w:t>NZ National Gambling Survey – uncertain whether this will be fielded again</w:t>
            </w:r>
          </w:p>
        </w:tc>
        <w:tc>
          <w:tcPr>
            <w:tcW w:w="1871" w:type="dxa"/>
          </w:tcPr>
          <w:p w14:paraId="34005E6F" w14:textId="7A934CB7" w:rsidR="00B83E76" w:rsidRPr="00D07B0C" w:rsidRDefault="00B83E76" w:rsidP="00B83E76">
            <w:pPr>
              <w:pStyle w:val="Tabletext"/>
              <w:cnfStyle w:val="000000100000" w:firstRow="0" w:lastRow="0" w:firstColumn="0" w:lastColumn="0" w:oddVBand="0" w:evenVBand="0" w:oddHBand="1" w:evenHBand="0" w:firstRowFirstColumn="0" w:firstRowLastColumn="0" w:lastRowFirstColumn="0" w:lastRowLastColumn="0"/>
            </w:pPr>
            <w:r>
              <w:t>-</w:t>
            </w:r>
          </w:p>
        </w:tc>
        <w:tc>
          <w:tcPr>
            <w:tcW w:w="1871" w:type="dxa"/>
          </w:tcPr>
          <w:p w14:paraId="17E714A4" w14:textId="26E5ABC7" w:rsidR="00B83E76" w:rsidRPr="00D07B0C" w:rsidRDefault="00B83E76" w:rsidP="00B83E76">
            <w:pPr>
              <w:pStyle w:val="Tabletext"/>
              <w:cnfStyle w:val="000000100000" w:firstRow="0" w:lastRow="0" w:firstColumn="0" w:lastColumn="0" w:oddVBand="0" w:evenVBand="0" w:oddHBand="1" w:evenHBand="0" w:firstRowFirstColumn="0" w:firstRowLastColumn="0" w:lastRowFirstColumn="0" w:lastRowLastColumn="0"/>
            </w:pPr>
            <w:r>
              <w:t>-</w:t>
            </w:r>
          </w:p>
        </w:tc>
        <w:tc>
          <w:tcPr>
            <w:tcW w:w="1851" w:type="dxa"/>
          </w:tcPr>
          <w:p w14:paraId="14B745B6" w14:textId="5225F6BE" w:rsidR="00B83E76" w:rsidRPr="00D07B0C" w:rsidRDefault="00B83E76" w:rsidP="00B83E76">
            <w:pPr>
              <w:pStyle w:val="Tabletext"/>
              <w:cnfStyle w:val="000000100000" w:firstRow="0" w:lastRow="0" w:firstColumn="0" w:lastColumn="0" w:oddVBand="0" w:evenVBand="0" w:oddHBand="1" w:evenHBand="0" w:firstRowFirstColumn="0" w:firstRowLastColumn="0" w:lastRowFirstColumn="0" w:lastRowLastColumn="0"/>
            </w:pPr>
            <w:r>
              <w:t>Exclude</w:t>
            </w:r>
          </w:p>
        </w:tc>
      </w:tr>
      <w:tr w:rsidR="00B83E76" w:rsidRPr="00D07B0C" w14:paraId="45E3B033" w14:textId="7132AFBA" w:rsidTr="009A2FBF">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736CD4A8" w14:textId="394004DA" w:rsidR="00B83E76" w:rsidRPr="006D4BAA" w:rsidRDefault="00B83E76" w:rsidP="00B83E76">
            <w:pPr>
              <w:pStyle w:val="Tabletext"/>
              <w:rPr>
                <w:b w:val="0"/>
                <w:bCs w:val="0"/>
              </w:rPr>
            </w:pPr>
            <w:r w:rsidRPr="006D4BAA">
              <w:rPr>
                <w:b w:val="0"/>
                <w:bCs w:val="0"/>
              </w:rPr>
              <w:t>Child</w:t>
            </w:r>
            <w:r>
              <w:rPr>
                <w:b w:val="0"/>
                <w:bCs w:val="0"/>
              </w:rPr>
              <w:t>hood</w:t>
            </w:r>
            <w:r w:rsidRPr="006D4BAA">
              <w:rPr>
                <w:b w:val="0"/>
                <w:bCs w:val="0"/>
              </w:rPr>
              <w:t xml:space="preserve"> in </w:t>
            </w:r>
            <w:r>
              <w:rPr>
                <w:b w:val="0"/>
                <w:bCs w:val="0"/>
              </w:rPr>
              <w:t xml:space="preserve">state </w:t>
            </w:r>
            <w:r w:rsidRPr="006D4BAA">
              <w:rPr>
                <w:b w:val="0"/>
                <w:bCs w:val="0"/>
              </w:rPr>
              <w:t xml:space="preserve">care </w:t>
            </w:r>
          </w:p>
        </w:tc>
        <w:tc>
          <w:tcPr>
            <w:tcW w:w="4706" w:type="dxa"/>
            <w:noWrap/>
            <w:hideMark/>
          </w:tcPr>
          <w:p w14:paraId="312725D8" w14:textId="463EBAD7" w:rsidR="00B83E76" w:rsidRPr="00D07B0C" w:rsidRDefault="00B83E76" w:rsidP="00B83E76">
            <w:pPr>
              <w:pStyle w:val="Tabletext"/>
              <w:cnfStyle w:val="000000000000" w:firstRow="0" w:lastRow="0" w:firstColumn="0" w:lastColumn="0" w:oddVBand="0" w:evenVBand="0" w:oddHBand="0" w:evenHBand="0" w:firstRowFirstColumn="0" w:firstRowLastColumn="0" w:lastRowFirstColumn="0" w:lastRowLastColumn="0"/>
            </w:pPr>
            <w:r>
              <w:t xml:space="preserve">Age standardised </w:t>
            </w:r>
            <w:r w:rsidRPr="004C303C">
              <w:t xml:space="preserve">rate of entries to care per </w:t>
            </w:r>
            <w:r>
              <w:t>1,000</w:t>
            </w:r>
            <w:r w:rsidRPr="004C303C">
              <w:t xml:space="preserve"> population </w:t>
            </w:r>
            <w:r>
              <w:t>(0-17 years)</w:t>
            </w:r>
          </w:p>
        </w:tc>
        <w:tc>
          <w:tcPr>
            <w:tcW w:w="1871" w:type="dxa"/>
          </w:tcPr>
          <w:p w14:paraId="5A075DEB" w14:textId="02E2F8CD" w:rsidR="00B83E76" w:rsidRDefault="00B83E76" w:rsidP="00B83E76">
            <w:pPr>
              <w:pStyle w:val="Tabletext"/>
              <w:cnfStyle w:val="000000000000" w:firstRow="0" w:lastRow="0" w:firstColumn="0" w:lastColumn="0" w:oddVBand="0" w:evenVBand="0" w:oddHBand="0" w:evenHBand="0" w:firstRowFirstColumn="0" w:firstRowLastColumn="0" w:lastRowFirstColumn="0" w:lastRowLastColumn="0"/>
            </w:pPr>
            <w:r>
              <w:t>Oranga Tamariki</w:t>
            </w:r>
          </w:p>
        </w:tc>
        <w:tc>
          <w:tcPr>
            <w:tcW w:w="1871" w:type="dxa"/>
          </w:tcPr>
          <w:p w14:paraId="471A8A9F" w14:textId="37A8CE49" w:rsidR="00B83E76" w:rsidRDefault="00B83E76" w:rsidP="00B83E76">
            <w:pPr>
              <w:pStyle w:val="Tabletext"/>
              <w:cnfStyle w:val="000000000000" w:firstRow="0" w:lastRow="0" w:firstColumn="0" w:lastColumn="0" w:oddVBand="0" w:evenVBand="0" w:oddHBand="0" w:evenHBand="0" w:firstRowFirstColumn="0" w:firstRowLastColumn="0" w:lastRowFirstColumn="0" w:lastRowLastColumn="0"/>
            </w:pPr>
            <w:r w:rsidRPr="00DA7D37">
              <w:rPr>
                <w:szCs w:val="20"/>
              </w:rPr>
              <w:t>Data available annually and comparable over time</w:t>
            </w:r>
          </w:p>
        </w:tc>
        <w:tc>
          <w:tcPr>
            <w:tcW w:w="1871" w:type="dxa"/>
          </w:tcPr>
          <w:p w14:paraId="5FDD9C7A" w14:textId="61FE8FB9" w:rsidR="00B83E76" w:rsidRDefault="00B83E76" w:rsidP="00B83E76">
            <w:pPr>
              <w:pStyle w:val="Tabletext"/>
              <w:cnfStyle w:val="000000000000" w:firstRow="0" w:lastRow="0" w:firstColumn="0" w:lastColumn="0" w:oddVBand="0" w:evenVBand="0" w:oddHBand="0" w:evenHBand="0" w:firstRowFirstColumn="0" w:firstRowLastColumn="0" w:lastRowFirstColumn="0" w:lastRowLastColumn="0"/>
            </w:pPr>
            <w:r w:rsidRPr="00DA7D37">
              <w:rPr>
                <w:szCs w:val="20"/>
              </w:rPr>
              <w:t>Data available by ethnicity, sex, age group</w:t>
            </w:r>
          </w:p>
        </w:tc>
        <w:tc>
          <w:tcPr>
            <w:tcW w:w="1851" w:type="dxa"/>
          </w:tcPr>
          <w:p w14:paraId="408C7805" w14:textId="112FF25B" w:rsidR="00B83E76" w:rsidRDefault="00B83E76" w:rsidP="00B83E76">
            <w:pPr>
              <w:pStyle w:val="Tabletext"/>
              <w:cnfStyle w:val="000000000000" w:firstRow="0" w:lastRow="0" w:firstColumn="0" w:lastColumn="0" w:oddVBand="0" w:evenVBand="0" w:oddHBand="0" w:evenHBand="0" w:firstRowFirstColumn="0" w:firstRowLastColumn="0" w:lastRowFirstColumn="0" w:lastRowLastColumn="0"/>
            </w:pPr>
            <w:r>
              <w:t>Include</w:t>
            </w:r>
          </w:p>
        </w:tc>
      </w:tr>
      <w:tr w:rsidR="00B83E76" w:rsidRPr="00D07B0C" w14:paraId="68E7C29B" w14:textId="08EC818E" w:rsidTr="009A2F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7F6F14CB" w14:textId="18E17778" w:rsidR="00B83E76" w:rsidRPr="006D4BAA" w:rsidRDefault="00B83E76" w:rsidP="00B83E76">
            <w:pPr>
              <w:pStyle w:val="Tabletext"/>
            </w:pPr>
            <w:r>
              <w:rPr>
                <w:b w:val="0"/>
                <w:bCs w:val="0"/>
              </w:rPr>
              <w:t>Childhood physical abuse</w:t>
            </w:r>
            <w:r w:rsidRPr="00192AA7">
              <w:rPr>
                <w:b w:val="0"/>
                <w:bCs w:val="0"/>
              </w:rPr>
              <w:t xml:space="preserve"> </w:t>
            </w:r>
          </w:p>
        </w:tc>
        <w:tc>
          <w:tcPr>
            <w:tcW w:w="4706" w:type="dxa"/>
            <w:noWrap/>
          </w:tcPr>
          <w:p w14:paraId="637DB724" w14:textId="325BD9BB" w:rsidR="00B83E76" w:rsidRPr="00D07B0C" w:rsidRDefault="00B83E76" w:rsidP="00B83E76">
            <w:pPr>
              <w:pStyle w:val="Tabletext"/>
              <w:cnfStyle w:val="000000100000" w:firstRow="0" w:lastRow="0" w:firstColumn="0" w:lastColumn="0" w:oddVBand="0" w:evenVBand="0" w:oddHBand="1" w:evenHBand="0" w:firstRowFirstColumn="0" w:firstRowLastColumn="0" w:lastRowFirstColumn="0" w:lastRowLastColumn="0"/>
            </w:pPr>
            <w:r w:rsidRPr="005B5E85">
              <w:t xml:space="preserve">Percentage of </w:t>
            </w:r>
            <w:r>
              <w:t xml:space="preserve">young people (13–19-year-olds) </w:t>
            </w:r>
            <w:r w:rsidRPr="005B5E85">
              <w:t>who report experiencing physical abuse before age 15</w:t>
            </w:r>
          </w:p>
        </w:tc>
        <w:tc>
          <w:tcPr>
            <w:tcW w:w="1871" w:type="dxa"/>
          </w:tcPr>
          <w:p w14:paraId="5BBB407F" w14:textId="459C8CE0" w:rsidR="00B83E76" w:rsidRPr="00D07B0C" w:rsidRDefault="00B83E76" w:rsidP="00B83E76">
            <w:pPr>
              <w:pStyle w:val="Tabletext"/>
              <w:cnfStyle w:val="000000100000" w:firstRow="0" w:lastRow="0" w:firstColumn="0" w:lastColumn="0" w:oddVBand="0" w:evenVBand="0" w:oddHBand="1" w:evenHBand="0" w:firstRowFirstColumn="0" w:firstRowLastColumn="0" w:lastRowFirstColumn="0" w:lastRowLastColumn="0"/>
            </w:pPr>
            <w:r>
              <w:t>MSD, Youth Health and Wellbeing Survey</w:t>
            </w:r>
          </w:p>
        </w:tc>
        <w:tc>
          <w:tcPr>
            <w:tcW w:w="1871" w:type="dxa"/>
          </w:tcPr>
          <w:p w14:paraId="57FD8976" w14:textId="15D22601" w:rsidR="00B83E76" w:rsidRPr="00D07B0C" w:rsidRDefault="00B83E76" w:rsidP="00B83E76">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 xml:space="preserve">Data available </w:t>
            </w:r>
            <w:r>
              <w:rPr>
                <w:szCs w:val="20"/>
              </w:rPr>
              <w:t>three-yearly</w:t>
            </w:r>
            <w:r w:rsidRPr="00DA7D37">
              <w:rPr>
                <w:szCs w:val="20"/>
              </w:rPr>
              <w:t xml:space="preserve"> and comparable over time</w:t>
            </w:r>
          </w:p>
        </w:tc>
        <w:tc>
          <w:tcPr>
            <w:tcW w:w="1871" w:type="dxa"/>
          </w:tcPr>
          <w:p w14:paraId="3E5A1AA4" w14:textId="00407FE0" w:rsidR="00B83E76" w:rsidRPr="00D07B0C" w:rsidRDefault="00B83E76" w:rsidP="00B83E76">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Data available by ethnicity, sex, age</w:t>
            </w:r>
            <w:r>
              <w:rPr>
                <w:szCs w:val="20"/>
              </w:rPr>
              <w:t xml:space="preserve"> group</w:t>
            </w:r>
            <w:r w:rsidRPr="00DA7D37">
              <w:rPr>
                <w:szCs w:val="20"/>
              </w:rPr>
              <w:t xml:space="preserve"> </w:t>
            </w:r>
          </w:p>
        </w:tc>
        <w:tc>
          <w:tcPr>
            <w:tcW w:w="1851" w:type="dxa"/>
          </w:tcPr>
          <w:p w14:paraId="7432E060" w14:textId="0C8D287E" w:rsidR="00B83E76" w:rsidRPr="00D07B0C" w:rsidRDefault="00B83E76" w:rsidP="00B83E76">
            <w:pPr>
              <w:pStyle w:val="Tabletext"/>
              <w:cnfStyle w:val="000000100000" w:firstRow="0" w:lastRow="0" w:firstColumn="0" w:lastColumn="0" w:oddVBand="0" w:evenVBand="0" w:oddHBand="1" w:evenHBand="0" w:firstRowFirstColumn="0" w:firstRowLastColumn="0" w:lastRowFirstColumn="0" w:lastRowLastColumn="0"/>
            </w:pPr>
            <w:r>
              <w:t>Include</w:t>
            </w:r>
          </w:p>
        </w:tc>
      </w:tr>
      <w:tr w:rsidR="00B83E76" w:rsidRPr="00D07B0C" w14:paraId="23D3E2C0" w14:textId="17419A4B" w:rsidTr="009A2FBF">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153F2871" w14:textId="380985DA" w:rsidR="00B83E76" w:rsidRPr="00192AA7" w:rsidRDefault="00B83E76" w:rsidP="00B83E76">
            <w:pPr>
              <w:pStyle w:val="Tabletext"/>
            </w:pPr>
            <w:r>
              <w:rPr>
                <w:b w:val="0"/>
                <w:bCs w:val="0"/>
              </w:rPr>
              <w:t xml:space="preserve">Childhood </w:t>
            </w:r>
            <w:r w:rsidRPr="00192AA7">
              <w:rPr>
                <w:b w:val="0"/>
                <w:bCs w:val="0"/>
              </w:rPr>
              <w:t>sexual abuse</w:t>
            </w:r>
          </w:p>
        </w:tc>
        <w:tc>
          <w:tcPr>
            <w:tcW w:w="4706" w:type="dxa"/>
            <w:noWrap/>
          </w:tcPr>
          <w:p w14:paraId="32FF377E" w14:textId="6034F6A1" w:rsidR="00B83E76" w:rsidRDefault="00B83E76" w:rsidP="00B83E76">
            <w:pPr>
              <w:pStyle w:val="Tabletext"/>
              <w:cnfStyle w:val="000000000000" w:firstRow="0" w:lastRow="0" w:firstColumn="0" w:lastColumn="0" w:oddVBand="0" w:evenVBand="0" w:oddHBand="0" w:evenHBand="0" w:firstRowFirstColumn="0" w:firstRowLastColumn="0" w:lastRowFirstColumn="0" w:lastRowLastColumn="0"/>
            </w:pPr>
            <w:r w:rsidRPr="005B5E85">
              <w:t xml:space="preserve">Percentage of </w:t>
            </w:r>
            <w:r>
              <w:t xml:space="preserve">young people (13–19-year-olds) </w:t>
            </w:r>
            <w:r w:rsidRPr="005B5E85">
              <w:t>who report experiencing sexual abuse before age 15</w:t>
            </w:r>
          </w:p>
        </w:tc>
        <w:tc>
          <w:tcPr>
            <w:tcW w:w="1871" w:type="dxa"/>
          </w:tcPr>
          <w:p w14:paraId="04009858" w14:textId="141F76C7" w:rsidR="00B83E76" w:rsidRPr="00D07B0C" w:rsidRDefault="00B83E76" w:rsidP="00B83E76">
            <w:pPr>
              <w:pStyle w:val="Tabletext"/>
              <w:cnfStyle w:val="000000000000" w:firstRow="0" w:lastRow="0" w:firstColumn="0" w:lastColumn="0" w:oddVBand="0" w:evenVBand="0" w:oddHBand="0" w:evenHBand="0" w:firstRowFirstColumn="0" w:firstRowLastColumn="0" w:lastRowFirstColumn="0" w:lastRowLastColumn="0"/>
            </w:pPr>
            <w:r>
              <w:t>MSD, Youth Health and Wellbeing Survey</w:t>
            </w:r>
          </w:p>
        </w:tc>
        <w:tc>
          <w:tcPr>
            <w:tcW w:w="1871" w:type="dxa"/>
          </w:tcPr>
          <w:p w14:paraId="25E12AF5" w14:textId="3935C212" w:rsidR="00B83E76" w:rsidRPr="00D07B0C" w:rsidRDefault="00B83E76" w:rsidP="00B83E76">
            <w:pPr>
              <w:pStyle w:val="Tabletext"/>
              <w:cnfStyle w:val="000000000000" w:firstRow="0" w:lastRow="0" w:firstColumn="0" w:lastColumn="0" w:oddVBand="0" w:evenVBand="0" w:oddHBand="0" w:evenHBand="0" w:firstRowFirstColumn="0" w:firstRowLastColumn="0" w:lastRowFirstColumn="0" w:lastRowLastColumn="0"/>
            </w:pPr>
            <w:r w:rsidRPr="00DA7D37">
              <w:rPr>
                <w:szCs w:val="20"/>
              </w:rPr>
              <w:t xml:space="preserve">Data available </w:t>
            </w:r>
            <w:r>
              <w:rPr>
                <w:szCs w:val="20"/>
              </w:rPr>
              <w:t>three-yearly</w:t>
            </w:r>
            <w:r w:rsidRPr="00DA7D37">
              <w:rPr>
                <w:szCs w:val="20"/>
              </w:rPr>
              <w:t xml:space="preserve"> and comparable over time</w:t>
            </w:r>
          </w:p>
        </w:tc>
        <w:tc>
          <w:tcPr>
            <w:tcW w:w="1871" w:type="dxa"/>
          </w:tcPr>
          <w:p w14:paraId="4A39BB51" w14:textId="57468722" w:rsidR="00B83E76" w:rsidRPr="00D07B0C" w:rsidRDefault="00B83E76" w:rsidP="00B83E76">
            <w:pPr>
              <w:pStyle w:val="Tabletext"/>
              <w:cnfStyle w:val="000000000000" w:firstRow="0" w:lastRow="0" w:firstColumn="0" w:lastColumn="0" w:oddVBand="0" w:evenVBand="0" w:oddHBand="0" w:evenHBand="0" w:firstRowFirstColumn="0" w:firstRowLastColumn="0" w:lastRowFirstColumn="0" w:lastRowLastColumn="0"/>
            </w:pPr>
            <w:r w:rsidRPr="00DA7D37">
              <w:rPr>
                <w:szCs w:val="20"/>
              </w:rPr>
              <w:t>Data available by ethnicity, sex, age</w:t>
            </w:r>
            <w:r>
              <w:rPr>
                <w:szCs w:val="20"/>
              </w:rPr>
              <w:t xml:space="preserve"> group</w:t>
            </w:r>
            <w:r w:rsidRPr="00DA7D37">
              <w:rPr>
                <w:szCs w:val="20"/>
              </w:rPr>
              <w:t xml:space="preserve"> </w:t>
            </w:r>
          </w:p>
        </w:tc>
        <w:tc>
          <w:tcPr>
            <w:tcW w:w="1851" w:type="dxa"/>
          </w:tcPr>
          <w:p w14:paraId="4AC8EF9C" w14:textId="4E1B5BC8" w:rsidR="00B83E76" w:rsidRPr="00D07B0C" w:rsidRDefault="00B83E76" w:rsidP="00B83E76">
            <w:pPr>
              <w:pStyle w:val="Tabletext"/>
              <w:cnfStyle w:val="000000000000" w:firstRow="0" w:lastRow="0" w:firstColumn="0" w:lastColumn="0" w:oddVBand="0" w:evenVBand="0" w:oddHBand="0" w:evenHBand="0" w:firstRowFirstColumn="0" w:firstRowLastColumn="0" w:lastRowFirstColumn="0" w:lastRowLastColumn="0"/>
            </w:pPr>
            <w:r>
              <w:t>Include</w:t>
            </w:r>
          </w:p>
        </w:tc>
      </w:tr>
      <w:tr w:rsidR="008D134A" w:rsidRPr="00D07B0C" w14:paraId="763DADE2" w14:textId="7EFB1416" w:rsidTr="009A2F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3B850745" w14:textId="1A331675" w:rsidR="008D134A" w:rsidRPr="00DF3323" w:rsidRDefault="008D134A" w:rsidP="008D134A">
            <w:pPr>
              <w:pStyle w:val="Tabletext"/>
              <w:rPr>
                <w:b w:val="0"/>
                <w:bCs w:val="0"/>
              </w:rPr>
            </w:pPr>
            <w:r w:rsidRPr="00DF3323">
              <w:rPr>
                <w:b w:val="0"/>
                <w:bCs w:val="0"/>
              </w:rPr>
              <w:lastRenderedPageBreak/>
              <w:t>Intimate partner violence</w:t>
            </w:r>
          </w:p>
        </w:tc>
        <w:tc>
          <w:tcPr>
            <w:tcW w:w="4706" w:type="dxa"/>
            <w:noWrap/>
          </w:tcPr>
          <w:p w14:paraId="7974C1BF" w14:textId="565E7DB9" w:rsidR="008D134A" w:rsidRDefault="008D134A" w:rsidP="008D134A">
            <w:pPr>
              <w:pStyle w:val="Tabletext"/>
              <w:cnfStyle w:val="000000100000" w:firstRow="0" w:lastRow="0" w:firstColumn="0" w:lastColumn="0" w:oddVBand="0" w:evenVBand="0" w:oddHBand="1" w:evenHBand="0" w:firstRowFirstColumn="0" w:firstRowLastColumn="0" w:lastRowFirstColumn="0" w:lastRowLastColumn="0"/>
            </w:pPr>
            <w:r w:rsidRPr="005B5E85">
              <w:t>Percentage of adults (population aged 15+) who report experiencing physical assault by an intimate partner in the past 12 months</w:t>
            </w:r>
          </w:p>
        </w:tc>
        <w:tc>
          <w:tcPr>
            <w:tcW w:w="1871" w:type="dxa"/>
          </w:tcPr>
          <w:p w14:paraId="0F39BADE" w14:textId="53168B63" w:rsidR="008D134A" w:rsidRPr="00D07B0C" w:rsidRDefault="008D134A" w:rsidP="008D134A">
            <w:pPr>
              <w:pStyle w:val="Tabletext"/>
              <w:cnfStyle w:val="000000100000" w:firstRow="0" w:lastRow="0" w:firstColumn="0" w:lastColumn="0" w:oddVBand="0" w:evenVBand="0" w:oddHBand="1" w:evenHBand="0" w:firstRowFirstColumn="0" w:firstRowLastColumn="0" w:lastRowFirstColumn="0" w:lastRowLastColumn="0"/>
            </w:pPr>
            <w:r>
              <w:t>NZ Crime and Victims Survey</w:t>
            </w:r>
          </w:p>
        </w:tc>
        <w:tc>
          <w:tcPr>
            <w:tcW w:w="1871" w:type="dxa"/>
          </w:tcPr>
          <w:p w14:paraId="34C2A181" w14:textId="3323240B" w:rsidR="008D134A" w:rsidRPr="00D07B0C" w:rsidRDefault="008D134A" w:rsidP="008D134A">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Data available annually and comparable over time</w:t>
            </w:r>
          </w:p>
        </w:tc>
        <w:tc>
          <w:tcPr>
            <w:tcW w:w="1871" w:type="dxa"/>
          </w:tcPr>
          <w:p w14:paraId="29BA96F3" w14:textId="662A78B6" w:rsidR="008D134A" w:rsidRPr="00D07B0C" w:rsidRDefault="008D134A" w:rsidP="008D134A">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Data available by ethnicity, sex, age group</w:t>
            </w:r>
          </w:p>
        </w:tc>
        <w:tc>
          <w:tcPr>
            <w:tcW w:w="1851" w:type="dxa"/>
          </w:tcPr>
          <w:p w14:paraId="013E8A34" w14:textId="2F71D886" w:rsidR="008D134A" w:rsidRPr="00D07B0C" w:rsidRDefault="008D134A" w:rsidP="008D134A">
            <w:pPr>
              <w:pStyle w:val="Tabletext"/>
              <w:cnfStyle w:val="000000100000" w:firstRow="0" w:lastRow="0" w:firstColumn="0" w:lastColumn="0" w:oddVBand="0" w:evenVBand="0" w:oddHBand="1" w:evenHBand="0" w:firstRowFirstColumn="0" w:firstRowLastColumn="0" w:lastRowFirstColumn="0" w:lastRowLastColumn="0"/>
            </w:pPr>
            <w:r>
              <w:t>Include</w:t>
            </w:r>
          </w:p>
        </w:tc>
      </w:tr>
      <w:tr w:rsidR="00ED4CB2" w:rsidRPr="00D07B0C" w14:paraId="2FAFA7BA" w14:textId="77777777" w:rsidTr="009A2FBF">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73B4F00D" w14:textId="6A2B871D" w:rsidR="00ED4CB2" w:rsidRPr="00DF3323" w:rsidRDefault="00ED4CB2" w:rsidP="008D134A">
            <w:pPr>
              <w:pStyle w:val="Tabletext"/>
            </w:pPr>
            <w:r w:rsidRPr="006D4BAA">
              <w:rPr>
                <w:b w:val="0"/>
                <w:bCs w:val="0"/>
              </w:rPr>
              <w:t>Suicid</w:t>
            </w:r>
            <w:r>
              <w:rPr>
                <w:b w:val="0"/>
                <w:bCs w:val="0"/>
              </w:rPr>
              <w:t>e attempt</w:t>
            </w:r>
            <w:r>
              <w:t>s</w:t>
            </w:r>
          </w:p>
        </w:tc>
        <w:tc>
          <w:tcPr>
            <w:tcW w:w="4706" w:type="dxa"/>
            <w:noWrap/>
          </w:tcPr>
          <w:p w14:paraId="7F6A064C" w14:textId="36B31DD2" w:rsidR="00ED4CB2" w:rsidRPr="005B5E85" w:rsidRDefault="00ED4CB2" w:rsidP="008D134A">
            <w:pPr>
              <w:pStyle w:val="Tabletext"/>
              <w:cnfStyle w:val="000000000000" w:firstRow="0" w:lastRow="0" w:firstColumn="0" w:lastColumn="0" w:oddVBand="0" w:evenVBand="0" w:oddHBand="0" w:evenHBand="0" w:firstRowFirstColumn="0" w:firstRowLastColumn="0" w:lastRowFirstColumn="0" w:lastRowLastColumn="0"/>
            </w:pPr>
            <w:r w:rsidRPr="00D07B0C">
              <w:t xml:space="preserve">Percentage of </w:t>
            </w:r>
            <w:r>
              <w:rPr>
                <w:szCs w:val="20"/>
              </w:rPr>
              <w:t xml:space="preserve">people </w:t>
            </w:r>
            <w:r>
              <w:t>w</w:t>
            </w:r>
            <w:r w:rsidRPr="00D07B0C">
              <w:t>ho attempted suicide in the past year/and ever</w:t>
            </w:r>
          </w:p>
        </w:tc>
        <w:tc>
          <w:tcPr>
            <w:tcW w:w="1871" w:type="dxa"/>
          </w:tcPr>
          <w:p w14:paraId="2180A140" w14:textId="3D874787" w:rsidR="00ED4CB2" w:rsidRDefault="00ED4CB2" w:rsidP="008D134A">
            <w:pPr>
              <w:pStyle w:val="Tabletext"/>
              <w:cnfStyle w:val="000000000000" w:firstRow="0" w:lastRow="0" w:firstColumn="0" w:lastColumn="0" w:oddVBand="0" w:evenVBand="0" w:oddHBand="0" w:evenHBand="0" w:firstRowFirstColumn="0" w:firstRowLastColumn="0" w:lastRowFirstColumn="0" w:lastRowLastColumn="0"/>
            </w:pPr>
            <w:r>
              <w:t>Available for young people through MSD’s Youth Health and Wellbeing Survey</w:t>
            </w:r>
          </w:p>
        </w:tc>
        <w:tc>
          <w:tcPr>
            <w:tcW w:w="1871" w:type="dxa"/>
          </w:tcPr>
          <w:p w14:paraId="5EB6CFAB" w14:textId="0BA35C59" w:rsidR="00ED4CB2" w:rsidRPr="00DA7D37" w:rsidRDefault="00ED4CB2" w:rsidP="008D134A">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 xml:space="preserve">Data available </w:t>
            </w:r>
            <w:r>
              <w:rPr>
                <w:szCs w:val="20"/>
              </w:rPr>
              <w:t>three-yearly</w:t>
            </w:r>
            <w:r w:rsidRPr="00DA7D37">
              <w:rPr>
                <w:szCs w:val="20"/>
              </w:rPr>
              <w:t xml:space="preserve"> and comparable over time</w:t>
            </w:r>
          </w:p>
        </w:tc>
        <w:tc>
          <w:tcPr>
            <w:tcW w:w="1871" w:type="dxa"/>
          </w:tcPr>
          <w:p w14:paraId="2649AE89" w14:textId="436B517F" w:rsidR="00ED4CB2" w:rsidRPr="00DA7D37" w:rsidRDefault="00ED4CB2" w:rsidP="008D134A">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Data available by ethnicity, sex, age</w:t>
            </w:r>
            <w:r>
              <w:rPr>
                <w:szCs w:val="20"/>
              </w:rPr>
              <w:t xml:space="preserve"> group</w:t>
            </w:r>
          </w:p>
        </w:tc>
        <w:tc>
          <w:tcPr>
            <w:tcW w:w="1851" w:type="dxa"/>
          </w:tcPr>
          <w:p w14:paraId="73B98852" w14:textId="0DC53283" w:rsidR="00ED4CB2" w:rsidRDefault="00ED4CB2" w:rsidP="008D134A">
            <w:pPr>
              <w:pStyle w:val="Tabletext"/>
              <w:cnfStyle w:val="000000000000" w:firstRow="0" w:lastRow="0" w:firstColumn="0" w:lastColumn="0" w:oddVBand="0" w:evenVBand="0" w:oddHBand="0" w:evenHBand="0" w:firstRowFirstColumn="0" w:firstRowLastColumn="0" w:lastRowFirstColumn="0" w:lastRowLastColumn="0"/>
            </w:pPr>
            <w:r>
              <w:t>Include</w:t>
            </w:r>
          </w:p>
        </w:tc>
      </w:tr>
    </w:tbl>
    <w:p w14:paraId="25CF55EC" w14:textId="77777777" w:rsidR="00D67795" w:rsidRDefault="00D67795" w:rsidP="00D67795">
      <w:pPr>
        <w:sectPr w:rsidR="00D67795" w:rsidSect="00886D66">
          <w:headerReference w:type="default" r:id="rId31"/>
          <w:footerReference w:type="default" r:id="rId32"/>
          <w:pgSz w:w="16838" w:h="11906" w:orient="landscape"/>
          <w:pgMar w:top="1440" w:right="1440" w:bottom="1440" w:left="1440" w:header="708" w:footer="708" w:gutter="0"/>
          <w:cols w:space="708"/>
          <w:docGrid w:linePitch="360"/>
        </w:sectPr>
      </w:pPr>
    </w:p>
    <w:p w14:paraId="33F384F2" w14:textId="1B6B9276" w:rsidR="003735BC" w:rsidRPr="00FD7241" w:rsidRDefault="003E7C44" w:rsidP="00A42776">
      <w:pPr>
        <w:pStyle w:val="Heading1"/>
        <w:rPr>
          <w:b/>
          <w:bCs/>
        </w:rPr>
      </w:pPr>
      <w:bookmarkStart w:id="17" w:name="_Toc208223389"/>
      <w:r w:rsidRPr="00FD7241">
        <w:rPr>
          <w:b/>
          <w:bCs/>
        </w:rPr>
        <w:lastRenderedPageBreak/>
        <w:t>Long list and r</w:t>
      </w:r>
      <w:r w:rsidR="003735BC" w:rsidRPr="00FD7241">
        <w:rPr>
          <w:b/>
          <w:bCs/>
        </w:rPr>
        <w:t>ecommended indicators</w:t>
      </w:r>
      <w:bookmarkEnd w:id="17"/>
      <w:r w:rsidR="0086460E" w:rsidRPr="00FD7241">
        <w:rPr>
          <w:b/>
          <w:bCs/>
        </w:rPr>
        <w:t xml:space="preserve"> </w:t>
      </w:r>
    </w:p>
    <w:p w14:paraId="73E1EC6F" w14:textId="14807C3A" w:rsidR="00A2388A" w:rsidRPr="00F849DD" w:rsidRDefault="003B1F71" w:rsidP="00A2388A">
      <w:pPr>
        <w:rPr>
          <w:i/>
          <w:iCs/>
        </w:rPr>
      </w:pPr>
      <w:r>
        <w:t>W</w:t>
      </w:r>
      <w:r w:rsidR="00E52607">
        <w:t>e have</w:t>
      </w:r>
      <w:r w:rsidR="00834C73">
        <w:t xml:space="preserve"> </w:t>
      </w:r>
      <w:r w:rsidR="00177895">
        <w:t xml:space="preserve">identified </w:t>
      </w:r>
      <w:r w:rsidR="00B238CE">
        <w:t xml:space="preserve">a </w:t>
      </w:r>
      <w:r w:rsidR="00D77D2F">
        <w:t>long list</w:t>
      </w:r>
      <w:r w:rsidR="00B238CE" w:rsidRPr="006C65F1">
        <w:t xml:space="preserve"> of </w:t>
      </w:r>
      <w:r w:rsidR="005E6682">
        <w:t>2</w:t>
      </w:r>
      <w:r w:rsidR="00B512DB">
        <w:t>8</w:t>
      </w:r>
      <w:r w:rsidR="00177895" w:rsidRPr="006C65F1">
        <w:t xml:space="preserve"> </w:t>
      </w:r>
      <w:r w:rsidRPr="006C65F1">
        <w:t>suicide</w:t>
      </w:r>
      <w:r>
        <w:t xml:space="preserve"> and self-harm monitoring </w:t>
      </w:r>
      <w:r w:rsidR="00177895">
        <w:t>indicators</w:t>
      </w:r>
      <w:r w:rsidR="00587E55">
        <w:t xml:space="preserve"> </w:t>
      </w:r>
      <w:r w:rsidR="00177895">
        <w:t xml:space="preserve">that </w:t>
      </w:r>
      <w:r w:rsidR="00AE4D49">
        <w:t>are supported by evidence</w:t>
      </w:r>
      <w:r w:rsidR="00FD1304">
        <w:t xml:space="preserve"> and </w:t>
      </w:r>
      <w:r w:rsidR="00C1010D">
        <w:t>for which there is data available</w:t>
      </w:r>
      <w:r w:rsidR="008D2D10">
        <w:t>.</w:t>
      </w:r>
      <w:r w:rsidR="00680F46">
        <w:t xml:space="preserve"> </w:t>
      </w:r>
      <w:r w:rsidR="00600FCF">
        <w:t xml:space="preserve">We acknowledge </w:t>
      </w:r>
      <w:r w:rsidR="00020411">
        <w:t xml:space="preserve">that there </w:t>
      </w:r>
      <w:r w:rsidR="0019173B">
        <w:t>are</w:t>
      </w:r>
      <w:r w:rsidR="00020411">
        <w:t xml:space="preserve"> </w:t>
      </w:r>
      <w:r w:rsidR="00600FCF">
        <w:t xml:space="preserve">gaps in this </w:t>
      </w:r>
      <w:r w:rsidR="0019173B">
        <w:t>list</w:t>
      </w:r>
      <w:r w:rsidR="00EA2105">
        <w:t>.</w:t>
      </w:r>
      <w:r w:rsidR="00A91E12">
        <w:t xml:space="preserve"> </w:t>
      </w:r>
      <w:r w:rsidR="007714C0">
        <w:t>We also note that</w:t>
      </w:r>
      <w:r w:rsidR="00A2388A">
        <w:t xml:space="preserve"> the selected indicators emphasise risk rather than protective factors, reflecting the prominence of risk factors in the literature. </w:t>
      </w:r>
    </w:p>
    <w:p w14:paraId="31D72495" w14:textId="13B6D979" w:rsidR="001757B2" w:rsidRDefault="004B569C" w:rsidP="00814C6F">
      <w:r>
        <w:t xml:space="preserve">As shown in </w:t>
      </w:r>
      <w:r w:rsidR="00F903E3">
        <w:fldChar w:fldCharType="begin"/>
      </w:r>
      <w:r w:rsidR="00F903E3">
        <w:instrText xml:space="preserve"> REF _Ref204950146 \h </w:instrText>
      </w:r>
      <w:r w:rsidR="00F903E3">
        <w:fldChar w:fldCharType="separate"/>
      </w:r>
      <w:r w:rsidR="00F903E3">
        <w:t xml:space="preserve">Table </w:t>
      </w:r>
      <w:r w:rsidR="00F903E3">
        <w:rPr>
          <w:noProof/>
        </w:rPr>
        <w:t>6</w:t>
      </w:r>
      <w:r w:rsidR="00F903E3">
        <w:fldChar w:fldCharType="end"/>
      </w:r>
      <w:r w:rsidR="00BF27C7">
        <w:t xml:space="preserve">, </w:t>
      </w:r>
      <w:r>
        <w:t xml:space="preserve">we </w:t>
      </w:r>
      <w:r w:rsidRPr="00A3737D">
        <w:t xml:space="preserve">currently report on </w:t>
      </w:r>
      <w:r w:rsidR="005150B5">
        <w:t>seven</w:t>
      </w:r>
      <w:r w:rsidR="005150B5" w:rsidRPr="00A3737D">
        <w:t xml:space="preserve"> </w:t>
      </w:r>
      <w:r w:rsidRPr="00A3737D">
        <w:t xml:space="preserve">of these </w:t>
      </w:r>
      <w:r w:rsidR="00807252">
        <w:t>2</w:t>
      </w:r>
      <w:r w:rsidR="00B512DB">
        <w:t>8</w:t>
      </w:r>
      <w:r w:rsidRPr="00A3737D">
        <w:t xml:space="preserve"> indicators through</w:t>
      </w:r>
      <w:r>
        <w:t xml:space="preserve"> existing monitoring.</w:t>
      </w:r>
      <w:r w:rsidR="009A30FB">
        <w:t xml:space="preserve"> </w:t>
      </w:r>
      <w:r w:rsidR="006940F4">
        <w:t>Four</w:t>
      </w:r>
      <w:r w:rsidR="009A30FB">
        <w:t xml:space="preserve"> </w:t>
      </w:r>
      <w:r w:rsidR="00A3737D">
        <w:t xml:space="preserve">proposed indicators </w:t>
      </w:r>
      <w:r w:rsidR="009306B0">
        <w:t xml:space="preserve">are </w:t>
      </w:r>
      <w:r w:rsidR="00EE6DB5">
        <w:t>longer-term outcome measures</w:t>
      </w:r>
      <w:r w:rsidR="009306B0">
        <w:t xml:space="preserve"> in the </w:t>
      </w:r>
      <w:r w:rsidR="00BB40D9">
        <w:t>Suicide Prevention Action Plan</w:t>
      </w:r>
      <w:r w:rsidR="009306B0">
        <w:t xml:space="preserve"> 2025</w:t>
      </w:r>
      <w:r w:rsidR="00B80FE4">
        <w:t>-2029 (Ministry of Health, 2025)</w:t>
      </w:r>
      <w:r w:rsidR="009306B0">
        <w:t>.</w:t>
      </w:r>
    </w:p>
    <w:p w14:paraId="16E2E79D" w14:textId="38F80652" w:rsidR="00EC27BE" w:rsidRDefault="00EC27BE" w:rsidP="00A344A1">
      <w:r>
        <w:t>We recommend</w:t>
      </w:r>
      <w:r w:rsidR="00A344A1">
        <w:t xml:space="preserve"> </w:t>
      </w:r>
      <w:r>
        <w:t>monitoring outcomes</w:t>
      </w:r>
      <w:r w:rsidR="00A344A1">
        <w:t xml:space="preserve"> only</w:t>
      </w:r>
      <w:r>
        <w:t xml:space="preserve"> </w:t>
      </w:r>
      <w:r w:rsidR="00DE53B5">
        <w:t>(five indicators)</w:t>
      </w:r>
      <w:r w:rsidR="00A344A1">
        <w:t>.</w:t>
      </w:r>
      <w:r w:rsidR="008D335F">
        <w:t xml:space="preserve"> This provides </w:t>
      </w:r>
      <w:r w:rsidR="008D335F" w:rsidRPr="001652E6">
        <w:t>a small set of indicators at the highest level of suicide and self-harm surveillance</w:t>
      </w:r>
      <w:r w:rsidR="008D335F">
        <w:t>.</w:t>
      </w:r>
    </w:p>
    <w:p w14:paraId="1E272D4A" w14:textId="0EC73C1E" w:rsidR="00607FC1" w:rsidRDefault="001D0AB2" w:rsidP="001D0AB2">
      <w:r w:rsidRPr="0072310E">
        <w:t>In addition to the</w:t>
      </w:r>
      <w:r>
        <w:t>se</w:t>
      </w:r>
      <w:r w:rsidRPr="0072310E">
        <w:t xml:space="preserve"> outcome indicators, we </w:t>
      </w:r>
      <w:r>
        <w:t xml:space="preserve">have </w:t>
      </w:r>
      <w:r w:rsidRPr="0072310E">
        <w:t xml:space="preserve">identified a set of 12 prioritised indicators (social determinants) that </w:t>
      </w:r>
      <w:r w:rsidR="00F33285">
        <w:t xml:space="preserve">could be </w:t>
      </w:r>
      <w:r w:rsidR="000A22CE">
        <w:t>monitored</w:t>
      </w:r>
      <w:r w:rsidR="00F33285">
        <w:t xml:space="preserve"> </w:t>
      </w:r>
      <w:r w:rsidR="000A22CE">
        <w:t xml:space="preserve">to </w:t>
      </w:r>
      <w:r w:rsidRPr="0072310E">
        <w:t xml:space="preserve">focus on </w:t>
      </w:r>
      <w:r w:rsidR="00560523">
        <w:t xml:space="preserve">risk </w:t>
      </w:r>
      <w:r w:rsidRPr="0072310E">
        <w:t xml:space="preserve">factors of relevance to populations with </w:t>
      </w:r>
      <w:r w:rsidR="00F64355">
        <w:t xml:space="preserve">the </w:t>
      </w:r>
      <w:r w:rsidRPr="0072310E">
        <w:t>highest need, that is, Māori and youth</w:t>
      </w:r>
      <w:r w:rsidR="00162F5E">
        <w:t xml:space="preserve">. </w:t>
      </w:r>
      <w:r w:rsidR="00065A39">
        <w:t>These indicators would suit a deep</w:t>
      </w:r>
      <w:r w:rsidR="004844B9">
        <w:t xml:space="preserve"> dive report. </w:t>
      </w:r>
      <w:r w:rsidR="00211B78">
        <w:t xml:space="preserve">These indicators </w:t>
      </w:r>
      <w:r w:rsidR="0053465D">
        <w:t xml:space="preserve">(shown in bold in </w:t>
      </w:r>
      <w:r w:rsidR="00DA53BB">
        <w:fldChar w:fldCharType="begin"/>
      </w:r>
      <w:r w:rsidR="00DA53BB">
        <w:instrText xml:space="preserve"> REF _Ref204950146 \h </w:instrText>
      </w:r>
      <w:r w:rsidR="00DA53BB">
        <w:fldChar w:fldCharType="separate"/>
      </w:r>
      <w:r w:rsidR="00DA53BB">
        <w:t xml:space="preserve">Table </w:t>
      </w:r>
      <w:r w:rsidR="00DA53BB">
        <w:rPr>
          <w:noProof/>
        </w:rPr>
        <w:t>6</w:t>
      </w:r>
      <w:r w:rsidR="00DA53BB">
        <w:fldChar w:fldCharType="end"/>
      </w:r>
      <w:r w:rsidR="0053465D">
        <w:t xml:space="preserve">) </w:t>
      </w:r>
      <w:r w:rsidR="00211B78">
        <w:t>relate to</w:t>
      </w:r>
      <w:r w:rsidR="0053465D">
        <w:t>:</w:t>
      </w:r>
    </w:p>
    <w:p w14:paraId="5EF02527" w14:textId="77777777" w:rsidR="001167B1" w:rsidRDefault="001167B1" w:rsidP="001167B1">
      <w:pPr>
        <w:pStyle w:val="ListParagraph"/>
        <w:numPr>
          <w:ilvl w:val="0"/>
          <w:numId w:val="41"/>
        </w:numPr>
      </w:pPr>
      <w:r>
        <w:t>School belonging</w:t>
      </w:r>
    </w:p>
    <w:p w14:paraId="3268193D" w14:textId="77777777" w:rsidR="000A2224" w:rsidRDefault="000A2224" w:rsidP="000A2224">
      <w:pPr>
        <w:pStyle w:val="ListParagraph"/>
        <w:numPr>
          <w:ilvl w:val="0"/>
          <w:numId w:val="41"/>
        </w:numPr>
      </w:pPr>
      <w:r>
        <w:t>School exclusion</w:t>
      </w:r>
    </w:p>
    <w:p w14:paraId="01206074" w14:textId="77777777" w:rsidR="000A2224" w:rsidRDefault="000A2224" w:rsidP="000A2224">
      <w:pPr>
        <w:pStyle w:val="ListParagraph"/>
        <w:numPr>
          <w:ilvl w:val="0"/>
          <w:numId w:val="41"/>
        </w:numPr>
      </w:pPr>
      <w:r>
        <w:t>Bullying</w:t>
      </w:r>
    </w:p>
    <w:p w14:paraId="28CE5E0D" w14:textId="77777777" w:rsidR="000A2224" w:rsidRDefault="000A2224" w:rsidP="000A2224">
      <w:pPr>
        <w:pStyle w:val="ListParagraph"/>
        <w:numPr>
          <w:ilvl w:val="0"/>
          <w:numId w:val="41"/>
        </w:numPr>
      </w:pPr>
      <w:r>
        <w:t>Discrimination</w:t>
      </w:r>
    </w:p>
    <w:p w14:paraId="7AA4EE88" w14:textId="4FAC9824" w:rsidR="003558D0" w:rsidRPr="00CA34B4" w:rsidRDefault="00211B78" w:rsidP="00CA34B4">
      <w:pPr>
        <w:pStyle w:val="ListParagraph"/>
        <w:numPr>
          <w:ilvl w:val="0"/>
          <w:numId w:val="41"/>
        </w:numPr>
      </w:pPr>
      <w:r>
        <w:rPr>
          <w:szCs w:val="20"/>
        </w:rPr>
        <w:t xml:space="preserve">Child </w:t>
      </w:r>
      <w:r w:rsidR="00E55F8F">
        <w:rPr>
          <w:szCs w:val="20"/>
        </w:rPr>
        <w:t>po</w:t>
      </w:r>
      <w:r>
        <w:rPr>
          <w:szCs w:val="20"/>
        </w:rPr>
        <w:t>verty</w:t>
      </w:r>
    </w:p>
    <w:p w14:paraId="62812A07" w14:textId="73945169" w:rsidR="000A2224" w:rsidRDefault="00B512DB" w:rsidP="000A2224">
      <w:pPr>
        <w:pStyle w:val="ListParagraph"/>
        <w:numPr>
          <w:ilvl w:val="0"/>
          <w:numId w:val="41"/>
        </w:numPr>
      </w:pPr>
      <w:r>
        <w:t>Parental support</w:t>
      </w:r>
    </w:p>
    <w:p w14:paraId="631B3676" w14:textId="5FC879C0" w:rsidR="00B512DB" w:rsidRDefault="00B512DB" w:rsidP="000A2224">
      <w:pPr>
        <w:pStyle w:val="ListParagraph"/>
        <w:numPr>
          <w:ilvl w:val="0"/>
          <w:numId w:val="41"/>
        </w:numPr>
      </w:pPr>
      <w:r>
        <w:t>Family wellbeing</w:t>
      </w:r>
    </w:p>
    <w:p w14:paraId="4F731207" w14:textId="751D2181" w:rsidR="00225F49" w:rsidRDefault="00225F49" w:rsidP="00225F49">
      <w:pPr>
        <w:pStyle w:val="ListParagraph"/>
        <w:numPr>
          <w:ilvl w:val="0"/>
          <w:numId w:val="41"/>
        </w:numPr>
      </w:pPr>
      <w:r>
        <w:t>Childhood in state care</w:t>
      </w:r>
    </w:p>
    <w:p w14:paraId="6ECA85B2" w14:textId="6E18F405" w:rsidR="000D64C3" w:rsidRDefault="00E55F8F" w:rsidP="00CA34B4">
      <w:pPr>
        <w:pStyle w:val="ListParagraph"/>
        <w:numPr>
          <w:ilvl w:val="0"/>
          <w:numId w:val="41"/>
        </w:numPr>
      </w:pPr>
      <w:r>
        <w:t>Experience of v</w:t>
      </w:r>
      <w:r w:rsidR="00D312FD">
        <w:t>iolence</w:t>
      </w:r>
      <w:r w:rsidR="00C41750">
        <w:t xml:space="preserve"> and sexual abuse</w:t>
      </w:r>
      <w:r w:rsidR="009D5B12">
        <w:t xml:space="preserve"> (3)</w:t>
      </w:r>
    </w:p>
    <w:p w14:paraId="78949DDD" w14:textId="29CA3A07" w:rsidR="00605EBD" w:rsidRDefault="00605EBD" w:rsidP="00CA34B4">
      <w:pPr>
        <w:pStyle w:val="ListParagraph"/>
        <w:numPr>
          <w:ilvl w:val="0"/>
          <w:numId w:val="41"/>
        </w:numPr>
      </w:pPr>
      <w:r>
        <w:t>Suicide attempts</w:t>
      </w:r>
    </w:p>
    <w:p w14:paraId="0193D2F4" w14:textId="77777777" w:rsidR="000543A4" w:rsidRDefault="000543A4" w:rsidP="00814C6F"/>
    <w:p w14:paraId="0A122BEE" w14:textId="3F28DC44" w:rsidR="001757B2" w:rsidRDefault="00810181" w:rsidP="00814C6F">
      <w:pPr>
        <w:sectPr w:rsidR="001757B2" w:rsidSect="00FC1CBF">
          <w:footerReference w:type="default" r:id="rId33"/>
          <w:pgSz w:w="11906" w:h="16838"/>
          <w:pgMar w:top="1440" w:right="1440" w:bottom="1440" w:left="1440" w:header="708" w:footer="708" w:gutter="0"/>
          <w:cols w:space="708"/>
          <w:docGrid w:linePitch="360"/>
        </w:sectPr>
      </w:pPr>
      <w:r>
        <w:t>.</w:t>
      </w:r>
    </w:p>
    <w:p w14:paraId="2A0027DF" w14:textId="06AED80E" w:rsidR="00FC1CBF" w:rsidRDefault="00FC1CBF" w:rsidP="00FC1CBF">
      <w:pPr>
        <w:pStyle w:val="Caption"/>
      </w:pPr>
      <w:bookmarkStart w:id="18" w:name="_Ref204950146"/>
      <w:r>
        <w:lastRenderedPageBreak/>
        <w:t xml:space="preserve">Table </w:t>
      </w:r>
      <w:r>
        <w:fldChar w:fldCharType="begin"/>
      </w:r>
      <w:r>
        <w:instrText xml:space="preserve"> SEQ Table \* ARABIC </w:instrText>
      </w:r>
      <w:r>
        <w:fldChar w:fldCharType="separate"/>
      </w:r>
      <w:r w:rsidR="00914243">
        <w:rPr>
          <w:noProof/>
        </w:rPr>
        <w:t>6</w:t>
      </w:r>
      <w:r>
        <w:fldChar w:fldCharType="end"/>
      </w:r>
      <w:bookmarkEnd w:id="18"/>
      <w:r>
        <w:t xml:space="preserve">: </w:t>
      </w:r>
      <w:r w:rsidR="006A0423">
        <w:t>Long list of</w:t>
      </w:r>
      <w:r>
        <w:t xml:space="preserve"> indicators </w:t>
      </w:r>
    </w:p>
    <w:tbl>
      <w:tblPr>
        <w:tblStyle w:val="PlainTable2"/>
        <w:tblW w:w="14229" w:type="dxa"/>
        <w:tblLayout w:type="fixed"/>
        <w:tblLook w:val="04A0" w:firstRow="1" w:lastRow="0" w:firstColumn="1" w:lastColumn="0" w:noHBand="0" w:noVBand="1"/>
      </w:tblPr>
      <w:tblGrid>
        <w:gridCol w:w="1814"/>
        <w:gridCol w:w="1814"/>
        <w:gridCol w:w="3176"/>
        <w:gridCol w:w="1983"/>
        <w:gridCol w:w="1845"/>
        <w:gridCol w:w="1783"/>
        <w:gridCol w:w="1814"/>
      </w:tblGrid>
      <w:tr w:rsidR="00F70102" w:rsidRPr="001019D2" w14:paraId="68E5ADC5" w14:textId="77777777" w:rsidTr="008255B9">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1814" w:type="dxa"/>
            <w:noWrap/>
          </w:tcPr>
          <w:p w14:paraId="060645E4" w14:textId="3DF76611" w:rsidR="00F70102" w:rsidRPr="001019D2" w:rsidRDefault="00F70102">
            <w:pPr>
              <w:pStyle w:val="Tabletext"/>
            </w:pPr>
            <w:r w:rsidRPr="001019D2">
              <w:t>Domain</w:t>
            </w:r>
          </w:p>
        </w:tc>
        <w:tc>
          <w:tcPr>
            <w:tcW w:w="1814" w:type="dxa"/>
          </w:tcPr>
          <w:p w14:paraId="0C0F8EA1" w14:textId="72F1E6E5" w:rsidR="00F70102" w:rsidRPr="001019D2" w:rsidRDefault="00F70102">
            <w:pPr>
              <w:pStyle w:val="Tabletext"/>
              <w:cnfStyle w:val="100000000000" w:firstRow="1" w:lastRow="0" w:firstColumn="0" w:lastColumn="0" w:oddVBand="0" w:evenVBand="0" w:oddHBand="0" w:evenHBand="0" w:firstRowFirstColumn="0" w:firstRowLastColumn="0" w:lastRowFirstColumn="0" w:lastRowLastColumn="0"/>
            </w:pPr>
            <w:r w:rsidRPr="001019D2">
              <w:t>Indicator</w:t>
            </w:r>
          </w:p>
        </w:tc>
        <w:tc>
          <w:tcPr>
            <w:tcW w:w="3176" w:type="dxa"/>
            <w:noWrap/>
          </w:tcPr>
          <w:p w14:paraId="4BDF6851" w14:textId="196013D8" w:rsidR="00F70102" w:rsidRPr="00AC4EDB" w:rsidRDefault="00F70102">
            <w:pPr>
              <w:pStyle w:val="Tabletext"/>
              <w:cnfStyle w:val="100000000000" w:firstRow="1" w:lastRow="0" w:firstColumn="0" w:lastColumn="0" w:oddVBand="0" w:evenVBand="0" w:oddHBand="0" w:evenHBand="0" w:firstRowFirstColumn="0" w:firstRowLastColumn="0" w:lastRowFirstColumn="0" w:lastRowLastColumn="0"/>
            </w:pPr>
            <w:r>
              <w:t>Definitio</w:t>
            </w:r>
            <w:r>
              <w:rPr>
                <w:b w:val="0"/>
                <w:bCs w:val="0"/>
              </w:rPr>
              <w:t>n</w:t>
            </w:r>
          </w:p>
        </w:tc>
        <w:tc>
          <w:tcPr>
            <w:tcW w:w="1983" w:type="dxa"/>
          </w:tcPr>
          <w:p w14:paraId="54B1C8BF" w14:textId="77777777" w:rsidR="00F70102" w:rsidRDefault="00F70102">
            <w:pPr>
              <w:pStyle w:val="Tabletext"/>
              <w:cnfStyle w:val="100000000000" w:firstRow="1" w:lastRow="0" w:firstColumn="0" w:lastColumn="0" w:oddVBand="0" w:evenVBand="0" w:oddHBand="0" w:evenHBand="0" w:firstRowFirstColumn="0" w:firstRowLastColumn="0" w:lastRowFirstColumn="0" w:lastRowLastColumn="0"/>
            </w:pPr>
            <w:r>
              <w:t>Data source</w:t>
            </w:r>
          </w:p>
        </w:tc>
        <w:tc>
          <w:tcPr>
            <w:tcW w:w="1845" w:type="dxa"/>
          </w:tcPr>
          <w:p w14:paraId="436F3D53" w14:textId="77777777" w:rsidR="00F70102" w:rsidRDefault="00F70102">
            <w:pPr>
              <w:pStyle w:val="Tabletext"/>
              <w:cnfStyle w:val="100000000000" w:firstRow="1" w:lastRow="0" w:firstColumn="0" w:lastColumn="0" w:oddVBand="0" w:evenVBand="0" w:oddHBand="0" w:evenHBand="0" w:firstRowFirstColumn="0" w:firstRowLastColumn="0" w:lastRowFirstColumn="0" w:lastRowLastColumn="0"/>
            </w:pPr>
            <w:r>
              <w:t>Data quality</w:t>
            </w:r>
          </w:p>
        </w:tc>
        <w:tc>
          <w:tcPr>
            <w:tcW w:w="1783" w:type="dxa"/>
          </w:tcPr>
          <w:p w14:paraId="1D906F3F" w14:textId="77777777" w:rsidR="00F70102" w:rsidRDefault="00F70102">
            <w:pPr>
              <w:pStyle w:val="Tabletext"/>
              <w:cnfStyle w:val="100000000000" w:firstRow="1" w:lastRow="0" w:firstColumn="0" w:lastColumn="0" w:oddVBand="0" w:evenVBand="0" w:oddHBand="0" w:evenHBand="0" w:firstRowFirstColumn="0" w:firstRowLastColumn="0" w:lastRowFirstColumn="0" w:lastRowLastColumn="0"/>
            </w:pPr>
            <w:r>
              <w:t>Population sensitivity</w:t>
            </w:r>
          </w:p>
        </w:tc>
        <w:tc>
          <w:tcPr>
            <w:tcW w:w="1814" w:type="dxa"/>
            <w:noWrap/>
          </w:tcPr>
          <w:p w14:paraId="49089269" w14:textId="60468123" w:rsidR="00F70102" w:rsidRPr="001019D2" w:rsidRDefault="00F70102">
            <w:pPr>
              <w:pStyle w:val="Tabletext"/>
              <w:cnfStyle w:val="100000000000" w:firstRow="1" w:lastRow="0" w:firstColumn="0" w:lastColumn="0" w:oddVBand="0" w:evenVBand="0" w:oddHBand="0" w:evenHBand="0" w:firstRowFirstColumn="0" w:firstRowLastColumn="0" w:lastRowFirstColumn="0" w:lastRowLastColumn="0"/>
            </w:pPr>
            <w:r>
              <w:t>Related reporting</w:t>
            </w:r>
          </w:p>
        </w:tc>
      </w:tr>
      <w:tr w:rsidR="0011170F" w:rsidRPr="00010279" w14:paraId="4AD22CB5" w14:textId="77777777" w:rsidTr="008255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14" w:type="dxa"/>
            <w:vMerge w:val="restart"/>
            <w:noWrap/>
            <w:hideMark/>
          </w:tcPr>
          <w:p w14:paraId="4E48406C" w14:textId="77777777" w:rsidR="0011170F" w:rsidRPr="00F27C33" w:rsidRDefault="0011170F">
            <w:pPr>
              <w:pStyle w:val="Tabletext"/>
              <w:rPr>
                <w:b w:val="0"/>
                <w:bCs w:val="0"/>
              </w:rPr>
            </w:pPr>
            <w:r w:rsidRPr="00F27C33">
              <w:rPr>
                <w:b w:val="0"/>
                <w:bCs w:val="0"/>
              </w:rPr>
              <w:t>Suicide and self</w:t>
            </w:r>
            <w:r>
              <w:rPr>
                <w:b w:val="0"/>
                <w:bCs w:val="0"/>
              </w:rPr>
              <w:t>-</w:t>
            </w:r>
            <w:r w:rsidRPr="00F27C33">
              <w:rPr>
                <w:b w:val="0"/>
                <w:bCs w:val="0"/>
              </w:rPr>
              <w:t>harm outcomes</w:t>
            </w:r>
          </w:p>
        </w:tc>
        <w:tc>
          <w:tcPr>
            <w:tcW w:w="1814" w:type="dxa"/>
            <w:noWrap/>
            <w:hideMark/>
          </w:tcPr>
          <w:p w14:paraId="44DC519E" w14:textId="77777777" w:rsidR="0011170F" w:rsidRPr="00F27C33" w:rsidRDefault="0011170F">
            <w:pPr>
              <w:pStyle w:val="Tabletext"/>
              <w:cnfStyle w:val="000000100000" w:firstRow="0" w:lastRow="0" w:firstColumn="0" w:lastColumn="0" w:oddVBand="0" w:evenVBand="0" w:oddHBand="1" w:evenHBand="0" w:firstRowFirstColumn="0" w:firstRowLastColumn="0" w:lastRowFirstColumn="0" w:lastRowLastColumn="0"/>
            </w:pPr>
            <w:r w:rsidRPr="00F94764">
              <w:t>Suicide rate</w:t>
            </w:r>
          </w:p>
        </w:tc>
        <w:tc>
          <w:tcPr>
            <w:tcW w:w="3176" w:type="dxa"/>
            <w:noWrap/>
            <w:hideMark/>
          </w:tcPr>
          <w:p w14:paraId="5333E0D5" w14:textId="77777777" w:rsidR="0011170F" w:rsidRPr="00AC4EDB" w:rsidRDefault="0011170F">
            <w:pPr>
              <w:pStyle w:val="Tabletext"/>
              <w:cnfStyle w:val="000000100000" w:firstRow="0" w:lastRow="0" w:firstColumn="0" w:lastColumn="0" w:oddVBand="0" w:evenVBand="0" w:oddHBand="1" w:evenHBand="0" w:firstRowFirstColumn="0" w:firstRowLastColumn="0" w:lastRowFirstColumn="0" w:lastRowLastColumn="0"/>
            </w:pPr>
            <w:r w:rsidRPr="00F94764">
              <w:t>Age-standardised rate of suicide per 100,000 population</w:t>
            </w:r>
          </w:p>
        </w:tc>
        <w:tc>
          <w:tcPr>
            <w:tcW w:w="1983" w:type="dxa"/>
          </w:tcPr>
          <w:p w14:paraId="08451B55" w14:textId="77777777" w:rsidR="0011170F" w:rsidRPr="00010279" w:rsidRDefault="0011170F">
            <w:pPr>
              <w:pStyle w:val="Tabletext"/>
              <w:cnfStyle w:val="000000100000" w:firstRow="0" w:lastRow="0" w:firstColumn="0" w:lastColumn="0" w:oddVBand="0" w:evenVBand="0" w:oddHBand="1" w:evenHBand="0" w:firstRowFirstColumn="0" w:firstRowLastColumn="0" w:lastRowFirstColumn="0" w:lastRowLastColumn="0"/>
            </w:pPr>
            <w:r w:rsidRPr="00F94764">
              <w:t xml:space="preserve">Health </w:t>
            </w:r>
            <w:r>
              <w:t>NZ</w:t>
            </w:r>
            <w:r w:rsidRPr="00F94764">
              <w:t xml:space="preserve"> (New Zealand Mortality Collection)</w:t>
            </w:r>
          </w:p>
        </w:tc>
        <w:tc>
          <w:tcPr>
            <w:tcW w:w="1845" w:type="dxa"/>
          </w:tcPr>
          <w:p w14:paraId="5E363816" w14:textId="77777777" w:rsidR="0011170F" w:rsidRPr="00010279" w:rsidRDefault="0011170F">
            <w:pPr>
              <w:pStyle w:val="Tabletext"/>
              <w:cnfStyle w:val="000000100000" w:firstRow="0" w:lastRow="0" w:firstColumn="0" w:lastColumn="0" w:oddVBand="0" w:evenVBand="0" w:oddHBand="1" w:evenHBand="0" w:firstRowFirstColumn="0" w:firstRowLastColumn="0" w:lastRowFirstColumn="0" w:lastRowLastColumn="0"/>
            </w:pPr>
            <w:r w:rsidRPr="00F94764">
              <w:t>Data available and comparable over time</w:t>
            </w:r>
          </w:p>
        </w:tc>
        <w:tc>
          <w:tcPr>
            <w:tcW w:w="1783" w:type="dxa"/>
          </w:tcPr>
          <w:p w14:paraId="61128446" w14:textId="77777777" w:rsidR="0011170F" w:rsidRPr="00010279" w:rsidRDefault="0011170F">
            <w:pPr>
              <w:pStyle w:val="Tabletext"/>
              <w:cnfStyle w:val="000000100000" w:firstRow="0" w:lastRow="0" w:firstColumn="0" w:lastColumn="0" w:oddVBand="0" w:evenVBand="0" w:oddHBand="1" w:evenHBand="0" w:firstRowFirstColumn="0" w:firstRowLastColumn="0" w:lastRowFirstColumn="0" w:lastRowLastColumn="0"/>
            </w:pPr>
            <w:r w:rsidRPr="00F94764">
              <w:t>Data available by ethnicity, sex, age group</w:t>
            </w:r>
          </w:p>
        </w:tc>
        <w:tc>
          <w:tcPr>
            <w:tcW w:w="1814" w:type="dxa"/>
            <w:noWrap/>
            <w:hideMark/>
          </w:tcPr>
          <w:p w14:paraId="1E695AEE" w14:textId="5FFBD6AD" w:rsidR="0011170F" w:rsidRPr="00010279" w:rsidRDefault="0011170F">
            <w:pPr>
              <w:pStyle w:val="Tabletext"/>
              <w:cnfStyle w:val="000000100000" w:firstRow="0" w:lastRow="0" w:firstColumn="0" w:lastColumn="0" w:oddVBand="0" w:evenVBand="0" w:oddHBand="1" w:evenHBand="0" w:firstRowFirstColumn="0" w:firstRowLastColumn="0" w:lastRowFirstColumn="0" w:lastRowLastColumn="0"/>
            </w:pPr>
            <w:r>
              <w:t>Suicide Prevention Action Plan</w:t>
            </w:r>
          </w:p>
        </w:tc>
      </w:tr>
      <w:tr w:rsidR="0011170F" w:rsidRPr="00010279" w14:paraId="27C83FA3" w14:textId="77777777" w:rsidTr="008255B9">
        <w:trPr>
          <w:trHeight w:val="285"/>
        </w:trPr>
        <w:tc>
          <w:tcPr>
            <w:cnfStyle w:val="001000000000" w:firstRow="0" w:lastRow="0" w:firstColumn="1" w:lastColumn="0" w:oddVBand="0" w:evenVBand="0" w:oddHBand="0" w:evenHBand="0" w:firstRowFirstColumn="0" w:firstRowLastColumn="0" w:lastRowFirstColumn="0" w:lastRowLastColumn="0"/>
            <w:tcW w:w="1814" w:type="dxa"/>
            <w:vMerge/>
            <w:noWrap/>
          </w:tcPr>
          <w:p w14:paraId="7C0A0A32" w14:textId="77777777" w:rsidR="0011170F" w:rsidRPr="00F27C33" w:rsidRDefault="0011170F">
            <w:pPr>
              <w:pStyle w:val="Tabletext"/>
              <w:rPr>
                <w:b w:val="0"/>
                <w:bCs w:val="0"/>
              </w:rPr>
            </w:pPr>
          </w:p>
        </w:tc>
        <w:tc>
          <w:tcPr>
            <w:tcW w:w="1814" w:type="dxa"/>
            <w:noWrap/>
          </w:tcPr>
          <w:p w14:paraId="28361654" w14:textId="77777777" w:rsidR="0011170F" w:rsidRPr="00E265F5" w:rsidRDefault="0011170F">
            <w:pPr>
              <w:pStyle w:val="Tabletext"/>
              <w:cnfStyle w:val="000000000000" w:firstRow="0" w:lastRow="0" w:firstColumn="0" w:lastColumn="0" w:oddVBand="0" w:evenVBand="0" w:oddHBand="0" w:evenHBand="0" w:firstRowFirstColumn="0" w:firstRowLastColumn="0" w:lastRowFirstColumn="0" w:lastRowLastColumn="0"/>
            </w:pPr>
            <w:r w:rsidRPr="00F94764">
              <w:t>Suspected self-inflicted death rate</w:t>
            </w:r>
          </w:p>
        </w:tc>
        <w:tc>
          <w:tcPr>
            <w:tcW w:w="3176" w:type="dxa"/>
            <w:noWrap/>
          </w:tcPr>
          <w:p w14:paraId="3E03593A" w14:textId="77777777" w:rsidR="0011170F" w:rsidRPr="00AC4EDB" w:rsidRDefault="0011170F">
            <w:pPr>
              <w:pStyle w:val="Tabletext"/>
              <w:cnfStyle w:val="000000000000" w:firstRow="0" w:lastRow="0" w:firstColumn="0" w:lastColumn="0" w:oddVBand="0" w:evenVBand="0" w:oddHBand="0" w:evenHBand="0" w:firstRowFirstColumn="0" w:firstRowLastColumn="0" w:lastRowFirstColumn="0" w:lastRowLastColumn="0"/>
            </w:pPr>
            <w:r w:rsidRPr="00F94764">
              <w:t>Age standardised rate of suspected self-inflicted death per 100,000 population</w:t>
            </w:r>
          </w:p>
        </w:tc>
        <w:tc>
          <w:tcPr>
            <w:tcW w:w="1983" w:type="dxa"/>
          </w:tcPr>
          <w:p w14:paraId="2182CF34" w14:textId="77777777" w:rsidR="0011170F" w:rsidRPr="00010279" w:rsidRDefault="0011170F">
            <w:pPr>
              <w:pStyle w:val="Tabletext"/>
              <w:cnfStyle w:val="000000000000" w:firstRow="0" w:lastRow="0" w:firstColumn="0" w:lastColumn="0" w:oddVBand="0" w:evenVBand="0" w:oddHBand="0" w:evenHBand="0" w:firstRowFirstColumn="0" w:firstRowLastColumn="0" w:lastRowFirstColumn="0" w:lastRowLastColumn="0"/>
            </w:pPr>
            <w:r w:rsidRPr="00F94764">
              <w:t xml:space="preserve">Health </w:t>
            </w:r>
            <w:r>
              <w:t>NZ</w:t>
            </w:r>
            <w:r w:rsidRPr="00F94764">
              <w:t xml:space="preserve"> (Ministry of Justice's case management system)</w:t>
            </w:r>
          </w:p>
        </w:tc>
        <w:tc>
          <w:tcPr>
            <w:tcW w:w="1845" w:type="dxa"/>
          </w:tcPr>
          <w:p w14:paraId="3253BC28" w14:textId="77777777" w:rsidR="0011170F" w:rsidRPr="00010279" w:rsidRDefault="0011170F">
            <w:pPr>
              <w:pStyle w:val="Tabletext"/>
              <w:cnfStyle w:val="000000000000" w:firstRow="0" w:lastRow="0" w:firstColumn="0" w:lastColumn="0" w:oddVBand="0" w:evenVBand="0" w:oddHBand="0" w:evenHBand="0" w:firstRowFirstColumn="0" w:firstRowLastColumn="0" w:lastRowFirstColumn="0" w:lastRowLastColumn="0"/>
            </w:pPr>
            <w:r w:rsidRPr="00F94764">
              <w:t>Data available and comparable over time</w:t>
            </w:r>
          </w:p>
        </w:tc>
        <w:tc>
          <w:tcPr>
            <w:tcW w:w="1783" w:type="dxa"/>
          </w:tcPr>
          <w:p w14:paraId="51662232" w14:textId="77777777" w:rsidR="0011170F" w:rsidRPr="00010279" w:rsidRDefault="0011170F">
            <w:pPr>
              <w:pStyle w:val="Tabletext"/>
              <w:cnfStyle w:val="000000000000" w:firstRow="0" w:lastRow="0" w:firstColumn="0" w:lastColumn="0" w:oddVBand="0" w:evenVBand="0" w:oddHBand="0" w:evenHBand="0" w:firstRowFirstColumn="0" w:firstRowLastColumn="0" w:lastRowFirstColumn="0" w:lastRowLastColumn="0"/>
            </w:pPr>
            <w:r w:rsidRPr="00F94764">
              <w:t>Data available by ethnicity, sex, age group</w:t>
            </w:r>
          </w:p>
        </w:tc>
        <w:tc>
          <w:tcPr>
            <w:tcW w:w="1814" w:type="dxa"/>
            <w:noWrap/>
          </w:tcPr>
          <w:p w14:paraId="563AC5EF" w14:textId="13DE61EA" w:rsidR="0011170F" w:rsidRPr="00010279" w:rsidRDefault="001D71C2">
            <w:pPr>
              <w:pStyle w:val="Tabletext"/>
              <w:cnfStyle w:val="000000000000" w:firstRow="0" w:lastRow="0" w:firstColumn="0" w:lastColumn="0" w:oddVBand="0" w:evenVBand="0" w:oddHBand="0" w:evenHBand="0" w:firstRowFirstColumn="0" w:firstRowLastColumn="0" w:lastRowFirstColumn="0" w:lastRowLastColumn="0"/>
            </w:pPr>
            <w:r>
              <w:t>System Performance Framework</w:t>
            </w:r>
            <w:r w:rsidR="0011170F">
              <w:t>; Suicide Prevention Action Plan</w:t>
            </w:r>
          </w:p>
        </w:tc>
      </w:tr>
      <w:tr w:rsidR="0011170F" w:rsidRPr="00010279" w14:paraId="44AB0D5D" w14:textId="77777777" w:rsidTr="008255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14" w:type="dxa"/>
            <w:vMerge/>
            <w:noWrap/>
            <w:hideMark/>
          </w:tcPr>
          <w:p w14:paraId="483E1393" w14:textId="77777777" w:rsidR="0011170F" w:rsidRPr="00F27C33" w:rsidRDefault="0011170F">
            <w:pPr>
              <w:pStyle w:val="Tabletext"/>
              <w:rPr>
                <w:b w:val="0"/>
                <w:bCs w:val="0"/>
              </w:rPr>
            </w:pPr>
          </w:p>
        </w:tc>
        <w:tc>
          <w:tcPr>
            <w:tcW w:w="1814" w:type="dxa"/>
            <w:noWrap/>
            <w:hideMark/>
          </w:tcPr>
          <w:p w14:paraId="1081D38F" w14:textId="77777777" w:rsidR="0011170F" w:rsidRPr="00F27C33" w:rsidRDefault="0011170F">
            <w:pPr>
              <w:pStyle w:val="Tabletext"/>
              <w:cnfStyle w:val="000000100000" w:firstRow="0" w:lastRow="0" w:firstColumn="0" w:lastColumn="0" w:oddVBand="0" w:evenVBand="0" w:oddHBand="1" w:evenHBand="0" w:firstRowFirstColumn="0" w:firstRowLastColumn="0" w:lastRowFirstColumn="0" w:lastRowLastColumn="0"/>
            </w:pPr>
            <w:r>
              <w:t>Self-harm hospitalisation rate</w:t>
            </w:r>
          </w:p>
        </w:tc>
        <w:tc>
          <w:tcPr>
            <w:tcW w:w="3176" w:type="dxa"/>
            <w:noWrap/>
            <w:hideMark/>
          </w:tcPr>
          <w:p w14:paraId="5F9DD0AA" w14:textId="77777777" w:rsidR="0011170F" w:rsidRPr="00AC4EDB" w:rsidRDefault="0011170F">
            <w:pPr>
              <w:pStyle w:val="Tabletext"/>
              <w:cnfStyle w:val="000000100000" w:firstRow="0" w:lastRow="0" w:firstColumn="0" w:lastColumn="0" w:oddVBand="0" w:evenVBand="0" w:oddHBand="1" w:evenHBand="0" w:firstRowFirstColumn="0" w:firstRowLastColumn="0" w:lastRowFirstColumn="0" w:lastRowLastColumn="0"/>
            </w:pPr>
            <w:r w:rsidRPr="00747FAD">
              <w:t>Age standardised rate of non-fatal intentional self-harm hospitalisation per 100,000 population</w:t>
            </w:r>
            <w:r>
              <w:t xml:space="preserve"> </w:t>
            </w:r>
          </w:p>
        </w:tc>
        <w:tc>
          <w:tcPr>
            <w:tcW w:w="1983" w:type="dxa"/>
          </w:tcPr>
          <w:p w14:paraId="445B010B" w14:textId="77777777" w:rsidR="0011170F" w:rsidRDefault="0011170F">
            <w:pPr>
              <w:pStyle w:val="Tabletext"/>
              <w:cnfStyle w:val="000000100000" w:firstRow="0" w:lastRow="0" w:firstColumn="0" w:lastColumn="0" w:oddVBand="0" w:evenVBand="0" w:oddHBand="1" w:evenHBand="0" w:firstRowFirstColumn="0" w:firstRowLastColumn="0" w:lastRowFirstColumn="0" w:lastRowLastColumn="0"/>
            </w:pPr>
            <w:r>
              <w:t>National Minimum Data Set</w:t>
            </w:r>
          </w:p>
        </w:tc>
        <w:tc>
          <w:tcPr>
            <w:tcW w:w="1845" w:type="dxa"/>
          </w:tcPr>
          <w:p w14:paraId="7243E36D" w14:textId="77777777" w:rsidR="0011170F" w:rsidRDefault="0011170F">
            <w:pPr>
              <w:pStyle w:val="Tabletext"/>
              <w:cnfStyle w:val="000000100000" w:firstRow="0" w:lastRow="0" w:firstColumn="0" w:lastColumn="0" w:oddVBand="0" w:evenVBand="0" w:oddHBand="1" w:evenHBand="0" w:firstRowFirstColumn="0" w:firstRowLastColumn="0" w:lastRowFirstColumn="0" w:lastRowLastColumn="0"/>
            </w:pPr>
            <w:r w:rsidRPr="00F94764">
              <w:t>Data available and comparable over time</w:t>
            </w:r>
          </w:p>
        </w:tc>
        <w:tc>
          <w:tcPr>
            <w:tcW w:w="1783" w:type="dxa"/>
          </w:tcPr>
          <w:p w14:paraId="3178C409" w14:textId="77777777" w:rsidR="0011170F" w:rsidRDefault="0011170F">
            <w:pPr>
              <w:pStyle w:val="Tabletext"/>
              <w:cnfStyle w:val="000000100000" w:firstRow="0" w:lastRow="0" w:firstColumn="0" w:lastColumn="0" w:oddVBand="0" w:evenVBand="0" w:oddHBand="1" w:evenHBand="0" w:firstRowFirstColumn="0" w:firstRowLastColumn="0" w:lastRowFirstColumn="0" w:lastRowLastColumn="0"/>
            </w:pPr>
            <w:r w:rsidRPr="00F94764">
              <w:t>Data available by ethnicity, sex, age group</w:t>
            </w:r>
          </w:p>
        </w:tc>
        <w:tc>
          <w:tcPr>
            <w:tcW w:w="1814" w:type="dxa"/>
            <w:noWrap/>
          </w:tcPr>
          <w:p w14:paraId="0105556E" w14:textId="77777777" w:rsidR="0011170F" w:rsidRPr="00010279" w:rsidRDefault="0011170F">
            <w:pPr>
              <w:pStyle w:val="Tabletext"/>
              <w:cnfStyle w:val="000000100000" w:firstRow="0" w:lastRow="0" w:firstColumn="0" w:lastColumn="0" w:oddVBand="0" w:evenVBand="0" w:oddHBand="1" w:evenHBand="0" w:firstRowFirstColumn="0" w:firstRowLastColumn="0" w:lastRowFirstColumn="0" w:lastRowLastColumn="0"/>
            </w:pPr>
            <w:r>
              <w:t>Suicide Prevention Action Plan</w:t>
            </w:r>
          </w:p>
        </w:tc>
      </w:tr>
      <w:tr w:rsidR="0011170F" w:rsidRPr="00010279" w14:paraId="2B60A782" w14:textId="77777777" w:rsidTr="008255B9">
        <w:trPr>
          <w:trHeight w:val="285"/>
        </w:trPr>
        <w:tc>
          <w:tcPr>
            <w:cnfStyle w:val="001000000000" w:firstRow="0" w:lastRow="0" w:firstColumn="1" w:lastColumn="0" w:oddVBand="0" w:evenVBand="0" w:oddHBand="0" w:evenHBand="0" w:firstRowFirstColumn="0" w:firstRowLastColumn="0" w:lastRowFirstColumn="0" w:lastRowLastColumn="0"/>
            <w:tcW w:w="1814" w:type="dxa"/>
            <w:vMerge/>
            <w:noWrap/>
            <w:hideMark/>
          </w:tcPr>
          <w:p w14:paraId="712C8FA9" w14:textId="77777777" w:rsidR="0011170F" w:rsidRPr="00F27C33" w:rsidRDefault="0011170F">
            <w:pPr>
              <w:pStyle w:val="Tabletext"/>
              <w:rPr>
                <w:b w:val="0"/>
                <w:bCs w:val="0"/>
              </w:rPr>
            </w:pPr>
          </w:p>
        </w:tc>
        <w:tc>
          <w:tcPr>
            <w:tcW w:w="1814" w:type="dxa"/>
            <w:noWrap/>
            <w:hideMark/>
          </w:tcPr>
          <w:p w14:paraId="55903AC2" w14:textId="77777777" w:rsidR="0011170F" w:rsidRPr="00F27C33" w:rsidRDefault="0011170F">
            <w:pPr>
              <w:pStyle w:val="Tabletext"/>
              <w:cnfStyle w:val="000000000000" w:firstRow="0" w:lastRow="0" w:firstColumn="0" w:lastColumn="0" w:oddVBand="0" w:evenVBand="0" w:oddHBand="0" w:evenHBand="0" w:firstRowFirstColumn="0" w:firstRowLastColumn="0" w:lastRowFirstColumn="0" w:lastRowLastColumn="0"/>
            </w:pPr>
            <w:r w:rsidRPr="00F94764">
              <w:t>Ambulance attendances for self-harm</w:t>
            </w:r>
          </w:p>
        </w:tc>
        <w:tc>
          <w:tcPr>
            <w:tcW w:w="3176" w:type="dxa"/>
            <w:noWrap/>
            <w:hideMark/>
          </w:tcPr>
          <w:p w14:paraId="192B01C4" w14:textId="77777777" w:rsidR="0011170F" w:rsidRPr="00AC4EDB" w:rsidRDefault="0011170F">
            <w:pPr>
              <w:pStyle w:val="Tabletext"/>
              <w:cnfStyle w:val="000000000000" w:firstRow="0" w:lastRow="0" w:firstColumn="0" w:lastColumn="0" w:oddVBand="0" w:evenVBand="0" w:oddHBand="0" w:evenHBand="0" w:firstRowFirstColumn="0" w:firstRowLastColumn="0" w:lastRowFirstColumn="0" w:lastRowLastColumn="0"/>
            </w:pPr>
            <w:r w:rsidRPr="00F94764">
              <w:t>Number of ambulance attendances for self-harm</w:t>
            </w:r>
          </w:p>
        </w:tc>
        <w:tc>
          <w:tcPr>
            <w:tcW w:w="1983" w:type="dxa"/>
          </w:tcPr>
          <w:p w14:paraId="21EF7527" w14:textId="77777777" w:rsidR="0011170F" w:rsidRPr="00010279" w:rsidRDefault="0011170F">
            <w:pPr>
              <w:pStyle w:val="Tabletext"/>
              <w:cnfStyle w:val="000000000000" w:firstRow="0" w:lastRow="0" w:firstColumn="0" w:lastColumn="0" w:oddVBand="0" w:evenVBand="0" w:oddHBand="0" w:evenHBand="0" w:firstRowFirstColumn="0" w:firstRowLastColumn="0" w:lastRowFirstColumn="0" w:lastRowLastColumn="0"/>
            </w:pPr>
            <w:r w:rsidRPr="00F94764">
              <w:t>Ambulance services electronic patient care records (</w:t>
            </w:r>
            <w:proofErr w:type="spellStart"/>
            <w:r w:rsidRPr="00F94764">
              <w:t>ePCR</w:t>
            </w:r>
            <w:proofErr w:type="spellEnd"/>
            <w:r w:rsidRPr="00F94764">
              <w:t>)</w:t>
            </w:r>
          </w:p>
        </w:tc>
        <w:tc>
          <w:tcPr>
            <w:tcW w:w="1845" w:type="dxa"/>
          </w:tcPr>
          <w:p w14:paraId="7A6E0E70" w14:textId="77777777" w:rsidR="0011170F" w:rsidRPr="00010279" w:rsidRDefault="0011170F">
            <w:pPr>
              <w:pStyle w:val="Tabletext"/>
              <w:cnfStyle w:val="000000000000" w:firstRow="0" w:lastRow="0" w:firstColumn="0" w:lastColumn="0" w:oddVBand="0" w:evenVBand="0" w:oddHBand="0" w:evenHBand="0" w:firstRowFirstColumn="0" w:firstRowLastColumn="0" w:lastRowFirstColumn="0" w:lastRowLastColumn="0"/>
            </w:pPr>
            <w:r w:rsidRPr="00F94764">
              <w:t>Data available and comparable over time</w:t>
            </w:r>
          </w:p>
        </w:tc>
        <w:tc>
          <w:tcPr>
            <w:tcW w:w="1783" w:type="dxa"/>
          </w:tcPr>
          <w:p w14:paraId="6B2CE482" w14:textId="77777777" w:rsidR="0011170F" w:rsidRPr="00010279" w:rsidRDefault="0011170F">
            <w:pPr>
              <w:pStyle w:val="Tabletext"/>
              <w:cnfStyle w:val="000000000000" w:firstRow="0" w:lastRow="0" w:firstColumn="0" w:lastColumn="0" w:oddVBand="0" w:evenVBand="0" w:oddHBand="0" w:evenHBand="0" w:firstRowFirstColumn="0" w:firstRowLastColumn="0" w:lastRowFirstColumn="0" w:lastRowLastColumn="0"/>
            </w:pPr>
            <w:r w:rsidRPr="00F94764">
              <w:t>Data available by ethnicity, sex, age group</w:t>
            </w:r>
          </w:p>
        </w:tc>
        <w:tc>
          <w:tcPr>
            <w:tcW w:w="1814" w:type="dxa"/>
            <w:noWrap/>
          </w:tcPr>
          <w:p w14:paraId="344738F4" w14:textId="77777777" w:rsidR="0011170F" w:rsidRPr="00010279" w:rsidRDefault="0011170F">
            <w:pPr>
              <w:pStyle w:val="Tabletext"/>
              <w:cnfStyle w:val="000000000000" w:firstRow="0" w:lastRow="0" w:firstColumn="0" w:lastColumn="0" w:oddVBand="0" w:evenVBand="0" w:oddHBand="0" w:evenHBand="0" w:firstRowFirstColumn="0" w:firstRowLastColumn="0" w:lastRowFirstColumn="0" w:lastRowLastColumn="0"/>
            </w:pPr>
          </w:p>
        </w:tc>
      </w:tr>
      <w:tr w:rsidR="002F048D" w:rsidRPr="00010279" w14:paraId="191CB490" w14:textId="77777777" w:rsidTr="008255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14" w:type="dxa"/>
            <w:vMerge/>
            <w:noWrap/>
            <w:vAlign w:val="center"/>
          </w:tcPr>
          <w:p w14:paraId="3606E8EA" w14:textId="77777777" w:rsidR="002F048D" w:rsidRPr="00F27C33" w:rsidRDefault="002F048D" w:rsidP="00C025B9">
            <w:pPr>
              <w:pStyle w:val="Tabletext"/>
              <w:rPr>
                <w:b w:val="0"/>
                <w:bCs w:val="0"/>
              </w:rPr>
            </w:pPr>
          </w:p>
        </w:tc>
        <w:tc>
          <w:tcPr>
            <w:tcW w:w="1814" w:type="dxa"/>
            <w:noWrap/>
          </w:tcPr>
          <w:p w14:paraId="422225CF" w14:textId="701D672F" w:rsidR="002F048D" w:rsidRPr="00427454" w:rsidRDefault="002F048D" w:rsidP="002F048D">
            <w:pPr>
              <w:pStyle w:val="Tabletext"/>
              <w:cnfStyle w:val="000000100000" w:firstRow="0" w:lastRow="0" w:firstColumn="0" w:lastColumn="0" w:oddVBand="0" w:evenVBand="0" w:oddHBand="1" w:evenHBand="0" w:firstRowFirstColumn="0" w:firstRowLastColumn="0" w:lastRowFirstColumn="0" w:lastRowLastColumn="0"/>
            </w:pPr>
            <w:r w:rsidRPr="00F94764">
              <w:t>Police attendances for crises</w:t>
            </w:r>
          </w:p>
        </w:tc>
        <w:tc>
          <w:tcPr>
            <w:tcW w:w="3176" w:type="dxa"/>
            <w:noWrap/>
          </w:tcPr>
          <w:p w14:paraId="33115702" w14:textId="4E61F7B3" w:rsidR="002F048D" w:rsidRPr="00427454" w:rsidRDefault="00ED7E65" w:rsidP="002F048D">
            <w:pPr>
              <w:pStyle w:val="Tabletext"/>
              <w:cnfStyle w:val="000000100000" w:firstRow="0" w:lastRow="0" w:firstColumn="0" w:lastColumn="0" w:oddVBand="0" w:evenVBand="0" w:oddHBand="1" w:evenHBand="0" w:firstRowFirstColumn="0" w:firstRowLastColumn="0" w:lastRowFirstColumn="0" w:lastRowLastColumn="0"/>
            </w:pPr>
            <w:r w:rsidRPr="00F94764">
              <w:t>Number of 1X</w:t>
            </w:r>
            <w:r>
              <w:t xml:space="preserve"> </w:t>
            </w:r>
            <w:r w:rsidRPr="00F94764">
              <w:t xml:space="preserve">(threatens/attempts suicide) coded </w:t>
            </w:r>
            <w:r>
              <w:t xml:space="preserve">responses to </w:t>
            </w:r>
            <w:r w:rsidRPr="00F94764">
              <w:t xml:space="preserve">call-outs </w:t>
            </w:r>
          </w:p>
        </w:tc>
        <w:tc>
          <w:tcPr>
            <w:tcW w:w="1983" w:type="dxa"/>
          </w:tcPr>
          <w:p w14:paraId="3B43B547" w14:textId="59DAB941" w:rsidR="002F048D" w:rsidRPr="00427454" w:rsidRDefault="002F048D" w:rsidP="002F048D">
            <w:pPr>
              <w:pStyle w:val="Tabletext"/>
              <w:cnfStyle w:val="000000100000" w:firstRow="0" w:lastRow="0" w:firstColumn="0" w:lastColumn="0" w:oddVBand="0" w:evenVBand="0" w:oddHBand="1" w:evenHBand="0" w:firstRowFirstColumn="0" w:firstRowLastColumn="0" w:lastRowFirstColumn="0" w:lastRowLastColumn="0"/>
            </w:pPr>
            <w:r w:rsidRPr="00F94764">
              <w:t>Police</w:t>
            </w:r>
          </w:p>
        </w:tc>
        <w:tc>
          <w:tcPr>
            <w:tcW w:w="1845" w:type="dxa"/>
          </w:tcPr>
          <w:p w14:paraId="2F8E3E8F" w14:textId="5A389962" w:rsidR="002F048D" w:rsidRPr="00427454" w:rsidRDefault="002F048D" w:rsidP="002F048D">
            <w:pPr>
              <w:pStyle w:val="Tabletext"/>
              <w:cnfStyle w:val="000000100000" w:firstRow="0" w:lastRow="0" w:firstColumn="0" w:lastColumn="0" w:oddVBand="0" w:evenVBand="0" w:oddHBand="1" w:evenHBand="0" w:firstRowFirstColumn="0" w:firstRowLastColumn="0" w:lastRowFirstColumn="0" w:lastRowLastColumn="0"/>
            </w:pPr>
            <w:r w:rsidRPr="00F94764">
              <w:t xml:space="preserve">Data available </w:t>
            </w:r>
            <w:r>
              <w:t xml:space="preserve">annually. Recent changes in response will affect comparison over time. </w:t>
            </w:r>
          </w:p>
        </w:tc>
        <w:tc>
          <w:tcPr>
            <w:tcW w:w="1783" w:type="dxa"/>
          </w:tcPr>
          <w:p w14:paraId="7F02BEA6" w14:textId="507DAADC" w:rsidR="002F048D" w:rsidRPr="00427454" w:rsidRDefault="002F048D" w:rsidP="002F048D">
            <w:pPr>
              <w:pStyle w:val="Tabletext"/>
              <w:cnfStyle w:val="000000100000" w:firstRow="0" w:lastRow="0" w:firstColumn="0" w:lastColumn="0" w:oddVBand="0" w:evenVBand="0" w:oddHBand="1" w:evenHBand="0" w:firstRowFirstColumn="0" w:firstRowLastColumn="0" w:lastRowFirstColumn="0" w:lastRowLastColumn="0"/>
            </w:pPr>
            <w:r>
              <w:t>Data not available by ethnicity, sex, age group</w:t>
            </w:r>
            <w:r w:rsidRPr="00F94764">
              <w:t xml:space="preserve"> </w:t>
            </w:r>
          </w:p>
        </w:tc>
        <w:tc>
          <w:tcPr>
            <w:tcW w:w="1814" w:type="dxa"/>
            <w:noWrap/>
          </w:tcPr>
          <w:p w14:paraId="2758EA2E" w14:textId="77777777" w:rsidR="002F048D" w:rsidRPr="00010279" w:rsidRDefault="002F048D" w:rsidP="002F048D">
            <w:pPr>
              <w:pStyle w:val="Tabletext"/>
              <w:cnfStyle w:val="000000100000" w:firstRow="0" w:lastRow="0" w:firstColumn="0" w:lastColumn="0" w:oddVBand="0" w:evenVBand="0" w:oddHBand="1" w:evenHBand="0" w:firstRowFirstColumn="0" w:firstRowLastColumn="0" w:lastRowFirstColumn="0" w:lastRowLastColumn="0"/>
            </w:pPr>
          </w:p>
        </w:tc>
      </w:tr>
      <w:tr w:rsidR="0011170F" w:rsidRPr="00010279" w14:paraId="0DF2786F" w14:textId="77777777" w:rsidTr="008255B9">
        <w:trPr>
          <w:trHeight w:val="285"/>
        </w:trPr>
        <w:tc>
          <w:tcPr>
            <w:cnfStyle w:val="001000000000" w:firstRow="0" w:lastRow="0" w:firstColumn="1" w:lastColumn="0" w:oddVBand="0" w:evenVBand="0" w:oddHBand="0" w:evenHBand="0" w:firstRowFirstColumn="0" w:firstRowLastColumn="0" w:lastRowFirstColumn="0" w:lastRowLastColumn="0"/>
            <w:tcW w:w="1814" w:type="dxa"/>
            <w:vMerge w:val="restart"/>
            <w:noWrap/>
          </w:tcPr>
          <w:p w14:paraId="7D47C795" w14:textId="77777777" w:rsidR="0011170F" w:rsidRPr="00F27C33" w:rsidRDefault="0011170F">
            <w:pPr>
              <w:pStyle w:val="Tabletext"/>
            </w:pPr>
            <w:r w:rsidRPr="00F27C33">
              <w:rPr>
                <w:b w:val="0"/>
                <w:bCs w:val="0"/>
              </w:rPr>
              <w:t>Social determinants</w:t>
            </w:r>
          </w:p>
        </w:tc>
        <w:tc>
          <w:tcPr>
            <w:tcW w:w="1814" w:type="dxa"/>
            <w:noWrap/>
          </w:tcPr>
          <w:p w14:paraId="45C0A613" w14:textId="5B2F5EC7" w:rsidR="0011170F" w:rsidRPr="0020090E" w:rsidRDefault="00344498">
            <w:pPr>
              <w:pStyle w:val="Tabletext"/>
              <w:cnfStyle w:val="000000000000" w:firstRow="0" w:lastRow="0" w:firstColumn="0" w:lastColumn="0" w:oddVBand="0" w:evenVBand="0" w:oddHBand="0" w:evenHBand="0" w:firstRowFirstColumn="0" w:firstRowLastColumn="0" w:lastRowFirstColumn="0" w:lastRowLastColumn="0"/>
              <w:rPr>
                <w:b/>
                <w:bCs/>
              </w:rPr>
            </w:pPr>
            <w:r w:rsidRPr="0020090E">
              <w:rPr>
                <w:b/>
                <w:bCs/>
                <w:szCs w:val="20"/>
              </w:rPr>
              <w:t>School belonging</w:t>
            </w:r>
          </w:p>
        </w:tc>
        <w:tc>
          <w:tcPr>
            <w:tcW w:w="3176" w:type="dxa"/>
            <w:noWrap/>
          </w:tcPr>
          <w:p w14:paraId="0AB005FD" w14:textId="3880647C" w:rsidR="0011170F" w:rsidRPr="0020090E" w:rsidRDefault="0011170F">
            <w:pPr>
              <w:pStyle w:val="Tabletext"/>
              <w:cnfStyle w:val="000000000000" w:firstRow="0" w:lastRow="0" w:firstColumn="0" w:lastColumn="0" w:oddVBand="0" w:evenVBand="0" w:oddHBand="0" w:evenHBand="0" w:firstRowFirstColumn="0" w:firstRowLastColumn="0" w:lastRowFirstColumn="0" w:lastRowLastColumn="0"/>
              <w:rPr>
                <w:b/>
                <w:bCs/>
                <w:szCs w:val="20"/>
              </w:rPr>
            </w:pPr>
            <w:r w:rsidRPr="0020090E">
              <w:rPr>
                <w:b/>
                <w:bCs/>
                <w:szCs w:val="20"/>
              </w:rPr>
              <w:t xml:space="preserve">Percentage of </w:t>
            </w:r>
            <w:r w:rsidR="00E1309B" w:rsidRPr="00E1309B">
              <w:rPr>
                <w:b/>
                <w:bCs/>
                <w:szCs w:val="20"/>
              </w:rPr>
              <w:t>young people (13-19-year-olds)</w:t>
            </w:r>
            <w:r w:rsidR="00E1309B" w:rsidRPr="00DA7D37">
              <w:rPr>
                <w:szCs w:val="20"/>
              </w:rPr>
              <w:t xml:space="preserve"> </w:t>
            </w:r>
            <w:r w:rsidRPr="0020090E">
              <w:rPr>
                <w:b/>
                <w:bCs/>
                <w:szCs w:val="20"/>
              </w:rPr>
              <w:t>who agree or strongly agree that they feel they belong at their school</w:t>
            </w:r>
          </w:p>
        </w:tc>
        <w:tc>
          <w:tcPr>
            <w:tcW w:w="1983" w:type="dxa"/>
          </w:tcPr>
          <w:p w14:paraId="1DE281A5" w14:textId="77777777" w:rsidR="0011170F" w:rsidRDefault="0011170F">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MSD, Youth Health and Wellbeing Survey</w:t>
            </w:r>
          </w:p>
        </w:tc>
        <w:tc>
          <w:tcPr>
            <w:tcW w:w="1845" w:type="dxa"/>
          </w:tcPr>
          <w:p w14:paraId="15945C67" w14:textId="77777777" w:rsidR="0011170F" w:rsidRPr="00DA7D37" w:rsidRDefault="0011170F">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Data available annually and comparable over time</w:t>
            </w:r>
            <w:r>
              <w:rPr>
                <w:szCs w:val="20"/>
              </w:rPr>
              <w:t>.</w:t>
            </w:r>
          </w:p>
        </w:tc>
        <w:tc>
          <w:tcPr>
            <w:tcW w:w="1783" w:type="dxa"/>
          </w:tcPr>
          <w:p w14:paraId="77A99D80" w14:textId="77777777" w:rsidR="0011170F" w:rsidRPr="00DA7D37" w:rsidRDefault="0011170F">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Data available by ethnicity, sex, age</w:t>
            </w:r>
            <w:r>
              <w:rPr>
                <w:szCs w:val="20"/>
              </w:rPr>
              <w:t xml:space="preserve"> group</w:t>
            </w:r>
            <w:r w:rsidRPr="00DA7D37">
              <w:rPr>
                <w:szCs w:val="20"/>
              </w:rPr>
              <w:t xml:space="preserve"> </w:t>
            </w:r>
          </w:p>
        </w:tc>
        <w:tc>
          <w:tcPr>
            <w:tcW w:w="1814" w:type="dxa"/>
            <w:noWrap/>
          </w:tcPr>
          <w:p w14:paraId="410C3FA5" w14:textId="77777777" w:rsidR="0011170F" w:rsidRPr="00010279" w:rsidRDefault="0011170F">
            <w:pPr>
              <w:pStyle w:val="Tabletext"/>
              <w:cnfStyle w:val="000000000000" w:firstRow="0" w:lastRow="0" w:firstColumn="0" w:lastColumn="0" w:oddVBand="0" w:evenVBand="0" w:oddHBand="0" w:evenHBand="0" w:firstRowFirstColumn="0" w:firstRowLastColumn="0" w:lastRowFirstColumn="0" w:lastRowLastColumn="0"/>
            </w:pPr>
          </w:p>
        </w:tc>
      </w:tr>
      <w:tr w:rsidR="0011170F" w:rsidRPr="00010279" w14:paraId="6343F7C2" w14:textId="77777777" w:rsidTr="008255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14" w:type="dxa"/>
            <w:vMerge/>
            <w:noWrap/>
          </w:tcPr>
          <w:p w14:paraId="2A02E57C" w14:textId="77777777" w:rsidR="0011170F" w:rsidRPr="00F27C33" w:rsidRDefault="0011170F">
            <w:pPr>
              <w:pStyle w:val="Tabletext"/>
            </w:pPr>
          </w:p>
        </w:tc>
        <w:tc>
          <w:tcPr>
            <w:tcW w:w="1814" w:type="dxa"/>
            <w:noWrap/>
          </w:tcPr>
          <w:p w14:paraId="4C2A9180" w14:textId="77777777" w:rsidR="0011170F" w:rsidRPr="00FB1AEE" w:rsidRDefault="0011170F">
            <w:pPr>
              <w:pStyle w:val="Tabletext"/>
              <w:cnfStyle w:val="000000100000" w:firstRow="0" w:lastRow="0" w:firstColumn="0" w:lastColumn="0" w:oddVBand="0" w:evenVBand="0" w:oddHBand="1" w:evenHBand="0" w:firstRowFirstColumn="0" w:firstRowLastColumn="0" w:lastRowFirstColumn="0" w:lastRowLastColumn="0"/>
            </w:pPr>
            <w:r w:rsidRPr="00FB1AEE">
              <w:rPr>
                <w:szCs w:val="20"/>
              </w:rPr>
              <w:t>Education - attendance</w:t>
            </w:r>
          </w:p>
        </w:tc>
        <w:tc>
          <w:tcPr>
            <w:tcW w:w="3176" w:type="dxa"/>
            <w:noWrap/>
          </w:tcPr>
          <w:p w14:paraId="181CB1F8" w14:textId="3791B16E" w:rsidR="0011170F" w:rsidRPr="00963318" w:rsidRDefault="0053631B">
            <w:pPr>
              <w:pStyle w:val="Tabletext"/>
              <w:cnfStyle w:val="000000100000" w:firstRow="0" w:lastRow="0" w:firstColumn="0" w:lastColumn="0" w:oddVBand="0" w:evenVBand="0" w:oddHBand="1" w:evenHBand="0" w:firstRowFirstColumn="0" w:firstRowLastColumn="0" w:lastRowFirstColumn="0" w:lastRowLastColumn="0"/>
              <w:rPr>
                <w:szCs w:val="20"/>
              </w:rPr>
            </w:pPr>
            <w:r>
              <w:rPr>
                <w:szCs w:val="20"/>
              </w:rPr>
              <w:t>P</w:t>
            </w:r>
            <w:r w:rsidR="0011170F">
              <w:rPr>
                <w:szCs w:val="20"/>
              </w:rPr>
              <w:t>ercentage of students who attend regularly (</w:t>
            </w:r>
            <w:r w:rsidR="0011170F" w:rsidRPr="001F6ADB">
              <w:rPr>
                <w:szCs w:val="20"/>
              </w:rPr>
              <w:t>more than 90% of half-days</w:t>
            </w:r>
            <w:r w:rsidR="0011170F">
              <w:rPr>
                <w:szCs w:val="20"/>
              </w:rPr>
              <w:t>)</w:t>
            </w:r>
          </w:p>
        </w:tc>
        <w:tc>
          <w:tcPr>
            <w:tcW w:w="1983" w:type="dxa"/>
          </w:tcPr>
          <w:p w14:paraId="1FE44219" w14:textId="77777777" w:rsidR="0011170F" w:rsidRDefault="0011170F">
            <w:pPr>
              <w:pStyle w:val="Tabletext"/>
              <w:cnfStyle w:val="000000100000" w:firstRow="0" w:lastRow="0" w:firstColumn="0" w:lastColumn="0" w:oddVBand="0" w:evenVBand="0" w:oddHBand="1" w:evenHBand="0" w:firstRowFirstColumn="0" w:firstRowLastColumn="0" w:lastRowFirstColumn="0" w:lastRowLastColumn="0"/>
              <w:rPr>
                <w:szCs w:val="20"/>
              </w:rPr>
            </w:pPr>
            <w:r>
              <w:rPr>
                <w:szCs w:val="20"/>
              </w:rPr>
              <w:t>Ministry of Education</w:t>
            </w:r>
          </w:p>
        </w:tc>
        <w:tc>
          <w:tcPr>
            <w:tcW w:w="1845" w:type="dxa"/>
          </w:tcPr>
          <w:p w14:paraId="12C88C1B" w14:textId="77777777" w:rsidR="0011170F" w:rsidRPr="00DA7D37" w:rsidRDefault="0011170F">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Data available annually and comparable over time</w:t>
            </w:r>
          </w:p>
        </w:tc>
        <w:tc>
          <w:tcPr>
            <w:tcW w:w="1783" w:type="dxa"/>
          </w:tcPr>
          <w:p w14:paraId="32B3A52D" w14:textId="77777777" w:rsidR="0011170F" w:rsidRPr="00DA7D37" w:rsidRDefault="0011170F">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Data available by ethnicity, sex, age</w:t>
            </w:r>
            <w:r>
              <w:rPr>
                <w:szCs w:val="20"/>
              </w:rPr>
              <w:t xml:space="preserve"> group</w:t>
            </w:r>
          </w:p>
        </w:tc>
        <w:tc>
          <w:tcPr>
            <w:tcW w:w="1814" w:type="dxa"/>
            <w:noWrap/>
          </w:tcPr>
          <w:p w14:paraId="30D4801F" w14:textId="77777777" w:rsidR="0011170F" w:rsidRPr="00010279" w:rsidRDefault="0011170F">
            <w:pPr>
              <w:pStyle w:val="Tabletext"/>
              <w:cnfStyle w:val="000000100000" w:firstRow="0" w:lastRow="0" w:firstColumn="0" w:lastColumn="0" w:oddVBand="0" w:evenVBand="0" w:oddHBand="1" w:evenHBand="0" w:firstRowFirstColumn="0" w:firstRowLastColumn="0" w:lastRowFirstColumn="0" w:lastRowLastColumn="0"/>
            </w:pPr>
          </w:p>
        </w:tc>
      </w:tr>
      <w:tr w:rsidR="0011170F" w:rsidRPr="00010279" w14:paraId="3D890B76" w14:textId="77777777" w:rsidTr="008255B9">
        <w:trPr>
          <w:trHeight w:val="285"/>
        </w:trPr>
        <w:tc>
          <w:tcPr>
            <w:cnfStyle w:val="001000000000" w:firstRow="0" w:lastRow="0" w:firstColumn="1" w:lastColumn="0" w:oddVBand="0" w:evenVBand="0" w:oddHBand="0" w:evenHBand="0" w:firstRowFirstColumn="0" w:firstRowLastColumn="0" w:lastRowFirstColumn="0" w:lastRowLastColumn="0"/>
            <w:tcW w:w="1814" w:type="dxa"/>
            <w:vMerge/>
            <w:noWrap/>
          </w:tcPr>
          <w:p w14:paraId="4184A6CB" w14:textId="77777777" w:rsidR="0011170F" w:rsidRPr="00F27C33" w:rsidRDefault="0011170F">
            <w:pPr>
              <w:pStyle w:val="Tabletext"/>
            </w:pPr>
          </w:p>
        </w:tc>
        <w:tc>
          <w:tcPr>
            <w:tcW w:w="1814" w:type="dxa"/>
            <w:noWrap/>
          </w:tcPr>
          <w:p w14:paraId="18FF8101" w14:textId="77777777" w:rsidR="0011170F" w:rsidRPr="0020090E" w:rsidRDefault="0011170F">
            <w:pPr>
              <w:pStyle w:val="Tabletext"/>
              <w:cnfStyle w:val="000000000000" w:firstRow="0" w:lastRow="0" w:firstColumn="0" w:lastColumn="0" w:oddVBand="0" w:evenVBand="0" w:oddHBand="0" w:evenHBand="0" w:firstRowFirstColumn="0" w:firstRowLastColumn="0" w:lastRowFirstColumn="0" w:lastRowLastColumn="0"/>
              <w:rPr>
                <w:b/>
                <w:bCs/>
              </w:rPr>
            </w:pPr>
            <w:r w:rsidRPr="0020090E">
              <w:rPr>
                <w:b/>
                <w:bCs/>
              </w:rPr>
              <w:t>Education - exclusion</w:t>
            </w:r>
          </w:p>
        </w:tc>
        <w:tc>
          <w:tcPr>
            <w:tcW w:w="3176" w:type="dxa"/>
            <w:noWrap/>
          </w:tcPr>
          <w:p w14:paraId="1D04D33D" w14:textId="77777777" w:rsidR="0011170F" w:rsidRPr="0020090E" w:rsidRDefault="0011170F">
            <w:pPr>
              <w:pStyle w:val="Tabletext"/>
              <w:cnfStyle w:val="000000000000" w:firstRow="0" w:lastRow="0" w:firstColumn="0" w:lastColumn="0" w:oddVBand="0" w:evenVBand="0" w:oddHBand="0" w:evenHBand="0" w:firstRowFirstColumn="0" w:firstRowLastColumn="0" w:lastRowFirstColumn="0" w:lastRowLastColumn="0"/>
              <w:rPr>
                <w:b/>
                <w:bCs/>
                <w:szCs w:val="20"/>
              </w:rPr>
            </w:pPr>
            <w:r w:rsidRPr="0020090E">
              <w:rPr>
                <w:b/>
                <w:bCs/>
                <w:szCs w:val="20"/>
              </w:rPr>
              <w:t>Age-standardised rate of student exclusions from New Zealand schools, by ethnic group</w:t>
            </w:r>
          </w:p>
        </w:tc>
        <w:tc>
          <w:tcPr>
            <w:tcW w:w="1983" w:type="dxa"/>
          </w:tcPr>
          <w:p w14:paraId="5D2896C3" w14:textId="77777777" w:rsidR="0011170F" w:rsidRPr="00DA7D37" w:rsidRDefault="0011170F">
            <w:pPr>
              <w:pStyle w:val="Tabletext"/>
              <w:cnfStyle w:val="000000000000" w:firstRow="0" w:lastRow="0" w:firstColumn="0" w:lastColumn="0" w:oddVBand="0" w:evenVBand="0" w:oddHBand="0" w:evenHBand="0" w:firstRowFirstColumn="0" w:firstRowLastColumn="0" w:lastRowFirstColumn="0" w:lastRowLastColumn="0"/>
              <w:rPr>
                <w:szCs w:val="20"/>
              </w:rPr>
            </w:pPr>
            <w:r>
              <w:rPr>
                <w:szCs w:val="20"/>
              </w:rPr>
              <w:t>Ministry of Education</w:t>
            </w:r>
          </w:p>
        </w:tc>
        <w:tc>
          <w:tcPr>
            <w:tcW w:w="1845" w:type="dxa"/>
          </w:tcPr>
          <w:p w14:paraId="792C9B3E" w14:textId="77777777" w:rsidR="0011170F" w:rsidRPr="00DA7D37" w:rsidRDefault="0011170F">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Data available annually and comparable over time</w:t>
            </w:r>
          </w:p>
        </w:tc>
        <w:tc>
          <w:tcPr>
            <w:tcW w:w="1783" w:type="dxa"/>
          </w:tcPr>
          <w:p w14:paraId="3F4C82A6" w14:textId="77777777" w:rsidR="0011170F" w:rsidRPr="00DA7D37" w:rsidRDefault="0011170F">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Data available by ethnicity, sex, age</w:t>
            </w:r>
            <w:r>
              <w:rPr>
                <w:szCs w:val="20"/>
              </w:rPr>
              <w:t xml:space="preserve"> group</w:t>
            </w:r>
          </w:p>
        </w:tc>
        <w:tc>
          <w:tcPr>
            <w:tcW w:w="1814" w:type="dxa"/>
            <w:noWrap/>
          </w:tcPr>
          <w:p w14:paraId="753CEE26" w14:textId="77777777" w:rsidR="0011170F" w:rsidRPr="00010279" w:rsidRDefault="0011170F">
            <w:pPr>
              <w:pStyle w:val="Tabletext"/>
              <w:cnfStyle w:val="000000000000" w:firstRow="0" w:lastRow="0" w:firstColumn="0" w:lastColumn="0" w:oddVBand="0" w:evenVBand="0" w:oddHBand="0" w:evenHBand="0" w:firstRowFirstColumn="0" w:firstRowLastColumn="0" w:lastRowFirstColumn="0" w:lastRowLastColumn="0"/>
            </w:pPr>
          </w:p>
        </w:tc>
      </w:tr>
      <w:tr w:rsidR="0011170F" w:rsidRPr="00010279" w14:paraId="559DF68E" w14:textId="77777777" w:rsidTr="008255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14" w:type="dxa"/>
            <w:vMerge/>
            <w:noWrap/>
          </w:tcPr>
          <w:p w14:paraId="4D8977D2" w14:textId="77777777" w:rsidR="0011170F" w:rsidRPr="00F27C33" w:rsidRDefault="0011170F">
            <w:pPr>
              <w:pStyle w:val="Tabletext"/>
              <w:rPr>
                <w:b w:val="0"/>
                <w:bCs w:val="0"/>
              </w:rPr>
            </w:pPr>
          </w:p>
        </w:tc>
        <w:tc>
          <w:tcPr>
            <w:tcW w:w="1814" w:type="dxa"/>
            <w:noWrap/>
          </w:tcPr>
          <w:p w14:paraId="2DC697D8" w14:textId="77777777" w:rsidR="0011170F" w:rsidRPr="00FB1AEE" w:rsidRDefault="0011170F">
            <w:pPr>
              <w:pStyle w:val="Tabletext"/>
              <w:cnfStyle w:val="000000100000" w:firstRow="0" w:lastRow="0" w:firstColumn="0" w:lastColumn="0" w:oddVBand="0" w:evenVBand="0" w:oddHBand="1" w:evenHBand="0" w:firstRowFirstColumn="0" w:firstRowLastColumn="0" w:lastRowFirstColumn="0" w:lastRowLastColumn="0"/>
            </w:pPr>
            <w:r w:rsidRPr="00FB1AEE">
              <w:rPr>
                <w:szCs w:val="20"/>
              </w:rPr>
              <w:t>Education – early leaving</w:t>
            </w:r>
          </w:p>
        </w:tc>
        <w:tc>
          <w:tcPr>
            <w:tcW w:w="3176" w:type="dxa"/>
            <w:noWrap/>
          </w:tcPr>
          <w:p w14:paraId="36BC0A2B" w14:textId="77777777" w:rsidR="0011170F" w:rsidRPr="00DA7D37" w:rsidRDefault="0011170F">
            <w:pPr>
              <w:pStyle w:val="Tabletext"/>
              <w:cnfStyle w:val="000000100000" w:firstRow="0" w:lastRow="0" w:firstColumn="0" w:lastColumn="0" w:oddVBand="0" w:evenVBand="0" w:oddHBand="1" w:evenHBand="0" w:firstRowFirstColumn="0" w:firstRowLastColumn="0" w:lastRowFirstColumn="0" w:lastRowLastColumn="0"/>
              <w:rPr>
                <w:szCs w:val="20"/>
              </w:rPr>
            </w:pPr>
            <w:r>
              <w:rPr>
                <w:szCs w:val="20"/>
              </w:rPr>
              <w:t>Percentage</w:t>
            </w:r>
            <w:r w:rsidRPr="00CA4706">
              <w:rPr>
                <w:szCs w:val="20"/>
              </w:rPr>
              <w:t xml:space="preserve"> of 15-year-old students enrolled in school who have an early leaving exemption approved</w:t>
            </w:r>
            <w:r>
              <w:rPr>
                <w:szCs w:val="20"/>
              </w:rPr>
              <w:t xml:space="preserve"> </w:t>
            </w:r>
          </w:p>
        </w:tc>
        <w:tc>
          <w:tcPr>
            <w:tcW w:w="1983" w:type="dxa"/>
          </w:tcPr>
          <w:p w14:paraId="66DEDF26" w14:textId="77777777" w:rsidR="0011170F" w:rsidRPr="00DA7D37" w:rsidRDefault="0011170F">
            <w:pPr>
              <w:pStyle w:val="Tabletext"/>
              <w:cnfStyle w:val="000000100000" w:firstRow="0" w:lastRow="0" w:firstColumn="0" w:lastColumn="0" w:oddVBand="0" w:evenVBand="0" w:oddHBand="1" w:evenHBand="0" w:firstRowFirstColumn="0" w:firstRowLastColumn="0" w:lastRowFirstColumn="0" w:lastRowLastColumn="0"/>
              <w:rPr>
                <w:szCs w:val="20"/>
              </w:rPr>
            </w:pPr>
            <w:r>
              <w:rPr>
                <w:szCs w:val="20"/>
              </w:rPr>
              <w:t>Ministry of Education</w:t>
            </w:r>
          </w:p>
        </w:tc>
        <w:tc>
          <w:tcPr>
            <w:tcW w:w="1845" w:type="dxa"/>
          </w:tcPr>
          <w:p w14:paraId="0F23923E" w14:textId="77777777" w:rsidR="0011170F" w:rsidRPr="00DA7D37" w:rsidRDefault="0011170F">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Data available annually and comparable over time</w:t>
            </w:r>
          </w:p>
        </w:tc>
        <w:tc>
          <w:tcPr>
            <w:tcW w:w="1783" w:type="dxa"/>
          </w:tcPr>
          <w:p w14:paraId="62AE1B67" w14:textId="77777777" w:rsidR="0011170F" w:rsidRPr="00DA7D37" w:rsidRDefault="0011170F">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Data available by ethnicity, sex, age</w:t>
            </w:r>
            <w:r>
              <w:rPr>
                <w:szCs w:val="20"/>
              </w:rPr>
              <w:t xml:space="preserve"> group</w:t>
            </w:r>
          </w:p>
        </w:tc>
        <w:tc>
          <w:tcPr>
            <w:tcW w:w="1814" w:type="dxa"/>
            <w:noWrap/>
          </w:tcPr>
          <w:p w14:paraId="4C5E382D" w14:textId="77777777" w:rsidR="0011170F" w:rsidRPr="00010279" w:rsidRDefault="0011170F">
            <w:pPr>
              <w:pStyle w:val="Tabletext"/>
              <w:cnfStyle w:val="000000100000" w:firstRow="0" w:lastRow="0" w:firstColumn="0" w:lastColumn="0" w:oddVBand="0" w:evenVBand="0" w:oddHBand="1" w:evenHBand="0" w:firstRowFirstColumn="0" w:firstRowLastColumn="0" w:lastRowFirstColumn="0" w:lastRowLastColumn="0"/>
            </w:pPr>
          </w:p>
        </w:tc>
      </w:tr>
      <w:tr w:rsidR="0011170F" w:rsidRPr="00010279" w14:paraId="708F9F6D" w14:textId="77777777" w:rsidTr="008255B9">
        <w:trPr>
          <w:trHeight w:val="285"/>
        </w:trPr>
        <w:tc>
          <w:tcPr>
            <w:cnfStyle w:val="001000000000" w:firstRow="0" w:lastRow="0" w:firstColumn="1" w:lastColumn="0" w:oddVBand="0" w:evenVBand="0" w:oddHBand="0" w:evenHBand="0" w:firstRowFirstColumn="0" w:firstRowLastColumn="0" w:lastRowFirstColumn="0" w:lastRowLastColumn="0"/>
            <w:tcW w:w="1814" w:type="dxa"/>
            <w:vMerge/>
            <w:noWrap/>
          </w:tcPr>
          <w:p w14:paraId="2808881E" w14:textId="77777777" w:rsidR="0011170F" w:rsidRPr="00F27C33" w:rsidRDefault="0011170F">
            <w:pPr>
              <w:pStyle w:val="Tabletext"/>
              <w:rPr>
                <w:b w:val="0"/>
                <w:bCs w:val="0"/>
              </w:rPr>
            </w:pPr>
          </w:p>
        </w:tc>
        <w:tc>
          <w:tcPr>
            <w:tcW w:w="1814" w:type="dxa"/>
            <w:noWrap/>
          </w:tcPr>
          <w:p w14:paraId="6A5ABB44" w14:textId="77777777" w:rsidR="0011170F" w:rsidRPr="00F27C33" w:rsidRDefault="0011170F">
            <w:pPr>
              <w:pStyle w:val="Tabletext"/>
              <w:cnfStyle w:val="000000000000" w:firstRow="0" w:lastRow="0" w:firstColumn="0" w:lastColumn="0" w:oddVBand="0" w:evenVBand="0" w:oddHBand="0" w:evenHBand="0" w:firstRowFirstColumn="0" w:firstRowLastColumn="0" w:lastRowFirstColumn="0" w:lastRowLastColumn="0"/>
            </w:pPr>
            <w:r>
              <w:t>Education - NEET</w:t>
            </w:r>
          </w:p>
        </w:tc>
        <w:tc>
          <w:tcPr>
            <w:tcW w:w="3176" w:type="dxa"/>
            <w:noWrap/>
            <w:hideMark/>
          </w:tcPr>
          <w:p w14:paraId="35CF0DC6" w14:textId="77777777" w:rsidR="0011170F" w:rsidRPr="00AC4EDB" w:rsidRDefault="0011170F">
            <w:pPr>
              <w:pStyle w:val="Tabletext"/>
              <w:cnfStyle w:val="000000000000" w:firstRow="0" w:lastRow="0" w:firstColumn="0" w:lastColumn="0" w:oddVBand="0" w:evenVBand="0" w:oddHBand="0" w:evenHBand="0" w:firstRowFirstColumn="0" w:firstRowLastColumn="0" w:lastRowFirstColumn="0" w:lastRowLastColumn="0"/>
            </w:pPr>
            <w:r w:rsidRPr="00DA7D37">
              <w:rPr>
                <w:szCs w:val="20"/>
              </w:rPr>
              <w:t>Percentage of youth (15-19 years) not in education, training, or employment</w:t>
            </w:r>
          </w:p>
        </w:tc>
        <w:tc>
          <w:tcPr>
            <w:tcW w:w="1983" w:type="dxa"/>
          </w:tcPr>
          <w:p w14:paraId="63503840" w14:textId="77777777" w:rsidR="0011170F" w:rsidRPr="00010279" w:rsidRDefault="0011170F">
            <w:pPr>
              <w:pStyle w:val="Tabletext"/>
              <w:cnfStyle w:val="000000000000" w:firstRow="0" w:lastRow="0" w:firstColumn="0" w:lastColumn="0" w:oddVBand="0" w:evenVBand="0" w:oddHBand="0" w:evenHBand="0" w:firstRowFirstColumn="0" w:firstRowLastColumn="0" w:lastRowFirstColumn="0" w:lastRowLastColumn="0"/>
            </w:pPr>
            <w:r w:rsidRPr="00DA7D37">
              <w:rPr>
                <w:szCs w:val="20"/>
              </w:rPr>
              <w:t>Ministry of Education</w:t>
            </w:r>
          </w:p>
        </w:tc>
        <w:tc>
          <w:tcPr>
            <w:tcW w:w="1845" w:type="dxa"/>
          </w:tcPr>
          <w:p w14:paraId="178AC87E" w14:textId="77777777" w:rsidR="0011170F" w:rsidRPr="00010279" w:rsidRDefault="0011170F">
            <w:pPr>
              <w:pStyle w:val="Tabletext"/>
              <w:cnfStyle w:val="000000000000" w:firstRow="0" w:lastRow="0" w:firstColumn="0" w:lastColumn="0" w:oddVBand="0" w:evenVBand="0" w:oddHBand="0" w:evenHBand="0" w:firstRowFirstColumn="0" w:firstRowLastColumn="0" w:lastRowFirstColumn="0" w:lastRowLastColumn="0"/>
            </w:pPr>
            <w:r w:rsidRPr="00DA7D37">
              <w:rPr>
                <w:szCs w:val="20"/>
              </w:rPr>
              <w:t>Data available annually and comparable over time</w:t>
            </w:r>
          </w:p>
        </w:tc>
        <w:tc>
          <w:tcPr>
            <w:tcW w:w="1783" w:type="dxa"/>
          </w:tcPr>
          <w:p w14:paraId="423A4A10" w14:textId="77777777" w:rsidR="0011170F" w:rsidRPr="00010279" w:rsidRDefault="0011170F">
            <w:pPr>
              <w:pStyle w:val="Tabletext"/>
              <w:cnfStyle w:val="000000000000" w:firstRow="0" w:lastRow="0" w:firstColumn="0" w:lastColumn="0" w:oddVBand="0" w:evenVBand="0" w:oddHBand="0" w:evenHBand="0" w:firstRowFirstColumn="0" w:firstRowLastColumn="0" w:lastRowFirstColumn="0" w:lastRowLastColumn="0"/>
            </w:pPr>
            <w:r w:rsidRPr="00DA7D37">
              <w:rPr>
                <w:szCs w:val="20"/>
              </w:rPr>
              <w:t>Data available by ethnicity, sex, age</w:t>
            </w:r>
            <w:r>
              <w:rPr>
                <w:szCs w:val="20"/>
              </w:rPr>
              <w:t xml:space="preserve"> group</w:t>
            </w:r>
            <w:r w:rsidRPr="00DA7D37">
              <w:rPr>
                <w:szCs w:val="20"/>
              </w:rPr>
              <w:t xml:space="preserve"> </w:t>
            </w:r>
          </w:p>
        </w:tc>
        <w:tc>
          <w:tcPr>
            <w:tcW w:w="1814" w:type="dxa"/>
            <w:noWrap/>
          </w:tcPr>
          <w:p w14:paraId="51381BCE" w14:textId="77777777" w:rsidR="0011170F" w:rsidRPr="00010279" w:rsidRDefault="0011170F">
            <w:pPr>
              <w:pStyle w:val="Tabletext"/>
              <w:cnfStyle w:val="000000000000" w:firstRow="0" w:lastRow="0" w:firstColumn="0" w:lastColumn="0" w:oddVBand="0" w:evenVBand="0" w:oddHBand="0" w:evenHBand="0" w:firstRowFirstColumn="0" w:firstRowLastColumn="0" w:lastRowFirstColumn="0" w:lastRowLastColumn="0"/>
            </w:pPr>
          </w:p>
        </w:tc>
      </w:tr>
      <w:tr w:rsidR="0011170F" w:rsidRPr="00010279" w14:paraId="1B5AF0FA" w14:textId="77777777" w:rsidTr="008255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14" w:type="dxa"/>
            <w:vMerge/>
            <w:noWrap/>
          </w:tcPr>
          <w:p w14:paraId="2A2D2BC7" w14:textId="77777777" w:rsidR="0011170F" w:rsidRPr="00F27C33" w:rsidRDefault="0011170F">
            <w:pPr>
              <w:pStyle w:val="Tabletext"/>
              <w:rPr>
                <w:b w:val="0"/>
                <w:bCs w:val="0"/>
              </w:rPr>
            </w:pPr>
          </w:p>
        </w:tc>
        <w:tc>
          <w:tcPr>
            <w:tcW w:w="1814" w:type="dxa"/>
            <w:noWrap/>
          </w:tcPr>
          <w:p w14:paraId="21F5448A" w14:textId="77777777" w:rsidR="0011170F" w:rsidRPr="0020090E" w:rsidRDefault="0011170F">
            <w:pPr>
              <w:pStyle w:val="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0"/>
              </w:rPr>
            </w:pPr>
            <w:r w:rsidRPr="0020090E">
              <w:rPr>
                <w:b/>
                <w:bCs/>
                <w:szCs w:val="20"/>
              </w:rPr>
              <w:t>Bullying victimisation</w:t>
            </w:r>
          </w:p>
        </w:tc>
        <w:tc>
          <w:tcPr>
            <w:tcW w:w="3176" w:type="dxa"/>
            <w:noWrap/>
          </w:tcPr>
          <w:p w14:paraId="59533467" w14:textId="5F3D766A" w:rsidR="0011170F" w:rsidRPr="0020090E" w:rsidRDefault="0011170F">
            <w:pPr>
              <w:pStyle w:val="Tabletext"/>
              <w:cnfStyle w:val="000000100000" w:firstRow="0" w:lastRow="0" w:firstColumn="0" w:lastColumn="0" w:oddVBand="0" w:evenVBand="0" w:oddHBand="1" w:evenHBand="0" w:firstRowFirstColumn="0" w:firstRowLastColumn="0" w:lastRowFirstColumn="0" w:lastRowLastColumn="0"/>
              <w:rPr>
                <w:b/>
                <w:bCs/>
                <w:szCs w:val="20"/>
              </w:rPr>
            </w:pPr>
            <w:r w:rsidRPr="0020090E">
              <w:rPr>
                <w:b/>
                <w:bCs/>
                <w:szCs w:val="20"/>
              </w:rPr>
              <w:t xml:space="preserve">Percentage of </w:t>
            </w:r>
            <w:r w:rsidR="00E1309B" w:rsidRPr="00E1309B">
              <w:rPr>
                <w:b/>
                <w:bCs/>
                <w:szCs w:val="20"/>
              </w:rPr>
              <w:t xml:space="preserve">young people (13-19-year-olds) </w:t>
            </w:r>
            <w:r w:rsidRPr="0020090E">
              <w:rPr>
                <w:b/>
                <w:bCs/>
                <w:szCs w:val="20"/>
              </w:rPr>
              <w:t>bullied in the last 30 days</w:t>
            </w:r>
          </w:p>
        </w:tc>
        <w:tc>
          <w:tcPr>
            <w:tcW w:w="1983" w:type="dxa"/>
          </w:tcPr>
          <w:p w14:paraId="680E3E30" w14:textId="77777777" w:rsidR="0011170F" w:rsidRPr="00DA7D37" w:rsidRDefault="0011170F">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MSD, Youth Health and Wellbeing Survey</w:t>
            </w:r>
          </w:p>
        </w:tc>
        <w:tc>
          <w:tcPr>
            <w:tcW w:w="1845" w:type="dxa"/>
          </w:tcPr>
          <w:p w14:paraId="0574B16D" w14:textId="77777777" w:rsidR="0011170F" w:rsidRPr="00DA7D37" w:rsidRDefault="0011170F">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Data available annually and comparable over time</w:t>
            </w:r>
          </w:p>
        </w:tc>
        <w:tc>
          <w:tcPr>
            <w:tcW w:w="1783" w:type="dxa"/>
          </w:tcPr>
          <w:p w14:paraId="68C74AFB" w14:textId="77777777" w:rsidR="0011170F" w:rsidRPr="00DA7D37" w:rsidRDefault="0011170F">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Data available by ethnicity, sex, age</w:t>
            </w:r>
            <w:r>
              <w:rPr>
                <w:szCs w:val="20"/>
              </w:rPr>
              <w:t xml:space="preserve"> group</w:t>
            </w:r>
            <w:r w:rsidRPr="00DA7D37">
              <w:rPr>
                <w:szCs w:val="20"/>
              </w:rPr>
              <w:t xml:space="preserve"> </w:t>
            </w:r>
          </w:p>
        </w:tc>
        <w:tc>
          <w:tcPr>
            <w:tcW w:w="1814" w:type="dxa"/>
            <w:noWrap/>
          </w:tcPr>
          <w:p w14:paraId="40947BB7" w14:textId="77777777" w:rsidR="0011170F" w:rsidRPr="00010279" w:rsidRDefault="0011170F">
            <w:pPr>
              <w:pStyle w:val="Tabletext"/>
              <w:cnfStyle w:val="000000100000" w:firstRow="0" w:lastRow="0" w:firstColumn="0" w:lastColumn="0" w:oddVBand="0" w:evenVBand="0" w:oddHBand="1" w:evenHBand="0" w:firstRowFirstColumn="0" w:firstRowLastColumn="0" w:lastRowFirstColumn="0" w:lastRowLastColumn="0"/>
            </w:pPr>
          </w:p>
        </w:tc>
      </w:tr>
      <w:tr w:rsidR="0011170F" w:rsidRPr="00010279" w14:paraId="13B22CB9" w14:textId="77777777" w:rsidTr="008255B9">
        <w:trPr>
          <w:trHeight w:val="285"/>
        </w:trPr>
        <w:tc>
          <w:tcPr>
            <w:cnfStyle w:val="001000000000" w:firstRow="0" w:lastRow="0" w:firstColumn="1" w:lastColumn="0" w:oddVBand="0" w:evenVBand="0" w:oddHBand="0" w:evenHBand="0" w:firstRowFirstColumn="0" w:firstRowLastColumn="0" w:lastRowFirstColumn="0" w:lastRowLastColumn="0"/>
            <w:tcW w:w="1814" w:type="dxa"/>
            <w:vMerge/>
            <w:noWrap/>
            <w:hideMark/>
          </w:tcPr>
          <w:p w14:paraId="0ADB63F7" w14:textId="77777777" w:rsidR="0011170F" w:rsidRPr="00F27C33" w:rsidRDefault="0011170F">
            <w:pPr>
              <w:pStyle w:val="Tabletext"/>
              <w:rPr>
                <w:b w:val="0"/>
                <w:bCs w:val="0"/>
              </w:rPr>
            </w:pPr>
          </w:p>
        </w:tc>
        <w:tc>
          <w:tcPr>
            <w:tcW w:w="1814" w:type="dxa"/>
            <w:noWrap/>
            <w:hideMark/>
          </w:tcPr>
          <w:p w14:paraId="1D96B69A" w14:textId="77777777" w:rsidR="0011170F" w:rsidRPr="00F27C33" w:rsidRDefault="0011170F">
            <w:pPr>
              <w:pStyle w:val="Tabletext"/>
              <w:cnfStyle w:val="000000000000" w:firstRow="0" w:lastRow="0" w:firstColumn="0" w:lastColumn="0" w:oddVBand="0" w:evenVBand="0" w:oddHBand="0" w:evenHBand="0" w:firstRowFirstColumn="0" w:firstRowLastColumn="0" w:lastRowFirstColumn="0" w:lastRowLastColumn="0"/>
            </w:pPr>
            <w:r w:rsidRPr="00F27C33">
              <w:t>Unemployment</w:t>
            </w:r>
            <w:r>
              <w:t xml:space="preserve"> </w:t>
            </w:r>
          </w:p>
        </w:tc>
        <w:tc>
          <w:tcPr>
            <w:tcW w:w="3176" w:type="dxa"/>
            <w:noWrap/>
            <w:hideMark/>
          </w:tcPr>
          <w:p w14:paraId="39E7EA71" w14:textId="77777777" w:rsidR="0011170F" w:rsidRPr="00AC4EDB" w:rsidRDefault="0011170F">
            <w:pPr>
              <w:pStyle w:val="Tabletext"/>
              <w:cnfStyle w:val="000000000000" w:firstRow="0" w:lastRow="0" w:firstColumn="0" w:lastColumn="0" w:oddVBand="0" w:evenVBand="0" w:oddHBand="0" w:evenHBand="0" w:firstRowFirstColumn="0" w:firstRowLastColumn="0" w:lastRowFirstColumn="0" w:lastRowLastColumn="0"/>
            </w:pPr>
            <w:r w:rsidRPr="00DA7D37">
              <w:rPr>
                <w:szCs w:val="20"/>
              </w:rPr>
              <w:t>Rate of unemployment</w:t>
            </w:r>
          </w:p>
        </w:tc>
        <w:tc>
          <w:tcPr>
            <w:tcW w:w="1983" w:type="dxa"/>
          </w:tcPr>
          <w:p w14:paraId="1119C93F" w14:textId="77777777" w:rsidR="0011170F" w:rsidRPr="00010279" w:rsidRDefault="0011170F">
            <w:pPr>
              <w:pStyle w:val="Tabletext"/>
              <w:cnfStyle w:val="000000000000" w:firstRow="0" w:lastRow="0" w:firstColumn="0" w:lastColumn="0" w:oddVBand="0" w:evenVBand="0" w:oddHBand="0" w:evenHBand="0" w:firstRowFirstColumn="0" w:firstRowLastColumn="0" w:lastRowFirstColumn="0" w:lastRowLastColumn="0"/>
            </w:pPr>
            <w:r w:rsidRPr="00DA7D37">
              <w:rPr>
                <w:szCs w:val="20"/>
              </w:rPr>
              <w:t>Stats NZ, Household Labour Force Survey</w:t>
            </w:r>
          </w:p>
        </w:tc>
        <w:tc>
          <w:tcPr>
            <w:tcW w:w="1845" w:type="dxa"/>
          </w:tcPr>
          <w:p w14:paraId="254A2159" w14:textId="77777777" w:rsidR="0011170F" w:rsidRPr="00010279" w:rsidRDefault="0011170F">
            <w:pPr>
              <w:pStyle w:val="Tabletext"/>
              <w:cnfStyle w:val="000000000000" w:firstRow="0" w:lastRow="0" w:firstColumn="0" w:lastColumn="0" w:oddVBand="0" w:evenVBand="0" w:oddHBand="0" w:evenHBand="0" w:firstRowFirstColumn="0" w:firstRowLastColumn="0" w:lastRowFirstColumn="0" w:lastRowLastColumn="0"/>
            </w:pPr>
            <w:r w:rsidRPr="00DA7D37">
              <w:rPr>
                <w:szCs w:val="20"/>
              </w:rPr>
              <w:t xml:space="preserve">Data available </w:t>
            </w:r>
            <w:r>
              <w:rPr>
                <w:szCs w:val="20"/>
              </w:rPr>
              <w:t>quarterly</w:t>
            </w:r>
            <w:r w:rsidRPr="00DA7D37">
              <w:rPr>
                <w:szCs w:val="20"/>
              </w:rPr>
              <w:t xml:space="preserve"> and comparable over time</w:t>
            </w:r>
          </w:p>
        </w:tc>
        <w:tc>
          <w:tcPr>
            <w:tcW w:w="1783" w:type="dxa"/>
          </w:tcPr>
          <w:p w14:paraId="27EE144C" w14:textId="77777777" w:rsidR="0011170F" w:rsidRPr="00010279" w:rsidRDefault="0011170F">
            <w:pPr>
              <w:pStyle w:val="Tabletext"/>
              <w:cnfStyle w:val="000000000000" w:firstRow="0" w:lastRow="0" w:firstColumn="0" w:lastColumn="0" w:oddVBand="0" w:evenVBand="0" w:oddHBand="0" w:evenHBand="0" w:firstRowFirstColumn="0" w:firstRowLastColumn="0" w:lastRowFirstColumn="0" w:lastRowLastColumn="0"/>
            </w:pPr>
            <w:r w:rsidRPr="00DA7D37">
              <w:rPr>
                <w:szCs w:val="20"/>
              </w:rPr>
              <w:t>Data available by ethnicity, sex, age group</w:t>
            </w:r>
          </w:p>
        </w:tc>
        <w:tc>
          <w:tcPr>
            <w:tcW w:w="1814" w:type="dxa"/>
            <w:noWrap/>
            <w:hideMark/>
          </w:tcPr>
          <w:p w14:paraId="738D6D97" w14:textId="77777777" w:rsidR="0011170F" w:rsidRPr="00010279" w:rsidRDefault="0011170F">
            <w:pPr>
              <w:pStyle w:val="Tabletext"/>
              <w:cnfStyle w:val="000000000000" w:firstRow="0" w:lastRow="0" w:firstColumn="0" w:lastColumn="0" w:oddVBand="0" w:evenVBand="0" w:oddHBand="0" w:evenHBand="0" w:firstRowFirstColumn="0" w:firstRowLastColumn="0" w:lastRowFirstColumn="0" w:lastRowLastColumn="0"/>
            </w:pPr>
          </w:p>
        </w:tc>
      </w:tr>
      <w:tr w:rsidR="006D75DD" w:rsidRPr="00010279" w14:paraId="55C2B57F" w14:textId="77777777" w:rsidTr="008255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14" w:type="dxa"/>
            <w:vMerge/>
            <w:noWrap/>
          </w:tcPr>
          <w:p w14:paraId="356A7A38" w14:textId="77777777" w:rsidR="006D75DD" w:rsidRPr="00F27C33" w:rsidRDefault="006D75DD">
            <w:pPr>
              <w:pStyle w:val="Tabletext"/>
              <w:rPr>
                <w:b w:val="0"/>
                <w:bCs w:val="0"/>
              </w:rPr>
            </w:pPr>
          </w:p>
        </w:tc>
        <w:tc>
          <w:tcPr>
            <w:tcW w:w="1814" w:type="dxa"/>
            <w:vMerge w:val="restart"/>
            <w:noWrap/>
          </w:tcPr>
          <w:p w14:paraId="50DF74FC" w14:textId="77777777" w:rsidR="006D75DD" w:rsidRPr="00C10ACD" w:rsidRDefault="006D75DD">
            <w:pPr>
              <w:pStyle w:val="Tabletext"/>
              <w:cnfStyle w:val="000000100000" w:firstRow="0" w:lastRow="0" w:firstColumn="0" w:lastColumn="0" w:oddVBand="0" w:evenVBand="0" w:oddHBand="1" w:evenHBand="0" w:firstRowFirstColumn="0" w:firstRowLastColumn="0" w:lastRowFirstColumn="0" w:lastRowLastColumn="0"/>
              <w:rPr>
                <w:b/>
                <w:bCs/>
              </w:rPr>
            </w:pPr>
            <w:r w:rsidRPr="00C10ACD">
              <w:rPr>
                <w:b/>
                <w:bCs/>
              </w:rPr>
              <w:t>Discrimination</w:t>
            </w:r>
          </w:p>
        </w:tc>
        <w:tc>
          <w:tcPr>
            <w:tcW w:w="3176" w:type="dxa"/>
            <w:vMerge w:val="restart"/>
            <w:noWrap/>
          </w:tcPr>
          <w:p w14:paraId="2797BBB1" w14:textId="637BCCFF" w:rsidR="006D75DD" w:rsidRPr="00C10ACD" w:rsidRDefault="006D75DD">
            <w:pPr>
              <w:pStyle w:val="Tabletext"/>
              <w:cnfStyle w:val="000000100000" w:firstRow="0" w:lastRow="0" w:firstColumn="0" w:lastColumn="0" w:oddVBand="0" w:evenVBand="0" w:oddHBand="1" w:evenHBand="0" w:firstRowFirstColumn="0" w:firstRowLastColumn="0" w:lastRowFirstColumn="0" w:lastRowLastColumn="0"/>
              <w:rPr>
                <w:b/>
                <w:bCs/>
                <w:szCs w:val="20"/>
              </w:rPr>
            </w:pPr>
            <w:r w:rsidRPr="00C10ACD">
              <w:rPr>
                <w:b/>
                <w:bCs/>
                <w:szCs w:val="20"/>
              </w:rPr>
              <w:t>Percentage of people who report experiencing discrimination in the last year</w:t>
            </w:r>
          </w:p>
        </w:tc>
        <w:tc>
          <w:tcPr>
            <w:tcW w:w="1983" w:type="dxa"/>
          </w:tcPr>
          <w:p w14:paraId="70B70AE9" w14:textId="72712C94" w:rsidR="006D75DD" w:rsidRPr="00C10ACD" w:rsidRDefault="006D75DD" w:rsidP="009D1612">
            <w:pPr>
              <w:pStyle w:val="Tabletext"/>
              <w:spacing w:after="120"/>
              <w:cnfStyle w:val="000000100000" w:firstRow="0" w:lastRow="0" w:firstColumn="0" w:lastColumn="0" w:oddVBand="0" w:evenVBand="0" w:oddHBand="1" w:evenHBand="0" w:firstRowFirstColumn="0" w:firstRowLastColumn="0" w:lastRowFirstColumn="0" w:lastRowLastColumn="0"/>
              <w:rPr>
                <w:b/>
                <w:bCs/>
                <w:szCs w:val="20"/>
              </w:rPr>
            </w:pPr>
            <w:r w:rsidRPr="00C10ACD">
              <w:rPr>
                <w:b/>
                <w:bCs/>
                <w:szCs w:val="20"/>
              </w:rPr>
              <w:t>For young people, MSD’s Youth Health and Wellbeing Survey</w:t>
            </w:r>
          </w:p>
        </w:tc>
        <w:tc>
          <w:tcPr>
            <w:tcW w:w="1845" w:type="dxa"/>
          </w:tcPr>
          <w:p w14:paraId="392A8B20" w14:textId="77777777" w:rsidR="006D75DD" w:rsidRPr="00DA7D37" w:rsidRDefault="006D75DD">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 xml:space="preserve">Data available </w:t>
            </w:r>
            <w:r>
              <w:rPr>
                <w:szCs w:val="20"/>
              </w:rPr>
              <w:t>three-yearly</w:t>
            </w:r>
            <w:r w:rsidRPr="00DA7D37">
              <w:rPr>
                <w:szCs w:val="20"/>
              </w:rPr>
              <w:t xml:space="preserve"> and comparable over time</w:t>
            </w:r>
          </w:p>
        </w:tc>
        <w:tc>
          <w:tcPr>
            <w:tcW w:w="1783" w:type="dxa"/>
          </w:tcPr>
          <w:p w14:paraId="30282C8F" w14:textId="77777777" w:rsidR="006D75DD" w:rsidRPr="00DA7D37" w:rsidRDefault="006D75DD">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Data available by ethnicity, sex, age group</w:t>
            </w:r>
          </w:p>
        </w:tc>
        <w:tc>
          <w:tcPr>
            <w:tcW w:w="1814" w:type="dxa"/>
            <w:noWrap/>
          </w:tcPr>
          <w:p w14:paraId="10422CF0" w14:textId="77777777" w:rsidR="006D75DD" w:rsidRPr="00010279" w:rsidRDefault="006D75DD">
            <w:pPr>
              <w:pStyle w:val="Tabletext"/>
              <w:cnfStyle w:val="000000100000" w:firstRow="0" w:lastRow="0" w:firstColumn="0" w:lastColumn="0" w:oddVBand="0" w:evenVBand="0" w:oddHBand="1" w:evenHBand="0" w:firstRowFirstColumn="0" w:firstRowLastColumn="0" w:lastRowFirstColumn="0" w:lastRowLastColumn="0"/>
            </w:pPr>
            <w:r>
              <w:t>He Ara Oranga</w:t>
            </w:r>
          </w:p>
        </w:tc>
      </w:tr>
      <w:tr w:rsidR="006D75DD" w14:paraId="7C551195" w14:textId="77777777" w:rsidTr="008255B9">
        <w:trPr>
          <w:trHeight w:val="285"/>
        </w:trPr>
        <w:tc>
          <w:tcPr>
            <w:cnfStyle w:val="001000000000" w:firstRow="0" w:lastRow="0" w:firstColumn="1" w:lastColumn="0" w:oddVBand="0" w:evenVBand="0" w:oddHBand="0" w:evenHBand="0" w:firstRowFirstColumn="0" w:firstRowLastColumn="0" w:lastRowFirstColumn="0" w:lastRowLastColumn="0"/>
            <w:tcW w:w="1814" w:type="dxa"/>
            <w:vMerge/>
            <w:noWrap/>
          </w:tcPr>
          <w:p w14:paraId="29B9BFD3" w14:textId="77777777" w:rsidR="006D75DD" w:rsidRPr="00F27C33" w:rsidRDefault="006D75DD">
            <w:pPr>
              <w:pStyle w:val="Tabletext"/>
              <w:rPr>
                <w:b w:val="0"/>
                <w:bCs w:val="0"/>
              </w:rPr>
            </w:pPr>
          </w:p>
        </w:tc>
        <w:tc>
          <w:tcPr>
            <w:tcW w:w="1814" w:type="dxa"/>
            <w:vMerge/>
            <w:noWrap/>
          </w:tcPr>
          <w:p w14:paraId="5600D0B3" w14:textId="77777777" w:rsidR="006D75DD" w:rsidRDefault="006D75DD">
            <w:pPr>
              <w:pStyle w:val="Tabletext"/>
              <w:cnfStyle w:val="000000000000" w:firstRow="0" w:lastRow="0" w:firstColumn="0" w:lastColumn="0" w:oddVBand="0" w:evenVBand="0" w:oddHBand="0" w:evenHBand="0" w:firstRowFirstColumn="0" w:firstRowLastColumn="0" w:lastRowFirstColumn="0" w:lastRowLastColumn="0"/>
            </w:pPr>
          </w:p>
        </w:tc>
        <w:tc>
          <w:tcPr>
            <w:tcW w:w="3176" w:type="dxa"/>
            <w:vMerge/>
            <w:noWrap/>
          </w:tcPr>
          <w:p w14:paraId="78535511" w14:textId="77777777" w:rsidR="006D75DD" w:rsidRPr="00DA7D37" w:rsidRDefault="006D75DD">
            <w:pPr>
              <w:pStyle w:val="Tabletext"/>
              <w:cnfStyle w:val="000000000000" w:firstRow="0" w:lastRow="0" w:firstColumn="0" w:lastColumn="0" w:oddVBand="0" w:evenVBand="0" w:oddHBand="0" w:evenHBand="0" w:firstRowFirstColumn="0" w:firstRowLastColumn="0" w:lastRowFirstColumn="0" w:lastRowLastColumn="0"/>
              <w:rPr>
                <w:szCs w:val="20"/>
              </w:rPr>
            </w:pPr>
          </w:p>
        </w:tc>
        <w:tc>
          <w:tcPr>
            <w:tcW w:w="1983" w:type="dxa"/>
          </w:tcPr>
          <w:p w14:paraId="2FF3588D" w14:textId="77777777" w:rsidR="006D75DD" w:rsidRDefault="006D75DD" w:rsidP="009D1612">
            <w:pPr>
              <w:pStyle w:val="Tabletext"/>
              <w:spacing w:after="120"/>
              <w:cnfStyle w:val="000000000000" w:firstRow="0" w:lastRow="0" w:firstColumn="0" w:lastColumn="0" w:oddVBand="0" w:evenVBand="0" w:oddHBand="0" w:evenHBand="0" w:firstRowFirstColumn="0" w:firstRowLastColumn="0" w:lastRowFirstColumn="0" w:lastRowLastColumn="0"/>
              <w:rPr>
                <w:szCs w:val="20"/>
              </w:rPr>
            </w:pPr>
            <w:r>
              <w:rPr>
                <w:szCs w:val="20"/>
              </w:rPr>
              <w:t>For people 15+, the Ministry of Health’s NZ Health Survey racism module</w:t>
            </w:r>
          </w:p>
        </w:tc>
        <w:tc>
          <w:tcPr>
            <w:tcW w:w="1845" w:type="dxa"/>
          </w:tcPr>
          <w:p w14:paraId="2598D7F1" w14:textId="77777777" w:rsidR="006D75DD" w:rsidRPr="00DA7D37" w:rsidRDefault="006D75DD">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 xml:space="preserve">Data available </w:t>
            </w:r>
            <w:r>
              <w:rPr>
                <w:szCs w:val="20"/>
              </w:rPr>
              <w:t>irregularly</w:t>
            </w:r>
            <w:r w:rsidRPr="00DA7D37">
              <w:rPr>
                <w:szCs w:val="20"/>
              </w:rPr>
              <w:t xml:space="preserve"> and comparable over time</w:t>
            </w:r>
          </w:p>
        </w:tc>
        <w:tc>
          <w:tcPr>
            <w:tcW w:w="1783" w:type="dxa"/>
          </w:tcPr>
          <w:p w14:paraId="73A0ED4C" w14:textId="77777777" w:rsidR="006D75DD" w:rsidRPr="00DA7D37" w:rsidRDefault="006D75DD">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Data available by ethnicity, sex, age group</w:t>
            </w:r>
          </w:p>
        </w:tc>
        <w:tc>
          <w:tcPr>
            <w:tcW w:w="1814" w:type="dxa"/>
            <w:noWrap/>
          </w:tcPr>
          <w:p w14:paraId="7FBC7803" w14:textId="77777777" w:rsidR="006D75DD" w:rsidRDefault="006D75DD">
            <w:pPr>
              <w:pStyle w:val="Tabletext"/>
              <w:cnfStyle w:val="000000000000" w:firstRow="0" w:lastRow="0" w:firstColumn="0" w:lastColumn="0" w:oddVBand="0" w:evenVBand="0" w:oddHBand="0" w:evenHBand="0" w:firstRowFirstColumn="0" w:firstRowLastColumn="0" w:lastRowFirstColumn="0" w:lastRowLastColumn="0"/>
            </w:pPr>
          </w:p>
        </w:tc>
      </w:tr>
      <w:tr w:rsidR="00D77D25" w:rsidRPr="00010279" w14:paraId="27C3DA8F" w14:textId="77777777" w:rsidTr="008255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14" w:type="dxa"/>
            <w:vMerge/>
            <w:noWrap/>
            <w:hideMark/>
          </w:tcPr>
          <w:p w14:paraId="66908321" w14:textId="77777777" w:rsidR="00D77D25" w:rsidRPr="00F27C33" w:rsidRDefault="00D77D25">
            <w:pPr>
              <w:pStyle w:val="Tabletext"/>
              <w:rPr>
                <w:b w:val="0"/>
                <w:bCs w:val="0"/>
              </w:rPr>
            </w:pPr>
          </w:p>
        </w:tc>
        <w:tc>
          <w:tcPr>
            <w:tcW w:w="1814" w:type="dxa"/>
            <w:vMerge w:val="restart"/>
            <w:noWrap/>
            <w:hideMark/>
          </w:tcPr>
          <w:p w14:paraId="51036885" w14:textId="77777777" w:rsidR="00D77D25" w:rsidRPr="00C10ACD" w:rsidRDefault="00D77D25">
            <w:pPr>
              <w:pStyle w:val="Tabletext"/>
              <w:cnfStyle w:val="000000100000" w:firstRow="0" w:lastRow="0" w:firstColumn="0" w:lastColumn="0" w:oddVBand="0" w:evenVBand="0" w:oddHBand="1" w:evenHBand="0" w:firstRowFirstColumn="0" w:firstRowLastColumn="0" w:lastRowFirstColumn="0" w:lastRowLastColumn="0"/>
              <w:rPr>
                <w:b/>
                <w:bCs/>
              </w:rPr>
            </w:pPr>
            <w:r w:rsidRPr="00C10ACD">
              <w:rPr>
                <w:b/>
                <w:bCs/>
              </w:rPr>
              <w:t>Child poverty</w:t>
            </w:r>
          </w:p>
        </w:tc>
        <w:tc>
          <w:tcPr>
            <w:tcW w:w="3176" w:type="dxa"/>
            <w:noWrap/>
            <w:hideMark/>
          </w:tcPr>
          <w:p w14:paraId="0ACDA6DD" w14:textId="77777777" w:rsidR="00D77D25" w:rsidRPr="00C10ACD" w:rsidRDefault="00D77D25">
            <w:pPr>
              <w:pStyle w:val="Tabletext"/>
              <w:cnfStyle w:val="000000100000" w:firstRow="0" w:lastRow="0" w:firstColumn="0" w:lastColumn="0" w:oddVBand="0" w:evenVBand="0" w:oddHBand="1" w:evenHBand="0" w:firstRowFirstColumn="0" w:firstRowLastColumn="0" w:lastRowFirstColumn="0" w:lastRowLastColumn="0"/>
              <w:rPr>
                <w:b/>
                <w:bCs/>
              </w:rPr>
            </w:pPr>
            <w:r w:rsidRPr="00C10ACD">
              <w:rPr>
                <w:b/>
                <w:bCs/>
                <w:szCs w:val="20"/>
              </w:rPr>
              <w:t xml:space="preserve">Percentage of children living in households with less than 50 percent of the median equivalised disposable </w:t>
            </w:r>
            <w:r w:rsidRPr="00C10ACD">
              <w:rPr>
                <w:b/>
                <w:bCs/>
                <w:szCs w:val="20"/>
              </w:rPr>
              <w:lastRenderedPageBreak/>
              <w:t>household income before housing costs are deducted</w:t>
            </w:r>
          </w:p>
        </w:tc>
        <w:tc>
          <w:tcPr>
            <w:tcW w:w="1983" w:type="dxa"/>
          </w:tcPr>
          <w:p w14:paraId="0E871905" w14:textId="77777777" w:rsidR="00D77D25" w:rsidRPr="00010279" w:rsidRDefault="00D77D25">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lastRenderedPageBreak/>
              <w:t>Stats NZ, Household Economic Survey</w:t>
            </w:r>
          </w:p>
        </w:tc>
        <w:tc>
          <w:tcPr>
            <w:tcW w:w="1845" w:type="dxa"/>
          </w:tcPr>
          <w:p w14:paraId="6FD79926" w14:textId="77777777" w:rsidR="00D77D25" w:rsidRPr="00010279" w:rsidRDefault="00D77D25">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Data available annually and comparable over time</w:t>
            </w:r>
          </w:p>
        </w:tc>
        <w:tc>
          <w:tcPr>
            <w:tcW w:w="1783" w:type="dxa"/>
          </w:tcPr>
          <w:p w14:paraId="3D1B39D2" w14:textId="77777777" w:rsidR="00D77D25" w:rsidRPr="00010279" w:rsidRDefault="00D77D25">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Data available by ethnicity, sex, age group</w:t>
            </w:r>
          </w:p>
        </w:tc>
        <w:tc>
          <w:tcPr>
            <w:tcW w:w="1814" w:type="dxa"/>
            <w:noWrap/>
            <w:hideMark/>
          </w:tcPr>
          <w:p w14:paraId="5886003C" w14:textId="77777777" w:rsidR="00D77D25" w:rsidRPr="00010279" w:rsidRDefault="00D77D25">
            <w:pPr>
              <w:pStyle w:val="Tabletext"/>
              <w:cnfStyle w:val="000000100000" w:firstRow="0" w:lastRow="0" w:firstColumn="0" w:lastColumn="0" w:oddVBand="0" w:evenVBand="0" w:oddHBand="1" w:evenHBand="0" w:firstRowFirstColumn="0" w:firstRowLastColumn="0" w:lastRowFirstColumn="0" w:lastRowLastColumn="0"/>
            </w:pPr>
          </w:p>
        </w:tc>
      </w:tr>
      <w:tr w:rsidR="00D77D25" w:rsidRPr="00010279" w14:paraId="7F12B443" w14:textId="77777777" w:rsidTr="008255B9">
        <w:trPr>
          <w:trHeight w:val="285"/>
        </w:trPr>
        <w:tc>
          <w:tcPr>
            <w:cnfStyle w:val="001000000000" w:firstRow="0" w:lastRow="0" w:firstColumn="1" w:lastColumn="0" w:oddVBand="0" w:evenVBand="0" w:oddHBand="0" w:evenHBand="0" w:firstRowFirstColumn="0" w:firstRowLastColumn="0" w:lastRowFirstColumn="0" w:lastRowLastColumn="0"/>
            <w:tcW w:w="1814" w:type="dxa"/>
            <w:vMerge/>
            <w:noWrap/>
          </w:tcPr>
          <w:p w14:paraId="1FA474D8" w14:textId="77777777" w:rsidR="00D77D25" w:rsidRPr="00F27C33" w:rsidRDefault="00D77D25">
            <w:pPr>
              <w:pStyle w:val="Tabletext"/>
              <w:rPr>
                <w:b w:val="0"/>
                <w:bCs w:val="0"/>
              </w:rPr>
            </w:pPr>
          </w:p>
        </w:tc>
        <w:tc>
          <w:tcPr>
            <w:tcW w:w="1814" w:type="dxa"/>
            <w:vMerge/>
            <w:noWrap/>
          </w:tcPr>
          <w:p w14:paraId="03235498" w14:textId="77777777" w:rsidR="00D77D25" w:rsidRPr="00F27C33" w:rsidRDefault="00D77D25">
            <w:pPr>
              <w:pStyle w:val="Tabletext"/>
              <w:cnfStyle w:val="000000000000" w:firstRow="0" w:lastRow="0" w:firstColumn="0" w:lastColumn="0" w:oddVBand="0" w:evenVBand="0" w:oddHBand="0" w:evenHBand="0" w:firstRowFirstColumn="0" w:firstRowLastColumn="0" w:lastRowFirstColumn="0" w:lastRowLastColumn="0"/>
            </w:pPr>
          </w:p>
        </w:tc>
        <w:tc>
          <w:tcPr>
            <w:tcW w:w="3176" w:type="dxa"/>
            <w:noWrap/>
          </w:tcPr>
          <w:p w14:paraId="7D7101B0" w14:textId="77777777" w:rsidR="00D77D25" w:rsidRPr="00C10ACD" w:rsidRDefault="00D77D25">
            <w:pPr>
              <w:pStyle w:val="Tabletext"/>
              <w:cnfStyle w:val="000000000000" w:firstRow="0" w:lastRow="0" w:firstColumn="0" w:lastColumn="0" w:oddVBand="0" w:evenVBand="0" w:oddHBand="0" w:evenHBand="0" w:firstRowFirstColumn="0" w:firstRowLastColumn="0" w:lastRowFirstColumn="0" w:lastRowLastColumn="0"/>
              <w:rPr>
                <w:b/>
                <w:bCs/>
              </w:rPr>
            </w:pPr>
            <w:r w:rsidRPr="00C10ACD">
              <w:rPr>
                <w:b/>
                <w:bCs/>
                <w:szCs w:val="20"/>
              </w:rPr>
              <w:t>Percentage of children living in households with less than 50 percent of the median equivalised disposable household income after housing costs are deducted</w:t>
            </w:r>
          </w:p>
        </w:tc>
        <w:tc>
          <w:tcPr>
            <w:tcW w:w="1983" w:type="dxa"/>
          </w:tcPr>
          <w:p w14:paraId="735ABF2A" w14:textId="77777777" w:rsidR="00D77D25" w:rsidRPr="00010279" w:rsidRDefault="00D77D25">
            <w:pPr>
              <w:pStyle w:val="Tabletext"/>
              <w:cnfStyle w:val="000000000000" w:firstRow="0" w:lastRow="0" w:firstColumn="0" w:lastColumn="0" w:oddVBand="0" w:evenVBand="0" w:oddHBand="0" w:evenHBand="0" w:firstRowFirstColumn="0" w:firstRowLastColumn="0" w:lastRowFirstColumn="0" w:lastRowLastColumn="0"/>
            </w:pPr>
            <w:r w:rsidRPr="00DA7D37">
              <w:rPr>
                <w:szCs w:val="20"/>
              </w:rPr>
              <w:t>Stats NZ, Household Economic Survey</w:t>
            </w:r>
          </w:p>
        </w:tc>
        <w:tc>
          <w:tcPr>
            <w:tcW w:w="1845" w:type="dxa"/>
          </w:tcPr>
          <w:p w14:paraId="7B649355" w14:textId="77777777" w:rsidR="00D77D25" w:rsidRPr="00010279" w:rsidRDefault="00D77D25">
            <w:pPr>
              <w:pStyle w:val="Tabletext"/>
              <w:cnfStyle w:val="000000000000" w:firstRow="0" w:lastRow="0" w:firstColumn="0" w:lastColumn="0" w:oddVBand="0" w:evenVBand="0" w:oddHBand="0" w:evenHBand="0" w:firstRowFirstColumn="0" w:firstRowLastColumn="0" w:lastRowFirstColumn="0" w:lastRowLastColumn="0"/>
            </w:pPr>
            <w:r w:rsidRPr="00DA7D37">
              <w:rPr>
                <w:szCs w:val="20"/>
              </w:rPr>
              <w:t>Data available annually and comparable over time</w:t>
            </w:r>
          </w:p>
        </w:tc>
        <w:tc>
          <w:tcPr>
            <w:tcW w:w="1783" w:type="dxa"/>
          </w:tcPr>
          <w:p w14:paraId="5C75256E" w14:textId="77777777" w:rsidR="00D77D25" w:rsidRPr="00010279" w:rsidRDefault="00D77D25">
            <w:pPr>
              <w:pStyle w:val="Tabletext"/>
              <w:cnfStyle w:val="000000000000" w:firstRow="0" w:lastRow="0" w:firstColumn="0" w:lastColumn="0" w:oddVBand="0" w:evenVBand="0" w:oddHBand="0" w:evenHBand="0" w:firstRowFirstColumn="0" w:firstRowLastColumn="0" w:lastRowFirstColumn="0" w:lastRowLastColumn="0"/>
            </w:pPr>
            <w:r w:rsidRPr="00DA7D37">
              <w:rPr>
                <w:szCs w:val="20"/>
              </w:rPr>
              <w:t>Data available by ethnicity, sex, age group</w:t>
            </w:r>
          </w:p>
        </w:tc>
        <w:tc>
          <w:tcPr>
            <w:tcW w:w="1814" w:type="dxa"/>
            <w:noWrap/>
          </w:tcPr>
          <w:p w14:paraId="1529C90D" w14:textId="77777777" w:rsidR="00D77D25" w:rsidRPr="00010279" w:rsidRDefault="00D77D25">
            <w:pPr>
              <w:pStyle w:val="Tabletext"/>
              <w:cnfStyle w:val="000000000000" w:firstRow="0" w:lastRow="0" w:firstColumn="0" w:lastColumn="0" w:oddVBand="0" w:evenVBand="0" w:oddHBand="0" w:evenHBand="0" w:firstRowFirstColumn="0" w:firstRowLastColumn="0" w:lastRowFirstColumn="0" w:lastRowLastColumn="0"/>
            </w:pPr>
          </w:p>
        </w:tc>
      </w:tr>
      <w:tr w:rsidR="0064729B" w:rsidRPr="00010279" w14:paraId="4D402564" w14:textId="77777777" w:rsidTr="008255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14" w:type="dxa"/>
            <w:vMerge w:val="restart"/>
            <w:noWrap/>
            <w:hideMark/>
          </w:tcPr>
          <w:p w14:paraId="0B9A658E" w14:textId="77777777" w:rsidR="0064729B" w:rsidRPr="00F27C33" w:rsidRDefault="0064729B">
            <w:pPr>
              <w:pStyle w:val="Tabletext"/>
              <w:rPr>
                <w:b w:val="0"/>
                <w:bCs w:val="0"/>
              </w:rPr>
            </w:pPr>
            <w:r w:rsidRPr="00F27C33">
              <w:rPr>
                <w:b w:val="0"/>
                <w:bCs w:val="0"/>
              </w:rPr>
              <w:t>Family-level factors</w:t>
            </w:r>
          </w:p>
        </w:tc>
        <w:tc>
          <w:tcPr>
            <w:tcW w:w="1814" w:type="dxa"/>
            <w:noWrap/>
            <w:hideMark/>
          </w:tcPr>
          <w:p w14:paraId="3D36ABC3" w14:textId="2A2E45A4" w:rsidR="0064729B" w:rsidRPr="00C10ACD" w:rsidRDefault="0064729B">
            <w:pPr>
              <w:pStyle w:val="Tabletext"/>
              <w:cnfStyle w:val="000000100000" w:firstRow="0" w:lastRow="0" w:firstColumn="0" w:lastColumn="0" w:oddVBand="0" w:evenVBand="0" w:oddHBand="1" w:evenHBand="0" w:firstRowFirstColumn="0" w:firstRowLastColumn="0" w:lastRowFirstColumn="0" w:lastRowLastColumn="0"/>
              <w:rPr>
                <w:b/>
                <w:bCs/>
              </w:rPr>
            </w:pPr>
            <w:r>
              <w:rPr>
                <w:b/>
                <w:bCs/>
              </w:rPr>
              <w:t>Parental support</w:t>
            </w:r>
          </w:p>
        </w:tc>
        <w:tc>
          <w:tcPr>
            <w:tcW w:w="3176" w:type="dxa"/>
            <w:noWrap/>
            <w:hideMark/>
          </w:tcPr>
          <w:p w14:paraId="75683400" w14:textId="7BAE8F20" w:rsidR="0064729B" w:rsidRPr="00C10ACD" w:rsidRDefault="0064729B">
            <w:pPr>
              <w:pStyle w:val="Tabletext"/>
              <w:cnfStyle w:val="000000100000" w:firstRow="0" w:lastRow="0" w:firstColumn="0" w:lastColumn="0" w:oddVBand="0" w:evenVBand="0" w:oddHBand="1" w:evenHBand="0" w:firstRowFirstColumn="0" w:firstRowLastColumn="0" w:lastRowFirstColumn="0" w:lastRowLastColumn="0"/>
              <w:rPr>
                <w:b/>
                <w:bCs/>
              </w:rPr>
            </w:pPr>
            <w:r w:rsidRPr="00C10ACD">
              <w:rPr>
                <w:b/>
                <w:bCs/>
              </w:rPr>
              <w:t xml:space="preserve">Percentage of </w:t>
            </w:r>
            <w:r w:rsidRPr="00E20680">
              <w:rPr>
                <w:b/>
                <w:bCs/>
                <w:szCs w:val="20"/>
              </w:rPr>
              <w:t>young people (13-19-year-olds</w:t>
            </w:r>
            <w:r>
              <w:rPr>
                <w:szCs w:val="20"/>
              </w:rPr>
              <w:t>)</w:t>
            </w:r>
            <w:r w:rsidRPr="00DA7D37">
              <w:rPr>
                <w:szCs w:val="20"/>
              </w:rPr>
              <w:t xml:space="preserve"> </w:t>
            </w:r>
            <w:r w:rsidRPr="00C10ACD">
              <w:rPr>
                <w:b/>
                <w:bCs/>
              </w:rPr>
              <w:t>who agree or strongly agree that they get parental emotional support</w:t>
            </w:r>
          </w:p>
        </w:tc>
        <w:tc>
          <w:tcPr>
            <w:tcW w:w="1983" w:type="dxa"/>
          </w:tcPr>
          <w:p w14:paraId="399FCDE0" w14:textId="77777777" w:rsidR="0064729B" w:rsidRDefault="0064729B">
            <w:pPr>
              <w:pStyle w:val="Tabletext"/>
              <w:cnfStyle w:val="000000100000" w:firstRow="0" w:lastRow="0" w:firstColumn="0" w:lastColumn="0" w:oddVBand="0" w:evenVBand="0" w:oddHBand="1" w:evenHBand="0" w:firstRowFirstColumn="0" w:firstRowLastColumn="0" w:lastRowFirstColumn="0" w:lastRowLastColumn="0"/>
            </w:pPr>
            <w:r>
              <w:t xml:space="preserve">MSD, Youth Health and Wellbeing Survey </w:t>
            </w:r>
          </w:p>
        </w:tc>
        <w:tc>
          <w:tcPr>
            <w:tcW w:w="1845" w:type="dxa"/>
          </w:tcPr>
          <w:p w14:paraId="42A9D72D" w14:textId="77777777" w:rsidR="0064729B" w:rsidRDefault="0064729B">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Data available three yearly</w:t>
            </w:r>
          </w:p>
        </w:tc>
        <w:tc>
          <w:tcPr>
            <w:tcW w:w="1783" w:type="dxa"/>
          </w:tcPr>
          <w:p w14:paraId="08B0BA29" w14:textId="77777777" w:rsidR="0064729B" w:rsidRDefault="0064729B">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Data available by ethnicity, sex, age</w:t>
            </w:r>
            <w:r>
              <w:rPr>
                <w:szCs w:val="20"/>
              </w:rPr>
              <w:t xml:space="preserve"> group</w:t>
            </w:r>
            <w:r w:rsidRPr="00DA7D37">
              <w:rPr>
                <w:szCs w:val="20"/>
              </w:rPr>
              <w:t xml:space="preserve"> </w:t>
            </w:r>
          </w:p>
        </w:tc>
        <w:tc>
          <w:tcPr>
            <w:tcW w:w="1814" w:type="dxa"/>
            <w:noWrap/>
          </w:tcPr>
          <w:p w14:paraId="7EE25E14" w14:textId="77777777" w:rsidR="0064729B" w:rsidRPr="00010279" w:rsidRDefault="0064729B">
            <w:pPr>
              <w:pStyle w:val="Tabletext"/>
              <w:cnfStyle w:val="000000100000" w:firstRow="0" w:lastRow="0" w:firstColumn="0" w:lastColumn="0" w:oddVBand="0" w:evenVBand="0" w:oddHBand="1" w:evenHBand="0" w:firstRowFirstColumn="0" w:firstRowLastColumn="0" w:lastRowFirstColumn="0" w:lastRowLastColumn="0"/>
            </w:pPr>
          </w:p>
        </w:tc>
      </w:tr>
      <w:tr w:rsidR="0064729B" w:rsidRPr="00010279" w14:paraId="2F7A08F2" w14:textId="77777777" w:rsidTr="008255B9">
        <w:trPr>
          <w:trHeight w:val="285"/>
        </w:trPr>
        <w:tc>
          <w:tcPr>
            <w:cnfStyle w:val="001000000000" w:firstRow="0" w:lastRow="0" w:firstColumn="1" w:lastColumn="0" w:oddVBand="0" w:evenVBand="0" w:oddHBand="0" w:evenHBand="0" w:firstRowFirstColumn="0" w:firstRowLastColumn="0" w:lastRowFirstColumn="0" w:lastRowLastColumn="0"/>
            <w:tcW w:w="1814" w:type="dxa"/>
            <w:vMerge/>
            <w:noWrap/>
          </w:tcPr>
          <w:p w14:paraId="30E75E8C" w14:textId="77777777" w:rsidR="0064729B" w:rsidRPr="00F27C33" w:rsidRDefault="0064729B">
            <w:pPr>
              <w:pStyle w:val="Tabletext"/>
            </w:pPr>
          </w:p>
        </w:tc>
        <w:tc>
          <w:tcPr>
            <w:tcW w:w="1814" w:type="dxa"/>
            <w:noWrap/>
          </w:tcPr>
          <w:p w14:paraId="3722E5F2" w14:textId="0EF37DE1" w:rsidR="0064729B" w:rsidRPr="00B76D6B" w:rsidRDefault="0064729B">
            <w:pPr>
              <w:pStyle w:val="Tabletext"/>
              <w:cnfStyle w:val="000000000000" w:firstRow="0" w:lastRow="0" w:firstColumn="0" w:lastColumn="0" w:oddVBand="0" w:evenVBand="0" w:oddHBand="0" w:evenHBand="0" w:firstRowFirstColumn="0" w:firstRowLastColumn="0" w:lastRowFirstColumn="0" w:lastRowLastColumn="0"/>
              <w:rPr>
                <w:b/>
                <w:bCs/>
              </w:rPr>
            </w:pPr>
            <w:r w:rsidRPr="00B76D6B">
              <w:rPr>
                <w:b/>
                <w:bCs/>
              </w:rPr>
              <w:t>Family wellbeing</w:t>
            </w:r>
          </w:p>
        </w:tc>
        <w:tc>
          <w:tcPr>
            <w:tcW w:w="3176" w:type="dxa"/>
            <w:noWrap/>
          </w:tcPr>
          <w:p w14:paraId="50DC3A86" w14:textId="77777777" w:rsidR="0064729B" w:rsidRPr="00C10ACD" w:rsidRDefault="0064729B">
            <w:pPr>
              <w:pStyle w:val="Tabletext"/>
              <w:cnfStyle w:val="000000000000" w:firstRow="0" w:lastRow="0" w:firstColumn="0" w:lastColumn="0" w:oddVBand="0" w:evenVBand="0" w:oddHBand="0" w:evenHBand="0" w:firstRowFirstColumn="0" w:firstRowLastColumn="0" w:lastRowFirstColumn="0" w:lastRowLastColumn="0"/>
              <w:rPr>
                <w:b/>
                <w:bCs/>
              </w:rPr>
            </w:pPr>
            <w:r w:rsidRPr="00C10ACD">
              <w:rPr>
                <w:b/>
                <w:bCs/>
              </w:rPr>
              <w:t>Percentage of population aged 15+ who rate their family wellbeing highly</w:t>
            </w:r>
          </w:p>
        </w:tc>
        <w:tc>
          <w:tcPr>
            <w:tcW w:w="1983" w:type="dxa"/>
          </w:tcPr>
          <w:p w14:paraId="2BBDF6B4" w14:textId="77777777" w:rsidR="0064729B" w:rsidRDefault="0064729B">
            <w:pPr>
              <w:pStyle w:val="Tabletext"/>
              <w:cnfStyle w:val="000000000000" w:firstRow="0" w:lastRow="0" w:firstColumn="0" w:lastColumn="0" w:oddVBand="0" w:evenVBand="0" w:oddHBand="0" w:evenHBand="0" w:firstRowFirstColumn="0" w:firstRowLastColumn="0" w:lastRowFirstColumn="0" w:lastRowLastColumn="0"/>
            </w:pPr>
            <w:r>
              <w:t>Ministry of Health, NZ Health Survey</w:t>
            </w:r>
          </w:p>
        </w:tc>
        <w:tc>
          <w:tcPr>
            <w:tcW w:w="1845" w:type="dxa"/>
          </w:tcPr>
          <w:p w14:paraId="31AE30EE" w14:textId="77777777" w:rsidR="0064729B" w:rsidRPr="00DA7D37" w:rsidRDefault="0064729B">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Data available annually and comparable over time</w:t>
            </w:r>
          </w:p>
        </w:tc>
        <w:tc>
          <w:tcPr>
            <w:tcW w:w="1783" w:type="dxa"/>
          </w:tcPr>
          <w:p w14:paraId="0297F6A0" w14:textId="77777777" w:rsidR="0064729B" w:rsidRPr="00DA7D37" w:rsidRDefault="0064729B">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Data available by ethnicity, sex, age</w:t>
            </w:r>
            <w:r>
              <w:rPr>
                <w:szCs w:val="20"/>
              </w:rPr>
              <w:t xml:space="preserve"> group</w:t>
            </w:r>
          </w:p>
        </w:tc>
        <w:tc>
          <w:tcPr>
            <w:tcW w:w="1814" w:type="dxa"/>
            <w:noWrap/>
          </w:tcPr>
          <w:p w14:paraId="1ADD1BA3" w14:textId="77777777" w:rsidR="0064729B" w:rsidRPr="00010279" w:rsidRDefault="0064729B">
            <w:pPr>
              <w:pStyle w:val="Tabletext"/>
              <w:cnfStyle w:val="000000000000" w:firstRow="0" w:lastRow="0" w:firstColumn="0" w:lastColumn="0" w:oddVBand="0" w:evenVBand="0" w:oddHBand="0" w:evenHBand="0" w:firstRowFirstColumn="0" w:firstRowLastColumn="0" w:lastRowFirstColumn="0" w:lastRowLastColumn="0"/>
            </w:pPr>
            <w:r>
              <w:t>He Ara Oranga</w:t>
            </w:r>
          </w:p>
        </w:tc>
      </w:tr>
      <w:tr w:rsidR="0011170F" w:rsidRPr="00010279" w14:paraId="4DFDFEE8" w14:textId="77777777" w:rsidTr="008255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14" w:type="dxa"/>
            <w:vMerge w:val="restart"/>
            <w:noWrap/>
          </w:tcPr>
          <w:p w14:paraId="77B5F664" w14:textId="77777777" w:rsidR="0011170F" w:rsidRPr="00F27C33" w:rsidRDefault="0011170F">
            <w:pPr>
              <w:pStyle w:val="Tabletext"/>
            </w:pPr>
            <w:r w:rsidRPr="00F27C33">
              <w:rPr>
                <w:b w:val="0"/>
                <w:bCs w:val="0"/>
              </w:rPr>
              <w:t>Individual</w:t>
            </w:r>
            <w:r>
              <w:rPr>
                <w:b w:val="0"/>
                <w:bCs w:val="0"/>
              </w:rPr>
              <w:t>-</w:t>
            </w:r>
            <w:r w:rsidRPr="00F27C33">
              <w:rPr>
                <w:b w:val="0"/>
                <w:bCs w:val="0"/>
              </w:rPr>
              <w:t>level factors</w:t>
            </w:r>
          </w:p>
        </w:tc>
        <w:tc>
          <w:tcPr>
            <w:tcW w:w="1814" w:type="dxa"/>
            <w:noWrap/>
          </w:tcPr>
          <w:p w14:paraId="1ABA494D" w14:textId="77777777" w:rsidR="0011170F" w:rsidRPr="006D4BAA" w:rsidRDefault="0011170F">
            <w:pPr>
              <w:pStyle w:val="Tabletext"/>
              <w:cnfStyle w:val="000000100000" w:firstRow="0" w:lastRow="0" w:firstColumn="0" w:lastColumn="0" w:oddVBand="0" w:evenVBand="0" w:oddHBand="1" w:evenHBand="0" w:firstRowFirstColumn="0" w:firstRowLastColumn="0" w:lastRowFirstColumn="0" w:lastRowLastColumn="0"/>
            </w:pPr>
            <w:r w:rsidRPr="006D4BAA">
              <w:t>Social connectedness</w:t>
            </w:r>
          </w:p>
        </w:tc>
        <w:tc>
          <w:tcPr>
            <w:tcW w:w="3176" w:type="dxa"/>
            <w:noWrap/>
          </w:tcPr>
          <w:p w14:paraId="779AC2E5" w14:textId="77777777" w:rsidR="0011170F" w:rsidRPr="00D07B0C" w:rsidRDefault="0011170F">
            <w:pPr>
              <w:pStyle w:val="Tabletext"/>
              <w:cnfStyle w:val="000000100000" w:firstRow="0" w:lastRow="0" w:firstColumn="0" w:lastColumn="0" w:oddVBand="0" w:evenVBand="0" w:oddHBand="1" w:evenHBand="0" w:firstRowFirstColumn="0" w:firstRowLastColumn="0" w:lastRowFirstColumn="0" w:lastRowLastColumn="0"/>
            </w:pPr>
            <w:r w:rsidRPr="00D07B0C">
              <w:t xml:space="preserve">Percentage of population </w:t>
            </w:r>
            <w:r>
              <w:t xml:space="preserve">aged </w:t>
            </w:r>
            <w:r w:rsidRPr="00D07B0C">
              <w:t>15+ who report feeling lonely a little or none of the time in the last four weeks</w:t>
            </w:r>
          </w:p>
        </w:tc>
        <w:tc>
          <w:tcPr>
            <w:tcW w:w="1983" w:type="dxa"/>
          </w:tcPr>
          <w:p w14:paraId="0733C6AD" w14:textId="77777777" w:rsidR="0011170F" w:rsidRDefault="0011170F">
            <w:pPr>
              <w:pStyle w:val="Tabletext"/>
              <w:cnfStyle w:val="000000100000" w:firstRow="0" w:lastRow="0" w:firstColumn="0" w:lastColumn="0" w:oddVBand="0" w:evenVBand="0" w:oddHBand="1" w:evenHBand="0" w:firstRowFirstColumn="0" w:firstRowLastColumn="0" w:lastRowFirstColumn="0" w:lastRowLastColumn="0"/>
            </w:pPr>
            <w:r>
              <w:t>Ministry of Health, NZ Health Survey</w:t>
            </w:r>
          </w:p>
        </w:tc>
        <w:tc>
          <w:tcPr>
            <w:tcW w:w="1845" w:type="dxa"/>
          </w:tcPr>
          <w:p w14:paraId="68599B82" w14:textId="77777777" w:rsidR="0011170F" w:rsidRPr="00DA7D37" w:rsidRDefault="0011170F">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Data available annually and comparable over time</w:t>
            </w:r>
          </w:p>
        </w:tc>
        <w:tc>
          <w:tcPr>
            <w:tcW w:w="1783" w:type="dxa"/>
          </w:tcPr>
          <w:p w14:paraId="50AFC110" w14:textId="77777777" w:rsidR="0011170F" w:rsidRPr="00DA7D37" w:rsidRDefault="0011170F">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Data available by ethnicity, sex, age group</w:t>
            </w:r>
          </w:p>
        </w:tc>
        <w:tc>
          <w:tcPr>
            <w:tcW w:w="1814" w:type="dxa"/>
            <w:noWrap/>
          </w:tcPr>
          <w:p w14:paraId="018E5FCD" w14:textId="77777777" w:rsidR="0011170F" w:rsidRPr="00010279" w:rsidRDefault="0011170F">
            <w:pPr>
              <w:pStyle w:val="Tabletext"/>
              <w:cnfStyle w:val="000000100000" w:firstRow="0" w:lastRow="0" w:firstColumn="0" w:lastColumn="0" w:oddVBand="0" w:evenVBand="0" w:oddHBand="1" w:evenHBand="0" w:firstRowFirstColumn="0" w:firstRowLastColumn="0" w:lastRowFirstColumn="0" w:lastRowLastColumn="0"/>
            </w:pPr>
            <w:r>
              <w:t>He Ara Oranga</w:t>
            </w:r>
          </w:p>
        </w:tc>
      </w:tr>
      <w:tr w:rsidR="00B83E76" w:rsidRPr="00010279" w14:paraId="30E1B580" w14:textId="77777777" w:rsidTr="008255B9">
        <w:trPr>
          <w:trHeight w:val="285"/>
        </w:trPr>
        <w:tc>
          <w:tcPr>
            <w:cnfStyle w:val="001000000000" w:firstRow="0" w:lastRow="0" w:firstColumn="1" w:lastColumn="0" w:oddVBand="0" w:evenVBand="0" w:oddHBand="0" w:evenHBand="0" w:firstRowFirstColumn="0" w:firstRowLastColumn="0" w:lastRowFirstColumn="0" w:lastRowLastColumn="0"/>
            <w:tcW w:w="1814" w:type="dxa"/>
            <w:vMerge/>
            <w:noWrap/>
          </w:tcPr>
          <w:p w14:paraId="7417E5D3" w14:textId="77777777" w:rsidR="00B83E76" w:rsidRPr="00F27C33" w:rsidRDefault="00B83E76" w:rsidP="00B83E76">
            <w:pPr>
              <w:pStyle w:val="Tabletext"/>
              <w:rPr>
                <w:b w:val="0"/>
                <w:bCs w:val="0"/>
              </w:rPr>
            </w:pPr>
          </w:p>
        </w:tc>
        <w:tc>
          <w:tcPr>
            <w:tcW w:w="1814" w:type="dxa"/>
            <w:noWrap/>
          </w:tcPr>
          <w:p w14:paraId="53D8B2C8" w14:textId="448A339C" w:rsidR="00B83E76" w:rsidRPr="006D4BAA" w:rsidRDefault="00B83E76" w:rsidP="00B83E76">
            <w:pPr>
              <w:pStyle w:val="Tabletext"/>
              <w:cnfStyle w:val="000000000000" w:firstRow="0" w:lastRow="0" w:firstColumn="0" w:lastColumn="0" w:oddVBand="0" w:evenVBand="0" w:oddHBand="0" w:evenHBand="0" w:firstRowFirstColumn="0" w:firstRowLastColumn="0" w:lastRowFirstColumn="0" w:lastRowLastColumn="0"/>
            </w:pPr>
            <w:r>
              <w:t>Physical health</w:t>
            </w:r>
          </w:p>
        </w:tc>
        <w:tc>
          <w:tcPr>
            <w:tcW w:w="3176" w:type="dxa"/>
            <w:noWrap/>
          </w:tcPr>
          <w:p w14:paraId="3B4F887C" w14:textId="352E1F55" w:rsidR="00B83E76" w:rsidRPr="00D07B0C" w:rsidRDefault="00B83E76" w:rsidP="00B83E76">
            <w:pPr>
              <w:pStyle w:val="Tabletext"/>
              <w:cnfStyle w:val="000000000000" w:firstRow="0" w:lastRow="0" w:firstColumn="0" w:lastColumn="0" w:oddVBand="0" w:evenVBand="0" w:oddHBand="0" w:evenHBand="0" w:firstRowFirstColumn="0" w:firstRowLastColumn="0" w:lastRowFirstColumn="0" w:lastRowLastColumn="0"/>
            </w:pPr>
            <w:r>
              <w:t>Percentage</w:t>
            </w:r>
            <w:r w:rsidRPr="00FE5D32">
              <w:t xml:space="preserve"> of </w:t>
            </w:r>
            <w:r w:rsidRPr="00D07B0C">
              <w:t xml:space="preserve">population </w:t>
            </w:r>
            <w:r>
              <w:t xml:space="preserve">aged 15+ </w:t>
            </w:r>
            <w:r w:rsidRPr="00FE5D32">
              <w:t>who rate their health status as good, very good or excellent</w:t>
            </w:r>
          </w:p>
        </w:tc>
        <w:tc>
          <w:tcPr>
            <w:tcW w:w="1983" w:type="dxa"/>
          </w:tcPr>
          <w:p w14:paraId="7533D11D" w14:textId="0AD10C19" w:rsidR="00B83E76" w:rsidRDefault="00B83E76" w:rsidP="00B83E76">
            <w:pPr>
              <w:pStyle w:val="Tabletext"/>
              <w:cnfStyle w:val="000000000000" w:firstRow="0" w:lastRow="0" w:firstColumn="0" w:lastColumn="0" w:oddVBand="0" w:evenVBand="0" w:oddHBand="0" w:evenHBand="0" w:firstRowFirstColumn="0" w:firstRowLastColumn="0" w:lastRowFirstColumn="0" w:lastRowLastColumn="0"/>
            </w:pPr>
            <w:r>
              <w:t>Ministry of Health, NZ Health Survey</w:t>
            </w:r>
          </w:p>
        </w:tc>
        <w:tc>
          <w:tcPr>
            <w:tcW w:w="1845" w:type="dxa"/>
          </w:tcPr>
          <w:p w14:paraId="5FEA3E18" w14:textId="10C9E185" w:rsidR="00B83E76" w:rsidRPr="00DA7D37" w:rsidRDefault="00B83E76" w:rsidP="00B83E7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Data available annually and comparable over time</w:t>
            </w:r>
          </w:p>
        </w:tc>
        <w:tc>
          <w:tcPr>
            <w:tcW w:w="1783" w:type="dxa"/>
          </w:tcPr>
          <w:p w14:paraId="385D0299" w14:textId="2BDD54E7" w:rsidR="00B83E76" w:rsidRPr="00DA7D37" w:rsidRDefault="00B83E76" w:rsidP="00B83E7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Data available by ethnicity, sex, age group</w:t>
            </w:r>
          </w:p>
        </w:tc>
        <w:tc>
          <w:tcPr>
            <w:tcW w:w="1814" w:type="dxa"/>
            <w:noWrap/>
          </w:tcPr>
          <w:p w14:paraId="6339864A" w14:textId="72D8FDF0" w:rsidR="00B83E76" w:rsidRPr="00010279" w:rsidRDefault="00B83E76" w:rsidP="00B83E76">
            <w:pPr>
              <w:pStyle w:val="Tabletext"/>
              <w:cnfStyle w:val="000000000000" w:firstRow="0" w:lastRow="0" w:firstColumn="0" w:lastColumn="0" w:oddVBand="0" w:evenVBand="0" w:oddHBand="0" w:evenHBand="0" w:firstRowFirstColumn="0" w:firstRowLastColumn="0" w:lastRowFirstColumn="0" w:lastRowLastColumn="0"/>
            </w:pPr>
            <w:r>
              <w:t>He Ara Oranga</w:t>
            </w:r>
          </w:p>
        </w:tc>
      </w:tr>
      <w:tr w:rsidR="00B83E76" w:rsidRPr="00010279" w14:paraId="10881DD2" w14:textId="77777777" w:rsidTr="008255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14" w:type="dxa"/>
            <w:vMerge/>
            <w:noWrap/>
            <w:hideMark/>
          </w:tcPr>
          <w:p w14:paraId="2428F668" w14:textId="77777777" w:rsidR="00B83E76" w:rsidRPr="00F27C33" w:rsidRDefault="00B83E76" w:rsidP="00B83E76">
            <w:pPr>
              <w:pStyle w:val="Tabletext"/>
              <w:rPr>
                <w:b w:val="0"/>
                <w:bCs w:val="0"/>
              </w:rPr>
            </w:pPr>
          </w:p>
        </w:tc>
        <w:tc>
          <w:tcPr>
            <w:tcW w:w="1814" w:type="dxa"/>
            <w:vMerge w:val="restart"/>
            <w:noWrap/>
          </w:tcPr>
          <w:p w14:paraId="5281B6D7" w14:textId="77777777" w:rsidR="00B83E76" w:rsidRPr="00F27C33" w:rsidRDefault="00B83E76" w:rsidP="00B83E76">
            <w:pPr>
              <w:pStyle w:val="Tabletext"/>
              <w:cnfStyle w:val="000000100000" w:firstRow="0" w:lastRow="0" w:firstColumn="0" w:lastColumn="0" w:oddVBand="0" w:evenVBand="0" w:oddHBand="1" w:evenHBand="0" w:firstRowFirstColumn="0" w:firstRowLastColumn="0" w:lastRowFirstColumn="0" w:lastRowLastColumn="0"/>
            </w:pPr>
            <w:r w:rsidRPr="006D4BAA">
              <w:t>Psychological distress</w:t>
            </w:r>
          </w:p>
        </w:tc>
        <w:tc>
          <w:tcPr>
            <w:tcW w:w="3176" w:type="dxa"/>
            <w:noWrap/>
          </w:tcPr>
          <w:p w14:paraId="555045BF" w14:textId="77777777" w:rsidR="00B83E76" w:rsidRPr="00AC4EDB" w:rsidRDefault="00B83E76" w:rsidP="00B83E76">
            <w:pPr>
              <w:pStyle w:val="Tabletext"/>
              <w:cnfStyle w:val="000000100000" w:firstRow="0" w:lastRow="0" w:firstColumn="0" w:lastColumn="0" w:oddVBand="0" w:evenVBand="0" w:oddHBand="1" w:evenHBand="0" w:firstRowFirstColumn="0" w:firstRowLastColumn="0" w:lastRowFirstColumn="0" w:lastRowLastColumn="0"/>
            </w:pPr>
            <w:r w:rsidRPr="00D07B0C">
              <w:t xml:space="preserve">Percentage of population aged 15+ </w:t>
            </w:r>
            <w:r>
              <w:t>who have e</w:t>
            </w:r>
            <w:r w:rsidRPr="00D07B0C">
              <w:t>xperienced high or very high levels of psychological distress in the past 4 weeks</w:t>
            </w:r>
          </w:p>
        </w:tc>
        <w:tc>
          <w:tcPr>
            <w:tcW w:w="1983" w:type="dxa"/>
          </w:tcPr>
          <w:p w14:paraId="0390A2F5" w14:textId="77777777" w:rsidR="00B83E76" w:rsidRDefault="00B83E76" w:rsidP="00B83E76">
            <w:pPr>
              <w:pStyle w:val="Tabletext"/>
              <w:cnfStyle w:val="000000100000" w:firstRow="0" w:lastRow="0" w:firstColumn="0" w:lastColumn="0" w:oddVBand="0" w:evenVBand="0" w:oddHBand="1" w:evenHBand="0" w:firstRowFirstColumn="0" w:firstRowLastColumn="0" w:lastRowFirstColumn="0" w:lastRowLastColumn="0"/>
            </w:pPr>
            <w:r>
              <w:t>Ministry of Health, NZ Health Survey</w:t>
            </w:r>
          </w:p>
        </w:tc>
        <w:tc>
          <w:tcPr>
            <w:tcW w:w="1845" w:type="dxa"/>
          </w:tcPr>
          <w:p w14:paraId="5EC83A10" w14:textId="77777777" w:rsidR="00B83E76" w:rsidRDefault="00B83E76" w:rsidP="00B83E76">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Data available annually and comparable over time</w:t>
            </w:r>
          </w:p>
        </w:tc>
        <w:tc>
          <w:tcPr>
            <w:tcW w:w="1783" w:type="dxa"/>
          </w:tcPr>
          <w:p w14:paraId="42686655" w14:textId="77777777" w:rsidR="00B83E76" w:rsidRDefault="00B83E76" w:rsidP="00B83E76">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Data available by ethnicity, sex, age group</w:t>
            </w:r>
          </w:p>
        </w:tc>
        <w:tc>
          <w:tcPr>
            <w:tcW w:w="1814" w:type="dxa"/>
            <w:noWrap/>
            <w:hideMark/>
          </w:tcPr>
          <w:p w14:paraId="3A2AA1A6" w14:textId="4739530B" w:rsidR="00B83E76" w:rsidRPr="00010279" w:rsidRDefault="008D0CA1" w:rsidP="00506FA6">
            <w:pPr>
              <w:pStyle w:val="Tabletext"/>
              <w:ind w:right="-52"/>
              <w:cnfStyle w:val="000000100000" w:firstRow="0" w:lastRow="0" w:firstColumn="0" w:lastColumn="0" w:oddVBand="0" w:evenVBand="0" w:oddHBand="1" w:evenHBand="0" w:firstRowFirstColumn="0" w:firstRowLastColumn="0" w:lastRowFirstColumn="0" w:lastRowLastColumn="0"/>
            </w:pPr>
            <w:r>
              <w:t>System Performance Framework</w:t>
            </w:r>
            <w:r w:rsidR="00B83E76">
              <w:t>; Suicide Prevention Action Plan</w:t>
            </w:r>
          </w:p>
        </w:tc>
      </w:tr>
      <w:tr w:rsidR="00B83E76" w:rsidRPr="00010279" w14:paraId="4E1863FC" w14:textId="77777777" w:rsidTr="008255B9">
        <w:trPr>
          <w:trHeight w:val="285"/>
        </w:trPr>
        <w:tc>
          <w:tcPr>
            <w:cnfStyle w:val="001000000000" w:firstRow="0" w:lastRow="0" w:firstColumn="1" w:lastColumn="0" w:oddVBand="0" w:evenVBand="0" w:oddHBand="0" w:evenHBand="0" w:firstRowFirstColumn="0" w:firstRowLastColumn="0" w:lastRowFirstColumn="0" w:lastRowLastColumn="0"/>
            <w:tcW w:w="1814" w:type="dxa"/>
            <w:vMerge/>
            <w:noWrap/>
          </w:tcPr>
          <w:p w14:paraId="39615DF1" w14:textId="77777777" w:rsidR="00B83E76" w:rsidRPr="00F27C33" w:rsidRDefault="00B83E76" w:rsidP="00B83E76">
            <w:pPr>
              <w:pStyle w:val="Tabletext"/>
              <w:rPr>
                <w:b w:val="0"/>
                <w:bCs w:val="0"/>
              </w:rPr>
            </w:pPr>
          </w:p>
        </w:tc>
        <w:tc>
          <w:tcPr>
            <w:tcW w:w="1814" w:type="dxa"/>
            <w:vMerge/>
            <w:noWrap/>
          </w:tcPr>
          <w:p w14:paraId="675DAA0F" w14:textId="77777777" w:rsidR="00B83E76" w:rsidRPr="006D4BAA" w:rsidRDefault="00B83E76" w:rsidP="00B83E76">
            <w:pPr>
              <w:pStyle w:val="Tabletext"/>
              <w:cnfStyle w:val="000000000000" w:firstRow="0" w:lastRow="0" w:firstColumn="0" w:lastColumn="0" w:oddVBand="0" w:evenVBand="0" w:oddHBand="0" w:evenHBand="0" w:firstRowFirstColumn="0" w:firstRowLastColumn="0" w:lastRowFirstColumn="0" w:lastRowLastColumn="0"/>
            </w:pPr>
          </w:p>
        </w:tc>
        <w:tc>
          <w:tcPr>
            <w:tcW w:w="3176" w:type="dxa"/>
            <w:noWrap/>
          </w:tcPr>
          <w:p w14:paraId="0F51F48B" w14:textId="11E76D5A" w:rsidR="00B83E76" w:rsidRPr="00D07B0C" w:rsidRDefault="00B83E76" w:rsidP="00B83E76">
            <w:pPr>
              <w:pStyle w:val="Tabletext"/>
              <w:cnfStyle w:val="000000000000" w:firstRow="0" w:lastRow="0" w:firstColumn="0" w:lastColumn="0" w:oddVBand="0" w:evenVBand="0" w:oddHBand="0" w:evenHBand="0" w:firstRowFirstColumn="0" w:firstRowLastColumn="0" w:lastRowFirstColumn="0" w:lastRowLastColumn="0"/>
            </w:pPr>
            <w:r>
              <w:t>Youth-related indicator to be determined</w:t>
            </w:r>
          </w:p>
        </w:tc>
        <w:tc>
          <w:tcPr>
            <w:tcW w:w="1983" w:type="dxa"/>
          </w:tcPr>
          <w:p w14:paraId="561F2BF9" w14:textId="765AD6CC" w:rsidR="00B83E76" w:rsidRDefault="00B83E76" w:rsidP="00B83E76">
            <w:pPr>
              <w:pStyle w:val="Tabletext"/>
              <w:cnfStyle w:val="000000000000" w:firstRow="0" w:lastRow="0" w:firstColumn="0" w:lastColumn="0" w:oddVBand="0" w:evenVBand="0" w:oddHBand="0" w:evenHBand="0" w:firstRowFirstColumn="0" w:firstRowLastColumn="0" w:lastRowFirstColumn="0" w:lastRowLastColumn="0"/>
            </w:pPr>
            <w:r>
              <w:t>MSD, Youth Health and Wellbeing Survey</w:t>
            </w:r>
          </w:p>
        </w:tc>
        <w:tc>
          <w:tcPr>
            <w:tcW w:w="1845" w:type="dxa"/>
          </w:tcPr>
          <w:p w14:paraId="04E6C122" w14:textId="15EF3B26" w:rsidR="00B83E76" w:rsidRPr="00DA7D37" w:rsidRDefault="00B83E76" w:rsidP="00B83E76">
            <w:pPr>
              <w:pStyle w:val="Tabletext"/>
              <w:cnfStyle w:val="000000000000" w:firstRow="0" w:lastRow="0" w:firstColumn="0" w:lastColumn="0" w:oddVBand="0" w:evenVBand="0" w:oddHBand="0" w:evenHBand="0" w:firstRowFirstColumn="0" w:firstRowLastColumn="0" w:lastRowFirstColumn="0" w:lastRowLastColumn="0"/>
              <w:rPr>
                <w:szCs w:val="20"/>
              </w:rPr>
            </w:pPr>
            <w:r>
              <w:rPr>
                <w:szCs w:val="20"/>
              </w:rPr>
              <w:t xml:space="preserve">Data available three-yearly and </w:t>
            </w:r>
            <w:r w:rsidRPr="00DA7D37">
              <w:rPr>
                <w:szCs w:val="20"/>
              </w:rPr>
              <w:t>comparable over time</w:t>
            </w:r>
            <w:r>
              <w:rPr>
                <w:szCs w:val="20"/>
              </w:rPr>
              <w:t xml:space="preserve"> </w:t>
            </w:r>
          </w:p>
        </w:tc>
        <w:tc>
          <w:tcPr>
            <w:tcW w:w="1783" w:type="dxa"/>
          </w:tcPr>
          <w:p w14:paraId="238BE861" w14:textId="6F4B3105" w:rsidR="00B83E76" w:rsidRPr="00DA7D37" w:rsidRDefault="00B83E76" w:rsidP="00B83E7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Data available by ethnicity, sex, age group</w:t>
            </w:r>
          </w:p>
        </w:tc>
        <w:tc>
          <w:tcPr>
            <w:tcW w:w="1814" w:type="dxa"/>
            <w:noWrap/>
          </w:tcPr>
          <w:p w14:paraId="495E9F77" w14:textId="77777777" w:rsidR="00B83E76" w:rsidRPr="00010279" w:rsidRDefault="00B83E76" w:rsidP="00B83E76">
            <w:pPr>
              <w:pStyle w:val="Tabletext"/>
              <w:cnfStyle w:val="000000000000" w:firstRow="0" w:lastRow="0" w:firstColumn="0" w:lastColumn="0" w:oddVBand="0" w:evenVBand="0" w:oddHBand="0" w:evenHBand="0" w:firstRowFirstColumn="0" w:firstRowLastColumn="0" w:lastRowFirstColumn="0" w:lastRowLastColumn="0"/>
            </w:pPr>
          </w:p>
        </w:tc>
      </w:tr>
      <w:tr w:rsidR="00B83E76" w:rsidRPr="00010279" w14:paraId="3E7522E6" w14:textId="77777777" w:rsidTr="008255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14" w:type="dxa"/>
            <w:vMerge/>
            <w:noWrap/>
          </w:tcPr>
          <w:p w14:paraId="50ECC3D3" w14:textId="77777777" w:rsidR="00B83E76" w:rsidRPr="00F27C33" w:rsidRDefault="00B83E76" w:rsidP="00B83E76">
            <w:pPr>
              <w:pStyle w:val="Tabletext"/>
              <w:rPr>
                <w:b w:val="0"/>
                <w:bCs w:val="0"/>
              </w:rPr>
            </w:pPr>
          </w:p>
        </w:tc>
        <w:tc>
          <w:tcPr>
            <w:tcW w:w="1814" w:type="dxa"/>
            <w:vMerge w:val="restart"/>
            <w:noWrap/>
          </w:tcPr>
          <w:p w14:paraId="26215AE2" w14:textId="77777777" w:rsidR="00B83E76" w:rsidRPr="006D4BAA" w:rsidRDefault="00B83E76" w:rsidP="00B83E76">
            <w:pPr>
              <w:pStyle w:val="Tabletext"/>
              <w:cnfStyle w:val="000000100000" w:firstRow="0" w:lastRow="0" w:firstColumn="0" w:lastColumn="0" w:oddVBand="0" w:evenVBand="0" w:oddHBand="1" w:evenHBand="0" w:firstRowFirstColumn="0" w:firstRowLastColumn="0" w:lastRowFirstColumn="0" w:lastRowLastColumn="0"/>
            </w:pPr>
            <w:r w:rsidRPr="00F96D5A">
              <w:t>Depression</w:t>
            </w:r>
          </w:p>
        </w:tc>
        <w:tc>
          <w:tcPr>
            <w:tcW w:w="3176" w:type="dxa"/>
            <w:noWrap/>
          </w:tcPr>
          <w:p w14:paraId="68A852C9" w14:textId="4ADEE173" w:rsidR="00B83E76" w:rsidRPr="00D07B0C" w:rsidRDefault="00B83E76" w:rsidP="00B83E76">
            <w:pPr>
              <w:pStyle w:val="Tabletext"/>
              <w:cnfStyle w:val="000000100000" w:firstRow="0" w:lastRow="0" w:firstColumn="0" w:lastColumn="0" w:oddVBand="0" w:evenVBand="0" w:oddHBand="1" w:evenHBand="0" w:firstRowFirstColumn="0" w:firstRowLastColumn="0" w:lastRowFirstColumn="0" w:lastRowLastColumn="0"/>
            </w:pPr>
            <w:r>
              <w:t>Percentage of adults aged 15+ reporting moderate to severe symptoms of depression in the past 2 weeks</w:t>
            </w:r>
          </w:p>
        </w:tc>
        <w:tc>
          <w:tcPr>
            <w:tcW w:w="1983" w:type="dxa"/>
          </w:tcPr>
          <w:p w14:paraId="1C7CDC30" w14:textId="77777777" w:rsidR="00B83E76" w:rsidRDefault="00B83E76" w:rsidP="00B83E76">
            <w:pPr>
              <w:pStyle w:val="Tabletext"/>
              <w:cnfStyle w:val="000000100000" w:firstRow="0" w:lastRow="0" w:firstColumn="0" w:lastColumn="0" w:oddVBand="0" w:evenVBand="0" w:oddHBand="1" w:evenHBand="0" w:firstRowFirstColumn="0" w:firstRowLastColumn="0" w:lastRowFirstColumn="0" w:lastRowLastColumn="0"/>
            </w:pPr>
            <w:r>
              <w:t>Ministry of Health, NZ Health Survey, MHPSA module</w:t>
            </w:r>
          </w:p>
        </w:tc>
        <w:tc>
          <w:tcPr>
            <w:tcW w:w="1845" w:type="dxa"/>
          </w:tcPr>
          <w:p w14:paraId="7D17D7E1" w14:textId="77777777" w:rsidR="00B83E76" w:rsidRPr="00DA7D37" w:rsidRDefault="00B83E76" w:rsidP="00B83E76">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 xml:space="preserve">Data available </w:t>
            </w:r>
            <w:r>
              <w:rPr>
                <w:szCs w:val="20"/>
              </w:rPr>
              <w:t>irregularly,</w:t>
            </w:r>
            <w:r w:rsidRPr="00DA7D37">
              <w:rPr>
                <w:szCs w:val="20"/>
              </w:rPr>
              <w:t xml:space="preserve"> comparable over time</w:t>
            </w:r>
          </w:p>
        </w:tc>
        <w:tc>
          <w:tcPr>
            <w:tcW w:w="1783" w:type="dxa"/>
          </w:tcPr>
          <w:p w14:paraId="16C1C6A8" w14:textId="77777777" w:rsidR="00B83E76" w:rsidRPr="00DA7D37" w:rsidRDefault="00B83E76" w:rsidP="00B83E76">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Data available by ethnicity, sex, age group</w:t>
            </w:r>
          </w:p>
        </w:tc>
        <w:tc>
          <w:tcPr>
            <w:tcW w:w="1814" w:type="dxa"/>
            <w:noWrap/>
          </w:tcPr>
          <w:p w14:paraId="22EECE82" w14:textId="77777777" w:rsidR="00B83E76" w:rsidRPr="00010279" w:rsidRDefault="00B83E76" w:rsidP="00B83E76">
            <w:pPr>
              <w:pStyle w:val="Tabletext"/>
              <w:cnfStyle w:val="000000100000" w:firstRow="0" w:lastRow="0" w:firstColumn="0" w:lastColumn="0" w:oddVBand="0" w:evenVBand="0" w:oddHBand="1" w:evenHBand="0" w:firstRowFirstColumn="0" w:firstRowLastColumn="0" w:lastRowFirstColumn="0" w:lastRowLastColumn="0"/>
            </w:pPr>
          </w:p>
        </w:tc>
      </w:tr>
      <w:tr w:rsidR="00B83E76" w:rsidRPr="00010279" w14:paraId="76FA97E7" w14:textId="77777777" w:rsidTr="008255B9">
        <w:trPr>
          <w:trHeight w:val="285"/>
        </w:trPr>
        <w:tc>
          <w:tcPr>
            <w:cnfStyle w:val="001000000000" w:firstRow="0" w:lastRow="0" w:firstColumn="1" w:lastColumn="0" w:oddVBand="0" w:evenVBand="0" w:oddHBand="0" w:evenHBand="0" w:firstRowFirstColumn="0" w:firstRowLastColumn="0" w:lastRowFirstColumn="0" w:lastRowLastColumn="0"/>
            <w:tcW w:w="1814" w:type="dxa"/>
            <w:vMerge/>
            <w:noWrap/>
          </w:tcPr>
          <w:p w14:paraId="25EBAAFA" w14:textId="77777777" w:rsidR="00B83E76" w:rsidRPr="00F27C33" w:rsidRDefault="00B83E76" w:rsidP="00B83E76">
            <w:pPr>
              <w:pStyle w:val="Tabletext"/>
              <w:rPr>
                <w:b w:val="0"/>
                <w:bCs w:val="0"/>
              </w:rPr>
            </w:pPr>
          </w:p>
        </w:tc>
        <w:tc>
          <w:tcPr>
            <w:tcW w:w="1814" w:type="dxa"/>
            <w:vMerge/>
            <w:noWrap/>
          </w:tcPr>
          <w:p w14:paraId="5D0B0984" w14:textId="77777777" w:rsidR="00B83E76" w:rsidRPr="00F96D5A" w:rsidRDefault="00B83E76" w:rsidP="00B83E76">
            <w:pPr>
              <w:pStyle w:val="Tabletext"/>
              <w:cnfStyle w:val="000000000000" w:firstRow="0" w:lastRow="0" w:firstColumn="0" w:lastColumn="0" w:oddVBand="0" w:evenVBand="0" w:oddHBand="0" w:evenHBand="0" w:firstRowFirstColumn="0" w:firstRowLastColumn="0" w:lastRowFirstColumn="0" w:lastRowLastColumn="0"/>
            </w:pPr>
          </w:p>
        </w:tc>
        <w:tc>
          <w:tcPr>
            <w:tcW w:w="3176" w:type="dxa"/>
            <w:noWrap/>
          </w:tcPr>
          <w:p w14:paraId="0B78FED9" w14:textId="6CE37545" w:rsidR="00B83E76" w:rsidRDefault="00B83E76" w:rsidP="00B83E76">
            <w:pPr>
              <w:pStyle w:val="Tabletext"/>
              <w:cnfStyle w:val="000000000000" w:firstRow="0" w:lastRow="0" w:firstColumn="0" w:lastColumn="0" w:oddVBand="0" w:evenVBand="0" w:oddHBand="0" w:evenHBand="0" w:firstRowFirstColumn="0" w:firstRowLastColumn="0" w:lastRowFirstColumn="0" w:lastRowLastColumn="0"/>
            </w:pPr>
            <w:r>
              <w:t>Youth-related indicator to be determined</w:t>
            </w:r>
          </w:p>
        </w:tc>
        <w:tc>
          <w:tcPr>
            <w:tcW w:w="1983" w:type="dxa"/>
          </w:tcPr>
          <w:p w14:paraId="3BD581E8" w14:textId="6D16C6CF" w:rsidR="00B83E76" w:rsidRDefault="00B83E76" w:rsidP="00B83E76">
            <w:pPr>
              <w:pStyle w:val="Tabletext"/>
              <w:cnfStyle w:val="000000000000" w:firstRow="0" w:lastRow="0" w:firstColumn="0" w:lastColumn="0" w:oddVBand="0" w:evenVBand="0" w:oddHBand="0" w:evenHBand="0" w:firstRowFirstColumn="0" w:firstRowLastColumn="0" w:lastRowFirstColumn="0" w:lastRowLastColumn="0"/>
            </w:pPr>
            <w:r>
              <w:t>MSD, Youth Health and Wellbeing Survey</w:t>
            </w:r>
          </w:p>
        </w:tc>
        <w:tc>
          <w:tcPr>
            <w:tcW w:w="1845" w:type="dxa"/>
          </w:tcPr>
          <w:p w14:paraId="08E5682B" w14:textId="1DD5DF06" w:rsidR="00B83E76" w:rsidRPr="00DA7D37" w:rsidRDefault="00B83E76" w:rsidP="00B83E76">
            <w:pPr>
              <w:pStyle w:val="Tabletext"/>
              <w:cnfStyle w:val="000000000000" w:firstRow="0" w:lastRow="0" w:firstColumn="0" w:lastColumn="0" w:oddVBand="0" w:evenVBand="0" w:oddHBand="0" w:evenHBand="0" w:firstRowFirstColumn="0" w:firstRowLastColumn="0" w:lastRowFirstColumn="0" w:lastRowLastColumn="0"/>
              <w:rPr>
                <w:szCs w:val="20"/>
              </w:rPr>
            </w:pPr>
            <w:r>
              <w:rPr>
                <w:szCs w:val="20"/>
              </w:rPr>
              <w:t xml:space="preserve">Data available three-yearly and </w:t>
            </w:r>
            <w:r w:rsidRPr="00DA7D37">
              <w:rPr>
                <w:szCs w:val="20"/>
              </w:rPr>
              <w:t>comparable over time</w:t>
            </w:r>
            <w:r>
              <w:rPr>
                <w:szCs w:val="20"/>
              </w:rPr>
              <w:t xml:space="preserve"> </w:t>
            </w:r>
          </w:p>
        </w:tc>
        <w:tc>
          <w:tcPr>
            <w:tcW w:w="1783" w:type="dxa"/>
          </w:tcPr>
          <w:p w14:paraId="63D9E6A7" w14:textId="30D9AB58" w:rsidR="00B83E76" w:rsidRPr="00DA7D37" w:rsidRDefault="00B83E76" w:rsidP="00B83E7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Data available by ethnicity, sex, age group</w:t>
            </w:r>
          </w:p>
        </w:tc>
        <w:tc>
          <w:tcPr>
            <w:tcW w:w="1814" w:type="dxa"/>
            <w:noWrap/>
          </w:tcPr>
          <w:p w14:paraId="397274E0" w14:textId="77777777" w:rsidR="00B83E76" w:rsidRPr="00010279" w:rsidRDefault="00B83E76" w:rsidP="00B83E76">
            <w:pPr>
              <w:pStyle w:val="Tabletext"/>
              <w:cnfStyle w:val="000000000000" w:firstRow="0" w:lastRow="0" w:firstColumn="0" w:lastColumn="0" w:oddVBand="0" w:evenVBand="0" w:oddHBand="0" w:evenHBand="0" w:firstRowFirstColumn="0" w:firstRowLastColumn="0" w:lastRowFirstColumn="0" w:lastRowLastColumn="0"/>
            </w:pPr>
          </w:p>
        </w:tc>
      </w:tr>
      <w:tr w:rsidR="00B83E76" w:rsidRPr="00010279" w14:paraId="2F4E4465" w14:textId="77777777" w:rsidTr="008255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14" w:type="dxa"/>
            <w:vMerge/>
            <w:noWrap/>
          </w:tcPr>
          <w:p w14:paraId="2EC8AAF2" w14:textId="77777777" w:rsidR="00B83E76" w:rsidRPr="00F27C33" w:rsidRDefault="00B83E76" w:rsidP="00B83E76">
            <w:pPr>
              <w:pStyle w:val="Tabletext"/>
              <w:rPr>
                <w:b w:val="0"/>
                <w:bCs w:val="0"/>
              </w:rPr>
            </w:pPr>
          </w:p>
        </w:tc>
        <w:tc>
          <w:tcPr>
            <w:tcW w:w="1814" w:type="dxa"/>
            <w:vMerge w:val="restart"/>
            <w:noWrap/>
          </w:tcPr>
          <w:p w14:paraId="6352D423" w14:textId="77777777" w:rsidR="00B83E76" w:rsidRPr="006D4BAA" w:rsidRDefault="00B83E76" w:rsidP="00B83E76">
            <w:pPr>
              <w:pStyle w:val="Tabletext"/>
              <w:cnfStyle w:val="000000100000" w:firstRow="0" w:lastRow="0" w:firstColumn="0" w:lastColumn="0" w:oddVBand="0" w:evenVBand="0" w:oddHBand="1" w:evenHBand="0" w:firstRowFirstColumn="0" w:firstRowLastColumn="0" w:lastRowFirstColumn="0" w:lastRowLastColumn="0"/>
            </w:pPr>
            <w:r w:rsidRPr="00E83842">
              <w:t>Anxiety</w:t>
            </w:r>
          </w:p>
        </w:tc>
        <w:tc>
          <w:tcPr>
            <w:tcW w:w="3176" w:type="dxa"/>
            <w:noWrap/>
          </w:tcPr>
          <w:p w14:paraId="7BA134D4" w14:textId="0440F40A" w:rsidR="00B83E76" w:rsidRPr="00D07B0C" w:rsidRDefault="00B83E76" w:rsidP="00B83E76">
            <w:pPr>
              <w:pStyle w:val="Tabletext"/>
              <w:cnfStyle w:val="000000100000" w:firstRow="0" w:lastRow="0" w:firstColumn="0" w:lastColumn="0" w:oddVBand="0" w:evenVBand="0" w:oddHBand="1" w:evenHBand="0" w:firstRowFirstColumn="0" w:firstRowLastColumn="0" w:lastRowFirstColumn="0" w:lastRowLastColumn="0"/>
            </w:pPr>
            <w:r w:rsidRPr="00E83842">
              <w:t>Percentage of population aged 15+ who have experienced moderate or greater anxiety symptoms in the past 2 weeks</w:t>
            </w:r>
          </w:p>
        </w:tc>
        <w:tc>
          <w:tcPr>
            <w:tcW w:w="1983" w:type="dxa"/>
          </w:tcPr>
          <w:p w14:paraId="72749B5A" w14:textId="77777777" w:rsidR="00B83E76" w:rsidRDefault="00B83E76" w:rsidP="00B83E76">
            <w:pPr>
              <w:pStyle w:val="Tabletext"/>
              <w:cnfStyle w:val="000000100000" w:firstRow="0" w:lastRow="0" w:firstColumn="0" w:lastColumn="0" w:oddVBand="0" w:evenVBand="0" w:oddHBand="1" w:evenHBand="0" w:firstRowFirstColumn="0" w:firstRowLastColumn="0" w:lastRowFirstColumn="0" w:lastRowLastColumn="0"/>
            </w:pPr>
            <w:r>
              <w:t>Ministry of Health, NZ Health Survey, MHPSA module</w:t>
            </w:r>
          </w:p>
        </w:tc>
        <w:tc>
          <w:tcPr>
            <w:tcW w:w="1845" w:type="dxa"/>
          </w:tcPr>
          <w:p w14:paraId="7E78D316" w14:textId="77777777" w:rsidR="00B83E76" w:rsidRPr="00DA7D37" w:rsidRDefault="00B83E76" w:rsidP="00B83E76">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 xml:space="preserve">Data available </w:t>
            </w:r>
            <w:r>
              <w:rPr>
                <w:szCs w:val="20"/>
              </w:rPr>
              <w:t>irregularly,</w:t>
            </w:r>
            <w:r w:rsidRPr="00DA7D37">
              <w:rPr>
                <w:szCs w:val="20"/>
              </w:rPr>
              <w:t xml:space="preserve"> comparable over time</w:t>
            </w:r>
          </w:p>
        </w:tc>
        <w:tc>
          <w:tcPr>
            <w:tcW w:w="1783" w:type="dxa"/>
          </w:tcPr>
          <w:p w14:paraId="7C46FBE2" w14:textId="77777777" w:rsidR="00B83E76" w:rsidRPr="00DA7D37" w:rsidRDefault="00B83E76" w:rsidP="00B83E76">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Data available by ethnicity, sex, age group</w:t>
            </w:r>
          </w:p>
        </w:tc>
        <w:tc>
          <w:tcPr>
            <w:tcW w:w="1814" w:type="dxa"/>
            <w:noWrap/>
          </w:tcPr>
          <w:p w14:paraId="4A3A07E9" w14:textId="77777777" w:rsidR="00B83E76" w:rsidRPr="00010279" w:rsidRDefault="00B83E76" w:rsidP="00B83E76">
            <w:pPr>
              <w:pStyle w:val="Tabletext"/>
              <w:cnfStyle w:val="000000100000" w:firstRow="0" w:lastRow="0" w:firstColumn="0" w:lastColumn="0" w:oddVBand="0" w:evenVBand="0" w:oddHBand="1" w:evenHBand="0" w:firstRowFirstColumn="0" w:firstRowLastColumn="0" w:lastRowFirstColumn="0" w:lastRowLastColumn="0"/>
            </w:pPr>
          </w:p>
        </w:tc>
      </w:tr>
      <w:tr w:rsidR="00B83E76" w:rsidRPr="00010279" w14:paraId="0590BD0D" w14:textId="77777777" w:rsidTr="008255B9">
        <w:trPr>
          <w:trHeight w:val="285"/>
        </w:trPr>
        <w:tc>
          <w:tcPr>
            <w:cnfStyle w:val="001000000000" w:firstRow="0" w:lastRow="0" w:firstColumn="1" w:lastColumn="0" w:oddVBand="0" w:evenVBand="0" w:oddHBand="0" w:evenHBand="0" w:firstRowFirstColumn="0" w:firstRowLastColumn="0" w:lastRowFirstColumn="0" w:lastRowLastColumn="0"/>
            <w:tcW w:w="1814" w:type="dxa"/>
            <w:vMerge/>
            <w:noWrap/>
          </w:tcPr>
          <w:p w14:paraId="5856474F" w14:textId="77777777" w:rsidR="00B83E76" w:rsidRPr="00F27C33" w:rsidRDefault="00B83E76" w:rsidP="00B83E76">
            <w:pPr>
              <w:pStyle w:val="Tabletext"/>
              <w:rPr>
                <w:b w:val="0"/>
                <w:bCs w:val="0"/>
              </w:rPr>
            </w:pPr>
          </w:p>
        </w:tc>
        <w:tc>
          <w:tcPr>
            <w:tcW w:w="1814" w:type="dxa"/>
            <w:vMerge/>
            <w:noWrap/>
          </w:tcPr>
          <w:p w14:paraId="00FA8283" w14:textId="77777777" w:rsidR="00B83E76" w:rsidRPr="00E83842" w:rsidRDefault="00B83E76" w:rsidP="00B83E76">
            <w:pPr>
              <w:pStyle w:val="Tabletext"/>
              <w:cnfStyle w:val="000000000000" w:firstRow="0" w:lastRow="0" w:firstColumn="0" w:lastColumn="0" w:oddVBand="0" w:evenVBand="0" w:oddHBand="0" w:evenHBand="0" w:firstRowFirstColumn="0" w:firstRowLastColumn="0" w:lastRowFirstColumn="0" w:lastRowLastColumn="0"/>
            </w:pPr>
          </w:p>
        </w:tc>
        <w:tc>
          <w:tcPr>
            <w:tcW w:w="3176" w:type="dxa"/>
            <w:noWrap/>
          </w:tcPr>
          <w:p w14:paraId="256D82C7" w14:textId="57B50F72" w:rsidR="00B83E76" w:rsidRPr="00E83842" w:rsidRDefault="00B83E76" w:rsidP="00B83E76">
            <w:pPr>
              <w:pStyle w:val="Tabletext"/>
              <w:cnfStyle w:val="000000000000" w:firstRow="0" w:lastRow="0" w:firstColumn="0" w:lastColumn="0" w:oddVBand="0" w:evenVBand="0" w:oddHBand="0" w:evenHBand="0" w:firstRowFirstColumn="0" w:firstRowLastColumn="0" w:lastRowFirstColumn="0" w:lastRowLastColumn="0"/>
            </w:pPr>
            <w:r>
              <w:t>Youth-related indicator to be determined</w:t>
            </w:r>
          </w:p>
        </w:tc>
        <w:tc>
          <w:tcPr>
            <w:tcW w:w="1983" w:type="dxa"/>
          </w:tcPr>
          <w:p w14:paraId="753EE60E" w14:textId="581E7C2D" w:rsidR="00B83E76" w:rsidRDefault="00B83E76" w:rsidP="00B83E76">
            <w:pPr>
              <w:pStyle w:val="Tabletext"/>
              <w:cnfStyle w:val="000000000000" w:firstRow="0" w:lastRow="0" w:firstColumn="0" w:lastColumn="0" w:oddVBand="0" w:evenVBand="0" w:oddHBand="0" w:evenHBand="0" w:firstRowFirstColumn="0" w:firstRowLastColumn="0" w:lastRowFirstColumn="0" w:lastRowLastColumn="0"/>
            </w:pPr>
            <w:r>
              <w:t>MSD, Youth Health and Wellbeing Survey</w:t>
            </w:r>
          </w:p>
        </w:tc>
        <w:tc>
          <w:tcPr>
            <w:tcW w:w="1845" w:type="dxa"/>
          </w:tcPr>
          <w:p w14:paraId="090CA3A8" w14:textId="248EBC8A" w:rsidR="00B83E76" w:rsidRPr="00DA7D37" w:rsidRDefault="00B83E76" w:rsidP="00B83E76">
            <w:pPr>
              <w:pStyle w:val="Tabletext"/>
              <w:cnfStyle w:val="000000000000" w:firstRow="0" w:lastRow="0" w:firstColumn="0" w:lastColumn="0" w:oddVBand="0" w:evenVBand="0" w:oddHBand="0" w:evenHBand="0" w:firstRowFirstColumn="0" w:firstRowLastColumn="0" w:lastRowFirstColumn="0" w:lastRowLastColumn="0"/>
              <w:rPr>
                <w:szCs w:val="20"/>
              </w:rPr>
            </w:pPr>
            <w:r>
              <w:rPr>
                <w:szCs w:val="20"/>
              </w:rPr>
              <w:t xml:space="preserve">Data available three-yearly and </w:t>
            </w:r>
            <w:r w:rsidRPr="00DA7D37">
              <w:rPr>
                <w:szCs w:val="20"/>
              </w:rPr>
              <w:t>comparable over time</w:t>
            </w:r>
            <w:r>
              <w:rPr>
                <w:szCs w:val="20"/>
              </w:rPr>
              <w:t xml:space="preserve"> </w:t>
            </w:r>
          </w:p>
        </w:tc>
        <w:tc>
          <w:tcPr>
            <w:tcW w:w="1783" w:type="dxa"/>
          </w:tcPr>
          <w:p w14:paraId="44EF29F0" w14:textId="12E3CD15" w:rsidR="00B83E76" w:rsidRPr="00DA7D37" w:rsidRDefault="00B83E76" w:rsidP="00B83E7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Data available by ethnicity, sex, age group</w:t>
            </w:r>
          </w:p>
        </w:tc>
        <w:tc>
          <w:tcPr>
            <w:tcW w:w="1814" w:type="dxa"/>
            <w:noWrap/>
          </w:tcPr>
          <w:p w14:paraId="2628C816" w14:textId="77777777" w:rsidR="00B83E76" w:rsidRPr="00010279" w:rsidRDefault="00B83E76" w:rsidP="00B83E76">
            <w:pPr>
              <w:pStyle w:val="Tabletext"/>
              <w:cnfStyle w:val="000000000000" w:firstRow="0" w:lastRow="0" w:firstColumn="0" w:lastColumn="0" w:oddVBand="0" w:evenVBand="0" w:oddHBand="0" w:evenHBand="0" w:firstRowFirstColumn="0" w:firstRowLastColumn="0" w:lastRowFirstColumn="0" w:lastRowLastColumn="0"/>
            </w:pPr>
          </w:p>
        </w:tc>
      </w:tr>
      <w:tr w:rsidR="00B83E76" w:rsidRPr="00010279" w14:paraId="51C28754" w14:textId="77777777" w:rsidTr="008255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14" w:type="dxa"/>
            <w:vMerge/>
            <w:noWrap/>
            <w:hideMark/>
          </w:tcPr>
          <w:p w14:paraId="68A2ACDB" w14:textId="77777777" w:rsidR="00B83E76" w:rsidRPr="00F27C33" w:rsidRDefault="00B83E76" w:rsidP="00B83E76">
            <w:pPr>
              <w:pStyle w:val="Tabletext"/>
              <w:rPr>
                <w:b w:val="0"/>
                <w:bCs w:val="0"/>
              </w:rPr>
            </w:pPr>
          </w:p>
        </w:tc>
        <w:tc>
          <w:tcPr>
            <w:tcW w:w="1814" w:type="dxa"/>
            <w:noWrap/>
          </w:tcPr>
          <w:p w14:paraId="43CE496A" w14:textId="49700D15" w:rsidR="00B83E76" w:rsidRPr="00F27C33" w:rsidRDefault="005357CA" w:rsidP="00B83E76">
            <w:pPr>
              <w:pStyle w:val="Tabletext"/>
              <w:cnfStyle w:val="000000100000" w:firstRow="0" w:lastRow="0" w:firstColumn="0" w:lastColumn="0" w:oddVBand="0" w:evenVBand="0" w:oddHBand="1" w:evenHBand="0" w:firstRowFirstColumn="0" w:firstRowLastColumn="0" w:lastRowFirstColumn="0" w:lastRowLastColumn="0"/>
            </w:pPr>
            <w:r>
              <w:t>Hazardous drinking</w:t>
            </w:r>
            <w:r w:rsidR="00B83E76" w:rsidRPr="006D4BAA">
              <w:t xml:space="preserve"> </w:t>
            </w:r>
          </w:p>
        </w:tc>
        <w:tc>
          <w:tcPr>
            <w:tcW w:w="3176" w:type="dxa"/>
            <w:noWrap/>
          </w:tcPr>
          <w:p w14:paraId="5BE34B03" w14:textId="77777777" w:rsidR="00B83E76" w:rsidRPr="00AC4EDB" w:rsidRDefault="00B83E76" w:rsidP="00B83E76">
            <w:pPr>
              <w:pStyle w:val="Tabletext"/>
              <w:cnfStyle w:val="000000100000" w:firstRow="0" w:lastRow="0" w:firstColumn="0" w:lastColumn="0" w:oddVBand="0" w:evenVBand="0" w:oddHBand="1" w:evenHBand="0" w:firstRowFirstColumn="0" w:firstRowLastColumn="0" w:lastRowFirstColumn="0" w:lastRowLastColumn="0"/>
            </w:pPr>
            <w:r w:rsidRPr="00D07B0C">
              <w:t>Percentage of population aged 15+ with a hazardous drinking (alcohol) pattern</w:t>
            </w:r>
          </w:p>
        </w:tc>
        <w:tc>
          <w:tcPr>
            <w:tcW w:w="1983" w:type="dxa"/>
          </w:tcPr>
          <w:p w14:paraId="39C19452" w14:textId="77777777" w:rsidR="00B83E76" w:rsidRPr="00010279" w:rsidRDefault="00B83E76" w:rsidP="00B83E76">
            <w:pPr>
              <w:pStyle w:val="Tabletext"/>
              <w:cnfStyle w:val="000000100000" w:firstRow="0" w:lastRow="0" w:firstColumn="0" w:lastColumn="0" w:oddVBand="0" w:evenVBand="0" w:oddHBand="1" w:evenHBand="0" w:firstRowFirstColumn="0" w:firstRowLastColumn="0" w:lastRowFirstColumn="0" w:lastRowLastColumn="0"/>
            </w:pPr>
            <w:r>
              <w:t>Ministry of Health, NZ Health Survey</w:t>
            </w:r>
          </w:p>
        </w:tc>
        <w:tc>
          <w:tcPr>
            <w:tcW w:w="1845" w:type="dxa"/>
          </w:tcPr>
          <w:p w14:paraId="5263ECA6" w14:textId="77777777" w:rsidR="00B83E76" w:rsidRPr="00010279" w:rsidRDefault="00B83E76" w:rsidP="00B83E76">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Data available annually and comparable over time</w:t>
            </w:r>
          </w:p>
        </w:tc>
        <w:tc>
          <w:tcPr>
            <w:tcW w:w="1783" w:type="dxa"/>
          </w:tcPr>
          <w:p w14:paraId="5E7A747E" w14:textId="77777777" w:rsidR="00B83E76" w:rsidRPr="00010279" w:rsidRDefault="00B83E76" w:rsidP="00B83E76">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Data available by ethnicity, sex, age group</w:t>
            </w:r>
          </w:p>
        </w:tc>
        <w:tc>
          <w:tcPr>
            <w:tcW w:w="1814" w:type="dxa"/>
            <w:noWrap/>
          </w:tcPr>
          <w:p w14:paraId="1AD3FDF6" w14:textId="70BA66B3" w:rsidR="00B83E76" w:rsidRPr="00010279" w:rsidRDefault="008D0CA1" w:rsidP="00B83E76">
            <w:pPr>
              <w:pStyle w:val="Tabletext"/>
              <w:cnfStyle w:val="000000100000" w:firstRow="0" w:lastRow="0" w:firstColumn="0" w:lastColumn="0" w:oddVBand="0" w:evenVBand="0" w:oddHBand="1" w:evenHBand="0" w:firstRowFirstColumn="0" w:firstRowLastColumn="0" w:lastRowFirstColumn="0" w:lastRowLastColumn="0"/>
            </w:pPr>
            <w:r>
              <w:t>System Performance Framework</w:t>
            </w:r>
          </w:p>
        </w:tc>
      </w:tr>
      <w:tr w:rsidR="00B83E76" w:rsidRPr="00010279" w14:paraId="58935F60" w14:textId="77777777" w:rsidTr="008255B9">
        <w:trPr>
          <w:trHeight w:val="285"/>
        </w:trPr>
        <w:tc>
          <w:tcPr>
            <w:cnfStyle w:val="001000000000" w:firstRow="0" w:lastRow="0" w:firstColumn="1" w:lastColumn="0" w:oddVBand="0" w:evenVBand="0" w:oddHBand="0" w:evenHBand="0" w:firstRowFirstColumn="0" w:firstRowLastColumn="0" w:lastRowFirstColumn="0" w:lastRowLastColumn="0"/>
            <w:tcW w:w="1814" w:type="dxa"/>
            <w:vMerge/>
            <w:noWrap/>
          </w:tcPr>
          <w:p w14:paraId="2C65C790" w14:textId="77777777" w:rsidR="00B83E76" w:rsidRPr="00F27C33" w:rsidRDefault="00B83E76" w:rsidP="00B83E76">
            <w:pPr>
              <w:pStyle w:val="Tabletext"/>
              <w:rPr>
                <w:b w:val="0"/>
                <w:bCs w:val="0"/>
              </w:rPr>
            </w:pPr>
          </w:p>
        </w:tc>
        <w:tc>
          <w:tcPr>
            <w:tcW w:w="1814" w:type="dxa"/>
            <w:noWrap/>
          </w:tcPr>
          <w:p w14:paraId="57A59F13" w14:textId="77777777" w:rsidR="00B83E76" w:rsidRPr="006D4BAA" w:rsidRDefault="00B83E76" w:rsidP="00B83E76">
            <w:pPr>
              <w:pStyle w:val="Tabletext"/>
              <w:cnfStyle w:val="000000000000" w:firstRow="0" w:lastRow="0" w:firstColumn="0" w:lastColumn="0" w:oddVBand="0" w:evenVBand="0" w:oddHBand="0" w:evenHBand="0" w:firstRowFirstColumn="0" w:firstRowLastColumn="0" w:lastRowFirstColumn="0" w:lastRowLastColumn="0"/>
            </w:pPr>
          </w:p>
        </w:tc>
        <w:tc>
          <w:tcPr>
            <w:tcW w:w="3176" w:type="dxa"/>
            <w:noWrap/>
          </w:tcPr>
          <w:p w14:paraId="07D48BD9" w14:textId="72593CFE" w:rsidR="00B83E76" w:rsidRPr="00D07B0C" w:rsidRDefault="00B83E76" w:rsidP="00B83E76">
            <w:pPr>
              <w:pStyle w:val="Tabletext"/>
              <w:cnfStyle w:val="000000000000" w:firstRow="0" w:lastRow="0" w:firstColumn="0" w:lastColumn="0" w:oddVBand="0" w:evenVBand="0" w:oddHBand="0" w:evenHBand="0" w:firstRowFirstColumn="0" w:firstRowLastColumn="0" w:lastRowFirstColumn="0" w:lastRowLastColumn="0"/>
            </w:pPr>
            <w:r>
              <w:t>Youth-related indicator to be determined</w:t>
            </w:r>
          </w:p>
        </w:tc>
        <w:tc>
          <w:tcPr>
            <w:tcW w:w="1983" w:type="dxa"/>
          </w:tcPr>
          <w:p w14:paraId="0005C58C" w14:textId="6485DD4C" w:rsidR="00B83E76" w:rsidRDefault="00B83E76" w:rsidP="00B83E76">
            <w:pPr>
              <w:pStyle w:val="Tabletext"/>
              <w:cnfStyle w:val="000000000000" w:firstRow="0" w:lastRow="0" w:firstColumn="0" w:lastColumn="0" w:oddVBand="0" w:evenVBand="0" w:oddHBand="0" w:evenHBand="0" w:firstRowFirstColumn="0" w:firstRowLastColumn="0" w:lastRowFirstColumn="0" w:lastRowLastColumn="0"/>
            </w:pPr>
            <w:r>
              <w:t>MSD, Youth Health and Wellbeing Survey</w:t>
            </w:r>
          </w:p>
        </w:tc>
        <w:tc>
          <w:tcPr>
            <w:tcW w:w="1845" w:type="dxa"/>
          </w:tcPr>
          <w:p w14:paraId="78784ACC" w14:textId="7E87A4B7" w:rsidR="00B83E76" w:rsidRPr="00DA7D37" w:rsidRDefault="00B83E76" w:rsidP="00B83E76">
            <w:pPr>
              <w:pStyle w:val="Tabletext"/>
              <w:cnfStyle w:val="000000000000" w:firstRow="0" w:lastRow="0" w:firstColumn="0" w:lastColumn="0" w:oddVBand="0" w:evenVBand="0" w:oddHBand="0" w:evenHBand="0" w:firstRowFirstColumn="0" w:firstRowLastColumn="0" w:lastRowFirstColumn="0" w:lastRowLastColumn="0"/>
              <w:rPr>
                <w:szCs w:val="20"/>
              </w:rPr>
            </w:pPr>
            <w:r>
              <w:rPr>
                <w:szCs w:val="20"/>
              </w:rPr>
              <w:t xml:space="preserve">Data available three-yearly and </w:t>
            </w:r>
            <w:r w:rsidRPr="00DA7D37">
              <w:rPr>
                <w:szCs w:val="20"/>
              </w:rPr>
              <w:t>comparable over time</w:t>
            </w:r>
            <w:r>
              <w:rPr>
                <w:szCs w:val="20"/>
              </w:rPr>
              <w:t xml:space="preserve"> </w:t>
            </w:r>
          </w:p>
        </w:tc>
        <w:tc>
          <w:tcPr>
            <w:tcW w:w="1783" w:type="dxa"/>
          </w:tcPr>
          <w:p w14:paraId="39DA6421" w14:textId="46260096" w:rsidR="00B83E76" w:rsidRPr="00DA7D37" w:rsidRDefault="00E4490A" w:rsidP="00B83E7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Data available by ethnicity, sex, age group</w:t>
            </w:r>
          </w:p>
        </w:tc>
        <w:tc>
          <w:tcPr>
            <w:tcW w:w="1814" w:type="dxa"/>
            <w:noWrap/>
          </w:tcPr>
          <w:p w14:paraId="0A401C89" w14:textId="77777777" w:rsidR="00B83E76" w:rsidRPr="00010279" w:rsidRDefault="00B83E76" w:rsidP="00B83E76">
            <w:pPr>
              <w:pStyle w:val="Tabletext"/>
              <w:cnfStyle w:val="000000000000" w:firstRow="0" w:lastRow="0" w:firstColumn="0" w:lastColumn="0" w:oddVBand="0" w:evenVBand="0" w:oddHBand="0" w:evenHBand="0" w:firstRowFirstColumn="0" w:firstRowLastColumn="0" w:lastRowFirstColumn="0" w:lastRowLastColumn="0"/>
            </w:pPr>
          </w:p>
        </w:tc>
      </w:tr>
      <w:tr w:rsidR="00B83E76" w:rsidRPr="00010279" w14:paraId="159418C0" w14:textId="77777777" w:rsidTr="008255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14" w:type="dxa"/>
            <w:vMerge/>
            <w:noWrap/>
          </w:tcPr>
          <w:p w14:paraId="2ECE8DDD" w14:textId="77777777" w:rsidR="00B83E76" w:rsidRPr="00F27C33" w:rsidRDefault="00B83E76" w:rsidP="00B83E76">
            <w:pPr>
              <w:pStyle w:val="Tabletext"/>
              <w:rPr>
                <w:b w:val="0"/>
                <w:bCs w:val="0"/>
              </w:rPr>
            </w:pPr>
          </w:p>
        </w:tc>
        <w:tc>
          <w:tcPr>
            <w:tcW w:w="1814" w:type="dxa"/>
            <w:noWrap/>
          </w:tcPr>
          <w:p w14:paraId="452523C9" w14:textId="6A2AC9EA" w:rsidR="00B83E76" w:rsidRPr="006D4BAA" w:rsidRDefault="005357CA" w:rsidP="00B83E76">
            <w:pPr>
              <w:pStyle w:val="Tabletext"/>
              <w:cnfStyle w:val="000000100000" w:firstRow="0" w:lastRow="0" w:firstColumn="0" w:lastColumn="0" w:oddVBand="0" w:evenVBand="0" w:oddHBand="1" w:evenHBand="0" w:firstRowFirstColumn="0" w:firstRowLastColumn="0" w:lastRowFirstColumn="0" w:lastRowLastColumn="0"/>
            </w:pPr>
            <w:r>
              <w:t>Problematic substance use</w:t>
            </w:r>
          </w:p>
        </w:tc>
        <w:tc>
          <w:tcPr>
            <w:tcW w:w="3176" w:type="dxa"/>
            <w:noWrap/>
          </w:tcPr>
          <w:p w14:paraId="3CDAC151" w14:textId="52E3B26D" w:rsidR="00B83E76" w:rsidRPr="00D07B0C" w:rsidRDefault="00B83E76" w:rsidP="00B83E76">
            <w:pPr>
              <w:pStyle w:val="Tabletext"/>
              <w:cnfStyle w:val="000000100000" w:firstRow="0" w:lastRow="0" w:firstColumn="0" w:lastColumn="0" w:oddVBand="0" w:evenVBand="0" w:oddHBand="1" w:evenHBand="0" w:firstRowFirstColumn="0" w:firstRowLastColumn="0" w:lastRowFirstColumn="0" w:lastRowLastColumn="0"/>
            </w:pPr>
            <w:r w:rsidRPr="00D07B0C">
              <w:t>Percentage of population aged 15+ with moderate or high risk of problematic substance use</w:t>
            </w:r>
          </w:p>
        </w:tc>
        <w:tc>
          <w:tcPr>
            <w:tcW w:w="1983" w:type="dxa"/>
          </w:tcPr>
          <w:p w14:paraId="2F371E76" w14:textId="77777777" w:rsidR="00B83E76" w:rsidRDefault="00B83E76" w:rsidP="00B83E76">
            <w:pPr>
              <w:pStyle w:val="Tabletext"/>
              <w:cnfStyle w:val="000000100000" w:firstRow="0" w:lastRow="0" w:firstColumn="0" w:lastColumn="0" w:oddVBand="0" w:evenVBand="0" w:oddHBand="1" w:evenHBand="0" w:firstRowFirstColumn="0" w:firstRowLastColumn="0" w:lastRowFirstColumn="0" w:lastRowLastColumn="0"/>
            </w:pPr>
            <w:r>
              <w:t>Ministry of Health, NZ Health Survey, MHPSA module</w:t>
            </w:r>
          </w:p>
        </w:tc>
        <w:tc>
          <w:tcPr>
            <w:tcW w:w="1845" w:type="dxa"/>
          </w:tcPr>
          <w:p w14:paraId="70986D21" w14:textId="77777777" w:rsidR="00B83E76" w:rsidRPr="00DA7D37" w:rsidRDefault="00B83E76" w:rsidP="00B83E76">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 xml:space="preserve">Data available </w:t>
            </w:r>
            <w:r>
              <w:rPr>
                <w:szCs w:val="20"/>
              </w:rPr>
              <w:t>irregularly,</w:t>
            </w:r>
            <w:r w:rsidRPr="00DA7D37">
              <w:rPr>
                <w:szCs w:val="20"/>
              </w:rPr>
              <w:t xml:space="preserve"> comparable over time</w:t>
            </w:r>
          </w:p>
        </w:tc>
        <w:tc>
          <w:tcPr>
            <w:tcW w:w="1783" w:type="dxa"/>
          </w:tcPr>
          <w:p w14:paraId="229F8A25" w14:textId="77777777" w:rsidR="00B83E76" w:rsidRPr="00DA7D37" w:rsidRDefault="00B83E76" w:rsidP="00B83E76">
            <w:pPr>
              <w:pStyle w:val="Tabletext"/>
              <w:cnfStyle w:val="000000100000" w:firstRow="0" w:lastRow="0" w:firstColumn="0" w:lastColumn="0" w:oddVBand="0" w:evenVBand="0" w:oddHBand="1" w:evenHBand="0" w:firstRowFirstColumn="0" w:firstRowLastColumn="0" w:lastRowFirstColumn="0" w:lastRowLastColumn="0"/>
              <w:rPr>
                <w:szCs w:val="20"/>
              </w:rPr>
            </w:pPr>
            <w:r w:rsidRPr="00DA7D37">
              <w:rPr>
                <w:szCs w:val="20"/>
              </w:rPr>
              <w:t>Data available by ethnicity, sex, age group</w:t>
            </w:r>
          </w:p>
        </w:tc>
        <w:tc>
          <w:tcPr>
            <w:tcW w:w="1814" w:type="dxa"/>
            <w:noWrap/>
          </w:tcPr>
          <w:p w14:paraId="5D836A5B" w14:textId="77777777" w:rsidR="00B83E76" w:rsidRPr="00010279" w:rsidRDefault="00B83E76" w:rsidP="00B83E76">
            <w:pPr>
              <w:pStyle w:val="Tabletext"/>
              <w:cnfStyle w:val="000000100000" w:firstRow="0" w:lastRow="0" w:firstColumn="0" w:lastColumn="0" w:oddVBand="0" w:evenVBand="0" w:oddHBand="1" w:evenHBand="0" w:firstRowFirstColumn="0" w:firstRowLastColumn="0" w:lastRowFirstColumn="0" w:lastRowLastColumn="0"/>
            </w:pPr>
          </w:p>
        </w:tc>
      </w:tr>
      <w:tr w:rsidR="00B83E76" w:rsidRPr="00010279" w14:paraId="7B3F30C0" w14:textId="77777777" w:rsidTr="008255B9">
        <w:trPr>
          <w:trHeight w:val="285"/>
        </w:trPr>
        <w:tc>
          <w:tcPr>
            <w:cnfStyle w:val="001000000000" w:firstRow="0" w:lastRow="0" w:firstColumn="1" w:lastColumn="0" w:oddVBand="0" w:evenVBand="0" w:oddHBand="0" w:evenHBand="0" w:firstRowFirstColumn="0" w:firstRowLastColumn="0" w:lastRowFirstColumn="0" w:lastRowLastColumn="0"/>
            <w:tcW w:w="1814" w:type="dxa"/>
            <w:vMerge/>
            <w:noWrap/>
          </w:tcPr>
          <w:p w14:paraId="3E491051" w14:textId="77777777" w:rsidR="00B83E76" w:rsidRPr="00F27C33" w:rsidRDefault="00B83E76" w:rsidP="00B83E76">
            <w:pPr>
              <w:pStyle w:val="Tabletext"/>
              <w:rPr>
                <w:b w:val="0"/>
                <w:bCs w:val="0"/>
              </w:rPr>
            </w:pPr>
          </w:p>
        </w:tc>
        <w:tc>
          <w:tcPr>
            <w:tcW w:w="1814" w:type="dxa"/>
            <w:noWrap/>
          </w:tcPr>
          <w:p w14:paraId="1403D369" w14:textId="77777777" w:rsidR="00B83E76" w:rsidRPr="006D4BAA" w:rsidRDefault="00B83E76" w:rsidP="00B83E76">
            <w:pPr>
              <w:pStyle w:val="Tabletext"/>
              <w:cnfStyle w:val="000000000000" w:firstRow="0" w:lastRow="0" w:firstColumn="0" w:lastColumn="0" w:oddVBand="0" w:evenVBand="0" w:oddHBand="0" w:evenHBand="0" w:firstRowFirstColumn="0" w:firstRowLastColumn="0" w:lastRowFirstColumn="0" w:lastRowLastColumn="0"/>
            </w:pPr>
          </w:p>
        </w:tc>
        <w:tc>
          <w:tcPr>
            <w:tcW w:w="3176" w:type="dxa"/>
            <w:noWrap/>
          </w:tcPr>
          <w:p w14:paraId="71D230C4" w14:textId="4235B4E7" w:rsidR="00B83E76" w:rsidRPr="00D07B0C" w:rsidRDefault="00B83E76" w:rsidP="00B83E76">
            <w:pPr>
              <w:pStyle w:val="Tabletext"/>
              <w:cnfStyle w:val="000000000000" w:firstRow="0" w:lastRow="0" w:firstColumn="0" w:lastColumn="0" w:oddVBand="0" w:evenVBand="0" w:oddHBand="0" w:evenHBand="0" w:firstRowFirstColumn="0" w:firstRowLastColumn="0" w:lastRowFirstColumn="0" w:lastRowLastColumn="0"/>
            </w:pPr>
            <w:r>
              <w:t>Youth-related indicator to be determined</w:t>
            </w:r>
          </w:p>
        </w:tc>
        <w:tc>
          <w:tcPr>
            <w:tcW w:w="1983" w:type="dxa"/>
          </w:tcPr>
          <w:p w14:paraId="27A5D64D" w14:textId="2169DA7C" w:rsidR="00B83E76" w:rsidRDefault="00B83E76" w:rsidP="00B83E76">
            <w:pPr>
              <w:pStyle w:val="Tabletext"/>
              <w:cnfStyle w:val="000000000000" w:firstRow="0" w:lastRow="0" w:firstColumn="0" w:lastColumn="0" w:oddVBand="0" w:evenVBand="0" w:oddHBand="0" w:evenHBand="0" w:firstRowFirstColumn="0" w:firstRowLastColumn="0" w:lastRowFirstColumn="0" w:lastRowLastColumn="0"/>
            </w:pPr>
            <w:r>
              <w:t>MSD, Youth Health and Wellbeing Survey</w:t>
            </w:r>
          </w:p>
        </w:tc>
        <w:tc>
          <w:tcPr>
            <w:tcW w:w="1845" w:type="dxa"/>
          </w:tcPr>
          <w:p w14:paraId="201B0EA2" w14:textId="74EF9558" w:rsidR="00B83E76" w:rsidRPr="00DA7D37" w:rsidRDefault="00B83E76" w:rsidP="00B83E76">
            <w:pPr>
              <w:pStyle w:val="Tabletext"/>
              <w:cnfStyle w:val="000000000000" w:firstRow="0" w:lastRow="0" w:firstColumn="0" w:lastColumn="0" w:oddVBand="0" w:evenVBand="0" w:oddHBand="0" w:evenHBand="0" w:firstRowFirstColumn="0" w:firstRowLastColumn="0" w:lastRowFirstColumn="0" w:lastRowLastColumn="0"/>
              <w:rPr>
                <w:szCs w:val="20"/>
              </w:rPr>
            </w:pPr>
            <w:r>
              <w:rPr>
                <w:szCs w:val="20"/>
              </w:rPr>
              <w:t xml:space="preserve">Data available three-yearly and </w:t>
            </w:r>
            <w:r w:rsidRPr="00DA7D37">
              <w:rPr>
                <w:szCs w:val="20"/>
              </w:rPr>
              <w:t>comparable over time</w:t>
            </w:r>
            <w:r>
              <w:rPr>
                <w:szCs w:val="20"/>
              </w:rPr>
              <w:t xml:space="preserve"> </w:t>
            </w:r>
          </w:p>
        </w:tc>
        <w:tc>
          <w:tcPr>
            <w:tcW w:w="1783" w:type="dxa"/>
          </w:tcPr>
          <w:p w14:paraId="490D1B57" w14:textId="4A10EF56" w:rsidR="00B83E76" w:rsidRPr="00DA7D37" w:rsidRDefault="00A635FA" w:rsidP="00B83E76">
            <w:pPr>
              <w:pStyle w:val="Tabletext"/>
              <w:cnfStyle w:val="000000000000" w:firstRow="0" w:lastRow="0" w:firstColumn="0" w:lastColumn="0" w:oddVBand="0" w:evenVBand="0" w:oddHBand="0" w:evenHBand="0" w:firstRowFirstColumn="0" w:firstRowLastColumn="0" w:lastRowFirstColumn="0" w:lastRowLastColumn="0"/>
              <w:rPr>
                <w:szCs w:val="20"/>
              </w:rPr>
            </w:pPr>
            <w:r w:rsidRPr="00DA7D37">
              <w:rPr>
                <w:szCs w:val="20"/>
              </w:rPr>
              <w:t>Data available by ethnicity, sex, age group</w:t>
            </w:r>
          </w:p>
        </w:tc>
        <w:tc>
          <w:tcPr>
            <w:tcW w:w="1814" w:type="dxa"/>
            <w:noWrap/>
          </w:tcPr>
          <w:p w14:paraId="16DEC52E" w14:textId="77777777" w:rsidR="00B83E76" w:rsidRPr="00010279" w:rsidRDefault="00B83E76" w:rsidP="00B83E76">
            <w:pPr>
              <w:pStyle w:val="Tabletext"/>
              <w:cnfStyle w:val="000000000000" w:firstRow="0" w:lastRow="0" w:firstColumn="0" w:lastColumn="0" w:oddVBand="0" w:evenVBand="0" w:oddHBand="0" w:evenHBand="0" w:firstRowFirstColumn="0" w:firstRowLastColumn="0" w:lastRowFirstColumn="0" w:lastRowLastColumn="0"/>
            </w:pPr>
          </w:p>
        </w:tc>
      </w:tr>
      <w:tr w:rsidR="00B83E76" w:rsidRPr="00010279" w14:paraId="3D245923" w14:textId="77777777" w:rsidTr="008255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14" w:type="dxa"/>
            <w:vMerge/>
            <w:noWrap/>
            <w:hideMark/>
          </w:tcPr>
          <w:p w14:paraId="6D86429B" w14:textId="77777777" w:rsidR="00B83E76" w:rsidRPr="00F27C33" w:rsidRDefault="00B83E76" w:rsidP="00B83E76">
            <w:pPr>
              <w:pStyle w:val="Tabletext"/>
              <w:rPr>
                <w:b w:val="0"/>
                <w:bCs w:val="0"/>
              </w:rPr>
            </w:pPr>
          </w:p>
        </w:tc>
        <w:tc>
          <w:tcPr>
            <w:tcW w:w="1814" w:type="dxa"/>
            <w:noWrap/>
          </w:tcPr>
          <w:p w14:paraId="52B631BD" w14:textId="77777777" w:rsidR="00B83E76" w:rsidRPr="00605EBD" w:rsidRDefault="00B83E76" w:rsidP="00B83E76">
            <w:pPr>
              <w:pStyle w:val="Tabletext"/>
              <w:cnfStyle w:val="000000100000" w:firstRow="0" w:lastRow="0" w:firstColumn="0" w:lastColumn="0" w:oddVBand="0" w:evenVBand="0" w:oddHBand="1" w:evenHBand="0" w:firstRowFirstColumn="0" w:firstRowLastColumn="0" w:lastRowFirstColumn="0" w:lastRowLastColumn="0"/>
              <w:rPr>
                <w:b/>
                <w:bCs/>
              </w:rPr>
            </w:pPr>
            <w:r w:rsidRPr="00605EBD">
              <w:rPr>
                <w:b/>
                <w:bCs/>
              </w:rPr>
              <w:t xml:space="preserve">Childhood in state care </w:t>
            </w:r>
          </w:p>
        </w:tc>
        <w:tc>
          <w:tcPr>
            <w:tcW w:w="3176" w:type="dxa"/>
            <w:noWrap/>
          </w:tcPr>
          <w:p w14:paraId="329EFC33" w14:textId="77777777" w:rsidR="00B83E76" w:rsidRPr="00605EBD" w:rsidRDefault="00B83E76" w:rsidP="00B83E76">
            <w:pPr>
              <w:pStyle w:val="Tabletext"/>
              <w:cnfStyle w:val="000000100000" w:firstRow="0" w:lastRow="0" w:firstColumn="0" w:lastColumn="0" w:oddVBand="0" w:evenVBand="0" w:oddHBand="1" w:evenHBand="0" w:firstRowFirstColumn="0" w:firstRowLastColumn="0" w:lastRowFirstColumn="0" w:lastRowLastColumn="0"/>
              <w:rPr>
                <w:b/>
                <w:bCs/>
              </w:rPr>
            </w:pPr>
            <w:r w:rsidRPr="00605EBD">
              <w:rPr>
                <w:b/>
                <w:bCs/>
              </w:rPr>
              <w:t>Age standardised rate of entries to care per 1,000 population (0-17 years)</w:t>
            </w:r>
          </w:p>
        </w:tc>
        <w:tc>
          <w:tcPr>
            <w:tcW w:w="1983" w:type="dxa"/>
          </w:tcPr>
          <w:p w14:paraId="183DF085" w14:textId="77777777" w:rsidR="00B83E76" w:rsidRPr="00010279" w:rsidRDefault="00B83E76" w:rsidP="00B83E76">
            <w:pPr>
              <w:pStyle w:val="Tabletext"/>
              <w:cnfStyle w:val="000000100000" w:firstRow="0" w:lastRow="0" w:firstColumn="0" w:lastColumn="0" w:oddVBand="0" w:evenVBand="0" w:oddHBand="1" w:evenHBand="0" w:firstRowFirstColumn="0" w:firstRowLastColumn="0" w:lastRowFirstColumn="0" w:lastRowLastColumn="0"/>
            </w:pPr>
            <w:r>
              <w:t>Oranga Tamariki</w:t>
            </w:r>
          </w:p>
        </w:tc>
        <w:tc>
          <w:tcPr>
            <w:tcW w:w="1845" w:type="dxa"/>
          </w:tcPr>
          <w:p w14:paraId="1B40D671" w14:textId="77777777" w:rsidR="00B83E76" w:rsidRPr="00010279" w:rsidRDefault="00B83E76" w:rsidP="00B83E76">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Data available annually and comparable over time</w:t>
            </w:r>
          </w:p>
        </w:tc>
        <w:tc>
          <w:tcPr>
            <w:tcW w:w="1783" w:type="dxa"/>
          </w:tcPr>
          <w:p w14:paraId="216F6267" w14:textId="77777777" w:rsidR="00B83E76" w:rsidRPr="00010279" w:rsidRDefault="00B83E76" w:rsidP="00B83E76">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Data available by ethnicity, sex, age group</w:t>
            </w:r>
          </w:p>
        </w:tc>
        <w:tc>
          <w:tcPr>
            <w:tcW w:w="1814" w:type="dxa"/>
            <w:noWrap/>
            <w:hideMark/>
          </w:tcPr>
          <w:p w14:paraId="491EC97B" w14:textId="77777777" w:rsidR="00B83E76" w:rsidRPr="00010279" w:rsidRDefault="00B83E76" w:rsidP="00B83E76">
            <w:pPr>
              <w:pStyle w:val="Tabletext"/>
              <w:cnfStyle w:val="000000100000" w:firstRow="0" w:lastRow="0" w:firstColumn="0" w:lastColumn="0" w:oddVBand="0" w:evenVBand="0" w:oddHBand="1" w:evenHBand="0" w:firstRowFirstColumn="0" w:firstRowLastColumn="0" w:lastRowFirstColumn="0" w:lastRowLastColumn="0"/>
            </w:pPr>
          </w:p>
        </w:tc>
      </w:tr>
      <w:tr w:rsidR="00B83E76" w:rsidRPr="00010279" w14:paraId="711DB85C" w14:textId="77777777" w:rsidTr="008255B9">
        <w:trPr>
          <w:trHeight w:val="285"/>
        </w:trPr>
        <w:tc>
          <w:tcPr>
            <w:cnfStyle w:val="001000000000" w:firstRow="0" w:lastRow="0" w:firstColumn="1" w:lastColumn="0" w:oddVBand="0" w:evenVBand="0" w:oddHBand="0" w:evenHBand="0" w:firstRowFirstColumn="0" w:firstRowLastColumn="0" w:lastRowFirstColumn="0" w:lastRowLastColumn="0"/>
            <w:tcW w:w="1814" w:type="dxa"/>
            <w:vMerge/>
            <w:noWrap/>
            <w:hideMark/>
          </w:tcPr>
          <w:p w14:paraId="367C6B4F" w14:textId="77777777" w:rsidR="00B83E76" w:rsidRPr="00F27C33" w:rsidRDefault="00B83E76" w:rsidP="00B83E76">
            <w:pPr>
              <w:pStyle w:val="Tabletext"/>
              <w:rPr>
                <w:b w:val="0"/>
                <w:bCs w:val="0"/>
              </w:rPr>
            </w:pPr>
          </w:p>
        </w:tc>
        <w:tc>
          <w:tcPr>
            <w:tcW w:w="1814" w:type="dxa"/>
            <w:noWrap/>
          </w:tcPr>
          <w:p w14:paraId="5E2D7623" w14:textId="77777777" w:rsidR="00B83E76" w:rsidRPr="00605EBD" w:rsidRDefault="00B83E76" w:rsidP="00B83E76">
            <w:pPr>
              <w:pStyle w:val="Tabletext"/>
              <w:cnfStyle w:val="000000000000" w:firstRow="0" w:lastRow="0" w:firstColumn="0" w:lastColumn="0" w:oddVBand="0" w:evenVBand="0" w:oddHBand="0" w:evenHBand="0" w:firstRowFirstColumn="0" w:firstRowLastColumn="0" w:lastRowFirstColumn="0" w:lastRowLastColumn="0"/>
              <w:rPr>
                <w:b/>
                <w:bCs/>
              </w:rPr>
            </w:pPr>
            <w:r w:rsidRPr="00605EBD">
              <w:rPr>
                <w:b/>
                <w:bCs/>
              </w:rPr>
              <w:t>Childhood physical abuse</w:t>
            </w:r>
          </w:p>
        </w:tc>
        <w:tc>
          <w:tcPr>
            <w:tcW w:w="3176" w:type="dxa"/>
            <w:noWrap/>
          </w:tcPr>
          <w:p w14:paraId="1119FEA6" w14:textId="248FC928" w:rsidR="00B83E76" w:rsidRPr="00605EBD" w:rsidRDefault="00B83E76" w:rsidP="00B83E76">
            <w:pPr>
              <w:pStyle w:val="Tabletext"/>
              <w:cnfStyle w:val="000000000000" w:firstRow="0" w:lastRow="0" w:firstColumn="0" w:lastColumn="0" w:oddVBand="0" w:evenVBand="0" w:oddHBand="0" w:evenHBand="0" w:firstRowFirstColumn="0" w:firstRowLastColumn="0" w:lastRowFirstColumn="0" w:lastRowLastColumn="0"/>
              <w:rPr>
                <w:b/>
                <w:bCs/>
              </w:rPr>
            </w:pPr>
            <w:r w:rsidRPr="00605EBD">
              <w:rPr>
                <w:b/>
                <w:bCs/>
              </w:rPr>
              <w:t xml:space="preserve">Percentage of </w:t>
            </w:r>
            <w:r w:rsidR="00DB40A1">
              <w:rPr>
                <w:b/>
                <w:bCs/>
              </w:rPr>
              <w:t>young people</w:t>
            </w:r>
            <w:r w:rsidRPr="00605EBD">
              <w:rPr>
                <w:b/>
                <w:bCs/>
              </w:rPr>
              <w:t xml:space="preserve"> (13–19-year-olds) who report experiencing physical abuse before age 15</w:t>
            </w:r>
          </w:p>
        </w:tc>
        <w:tc>
          <w:tcPr>
            <w:tcW w:w="1983" w:type="dxa"/>
          </w:tcPr>
          <w:p w14:paraId="2D4AE94B" w14:textId="77777777" w:rsidR="00B83E76" w:rsidRPr="00010279" w:rsidRDefault="00B83E76" w:rsidP="00B83E76">
            <w:pPr>
              <w:pStyle w:val="Tabletext"/>
              <w:cnfStyle w:val="000000000000" w:firstRow="0" w:lastRow="0" w:firstColumn="0" w:lastColumn="0" w:oddVBand="0" w:evenVBand="0" w:oddHBand="0" w:evenHBand="0" w:firstRowFirstColumn="0" w:firstRowLastColumn="0" w:lastRowFirstColumn="0" w:lastRowLastColumn="0"/>
            </w:pPr>
            <w:r>
              <w:t>MSD, Youth Health and Wellbeing Survey</w:t>
            </w:r>
          </w:p>
        </w:tc>
        <w:tc>
          <w:tcPr>
            <w:tcW w:w="1845" w:type="dxa"/>
          </w:tcPr>
          <w:p w14:paraId="2DE4A48F" w14:textId="77777777" w:rsidR="00B83E76" w:rsidRPr="00010279" w:rsidRDefault="00B83E76" w:rsidP="00B83E76">
            <w:pPr>
              <w:pStyle w:val="Tabletext"/>
              <w:cnfStyle w:val="000000000000" w:firstRow="0" w:lastRow="0" w:firstColumn="0" w:lastColumn="0" w:oddVBand="0" w:evenVBand="0" w:oddHBand="0" w:evenHBand="0" w:firstRowFirstColumn="0" w:firstRowLastColumn="0" w:lastRowFirstColumn="0" w:lastRowLastColumn="0"/>
            </w:pPr>
            <w:r w:rsidRPr="00DA7D37">
              <w:rPr>
                <w:szCs w:val="20"/>
              </w:rPr>
              <w:t xml:space="preserve">Data available </w:t>
            </w:r>
            <w:r>
              <w:rPr>
                <w:szCs w:val="20"/>
              </w:rPr>
              <w:t>three-yearly</w:t>
            </w:r>
            <w:r w:rsidRPr="00DA7D37">
              <w:rPr>
                <w:szCs w:val="20"/>
              </w:rPr>
              <w:t xml:space="preserve"> and comparable over time</w:t>
            </w:r>
          </w:p>
        </w:tc>
        <w:tc>
          <w:tcPr>
            <w:tcW w:w="1783" w:type="dxa"/>
          </w:tcPr>
          <w:p w14:paraId="3789D246" w14:textId="77777777" w:rsidR="00B83E76" w:rsidRPr="00010279" w:rsidRDefault="00B83E76" w:rsidP="00B83E76">
            <w:pPr>
              <w:pStyle w:val="Tabletext"/>
              <w:cnfStyle w:val="000000000000" w:firstRow="0" w:lastRow="0" w:firstColumn="0" w:lastColumn="0" w:oddVBand="0" w:evenVBand="0" w:oddHBand="0" w:evenHBand="0" w:firstRowFirstColumn="0" w:firstRowLastColumn="0" w:lastRowFirstColumn="0" w:lastRowLastColumn="0"/>
            </w:pPr>
            <w:r w:rsidRPr="00DA7D37">
              <w:rPr>
                <w:szCs w:val="20"/>
              </w:rPr>
              <w:t>Data available by ethnicity, sex, age</w:t>
            </w:r>
            <w:r>
              <w:rPr>
                <w:szCs w:val="20"/>
              </w:rPr>
              <w:t xml:space="preserve"> group</w:t>
            </w:r>
            <w:r w:rsidRPr="00DA7D37">
              <w:rPr>
                <w:szCs w:val="20"/>
              </w:rPr>
              <w:t xml:space="preserve"> </w:t>
            </w:r>
          </w:p>
        </w:tc>
        <w:tc>
          <w:tcPr>
            <w:tcW w:w="1814" w:type="dxa"/>
            <w:noWrap/>
          </w:tcPr>
          <w:p w14:paraId="3D54967B" w14:textId="77777777" w:rsidR="00B83E76" w:rsidRPr="00010279" w:rsidRDefault="00B83E76" w:rsidP="00B83E76">
            <w:pPr>
              <w:pStyle w:val="Tabletext"/>
              <w:cnfStyle w:val="000000000000" w:firstRow="0" w:lastRow="0" w:firstColumn="0" w:lastColumn="0" w:oddVBand="0" w:evenVBand="0" w:oddHBand="0" w:evenHBand="0" w:firstRowFirstColumn="0" w:firstRowLastColumn="0" w:lastRowFirstColumn="0" w:lastRowLastColumn="0"/>
            </w:pPr>
          </w:p>
        </w:tc>
      </w:tr>
      <w:tr w:rsidR="00B83E76" w:rsidRPr="00010279" w14:paraId="6E5DA701" w14:textId="77777777" w:rsidTr="008255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14" w:type="dxa"/>
            <w:vMerge/>
            <w:noWrap/>
          </w:tcPr>
          <w:p w14:paraId="1C368CCC" w14:textId="77777777" w:rsidR="00B83E76" w:rsidRPr="00F27C33" w:rsidRDefault="00B83E76" w:rsidP="00B83E76">
            <w:pPr>
              <w:pStyle w:val="Tabletext"/>
              <w:rPr>
                <w:b w:val="0"/>
                <w:bCs w:val="0"/>
              </w:rPr>
            </w:pPr>
          </w:p>
        </w:tc>
        <w:tc>
          <w:tcPr>
            <w:tcW w:w="1814" w:type="dxa"/>
            <w:noWrap/>
          </w:tcPr>
          <w:p w14:paraId="73C42CD2" w14:textId="77777777" w:rsidR="00B83E76" w:rsidRPr="00605EBD" w:rsidRDefault="00B83E76" w:rsidP="00B83E76">
            <w:pPr>
              <w:pStyle w:val="Tabletext"/>
              <w:cnfStyle w:val="000000100000" w:firstRow="0" w:lastRow="0" w:firstColumn="0" w:lastColumn="0" w:oddVBand="0" w:evenVBand="0" w:oddHBand="1" w:evenHBand="0" w:firstRowFirstColumn="0" w:firstRowLastColumn="0" w:lastRowFirstColumn="0" w:lastRowLastColumn="0"/>
              <w:rPr>
                <w:b/>
                <w:bCs/>
              </w:rPr>
            </w:pPr>
            <w:r w:rsidRPr="00605EBD">
              <w:rPr>
                <w:b/>
                <w:bCs/>
              </w:rPr>
              <w:t>Childhood sexual abuse</w:t>
            </w:r>
          </w:p>
        </w:tc>
        <w:tc>
          <w:tcPr>
            <w:tcW w:w="3176" w:type="dxa"/>
            <w:noWrap/>
          </w:tcPr>
          <w:p w14:paraId="47F875C4" w14:textId="77777777" w:rsidR="00B83E76" w:rsidRPr="00605EBD" w:rsidRDefault="00B83E76" w:rsidP="00B83E76">
            <w:pPr>
              <w:pStyle w:val="Tabletext"/>
              <w:cnfStyle w:val="000000100000" w:firstRow="0" w:lastRow="0" w:firstColumn="0" w:lastColumn="0" w:oddVBand="0" w:evenVBand="0" w:oddHBand="1" w:evenHBand="0" w:firstRowFirstColumn="0" w:firstRowLastColumn="0" w:lastRowFirstColumn="0" w:lastRowLastColumn="0"/>
              <w:rPr>
                <w:b/>
                <w:bCs/>
                <w:highlight w:val="yellow"/>
              </w:rPr>
            </w:pPr>
            <w:r w:rsidRPr="00605EBD">
              <w:rPr>
                <w:b/>
                <w:bCs/>
              </w:rPr>
              <w:t>Percentage of young people (13–19-year-olds) who report experiencing sexual abuse before age 15</w:t>
            </w:r>
          </w:p>
        </w:tc>
        <w:tc>
          <w:tcPr>
            <w:tcW w:w="1983" w:type="dxa"/>
          </w:tcPr>
          <w:p w14:paraId="21CAB540" w14:textId="77777777" w:rsidR="00B83E76" w:rsidRPr="00010279" w:rsidRDefault="00B83E76" w:rsidP="00B83E76">
            <w:pPr>
              <w:pStyle w:val="Tabletext"/>
              <w:cnfStyle w:val="000000100000" w:firstRow="0" w:lastRow="0" w:firstColumn="0" w:lastColumn="0" w:oddVBand="0" w:evenVBand="0" w:oddHBand="1" w:evenHBand="0" w:firstRowFirstColumn="0" w:firstRowLastColumn="0" w:lastRowFirstColumn="0" w:lastRowLastColumn="0"/>
            </w:pPr>
            <w:r>
              <w:t>MSD, Youth Health and Wellbeing Survey</w:t>
            </w:r>
          </w:p>
        </w:tc>
        <w:tc>
          <w:tcPr>
            <w:tcW w:w="1845" w:type="dxa"/>
          </w:tcPr>
          <w:p w14:paraId="789811F1" w14:textId="77777777" w:rsidR="00B83E76" w:rsidRPr="00010279" w:rsidRDefault="00B83E76" w:rsidP="00B83E76">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 xml:space="preserve">Data available </w:t>
            </w:r>
            <w:r>
              <w:rPr>
                <w:szCs w:val="20"/>
              </w:rPr>
              <w:t>three-yearly</w:t>
            </w:r>
            <w:r w:rsidRPr="00DA7D37">
              <w:rPr>
                <w:szCs w:val="20"/>
              </w:rPr>
              <w:t xml:space="preserve"> and comparable over time</w:t>
            </w:r>
          </w:p>
        </w:tc>
        <w:tc>
          <w:tcPr>
            <w:tcW w:w="1783" w:type="dxa"/>
          </w:tcPr>
          <w:p w14:paraId="7CF54581" w14:textId="77777777" w:rsidR="00B83E76" w:rsidRPr="00010279" w:rsidRDefault="00B83E76" w:rsidP="00B83E76">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Data available by ethnicity, sex, age</w:t>
            </w:r>
            <w:r>
              <w:rPr>
                <w:szCs w:val="20"/>
              </w:rPr>
              <w:t xml:space="preserve"> group</w:t>
            </w:r>
            <w:r w:rsidRPr="00DA7D37">
              <w:rPr>
                <w:szCs w:val="20"/>
              </w:rPr>
              <w:t xml:space="preserve"> </w:t>
            </w:r>
          </w:p>
        </w:tc>
        <w:tc>
          <w:tcPr>
            <w:tcW w:w="1814" w:type="dxa"/>
            <w:noWrap/>
          </w:tcPr>
          <w:p w14:paraId="687868E9" w14:textId="77777777" w:rsidR="00B83E76" w:rsidRPr="00010279" w:rsidRDefault="00B83E76" w:rsidP="00B83E76">
            <w:pPr>
              <w:pStyle w:val="Tabletext"/>
              <w:cnfStyle w:val="000000100000" w:firstRow="0" w:lastRow="0" w:firstColumn="0" w:lastColumn="0" w:oddVBand="0" w:evenVBand="0" w:oddHBand="1" w:evenHBand="0" w:firstRowFirstColumn="0" w:firstRowLastColumn="0" w:lastRowFirstColumn="0" w:lastRowLastColumn="0"/>
            </w:pPr>
          </w:p>
        </w:tc>
      </w:tr>
      <w:tr w:rsidR="00B83E76" w:rsidRPr="00010279" w14:paraId="50FA82FD" w14:textId="77777777" w:rsidTr="008255B9">
        <w:trPr>
          <w:trHeight w:val="285"/>
        </w:trPr>
        <w:tc>
          <w:tcPr>
            <w:cnfStyle w:val="001000000000" w:firstRow="0" w:lastRow="0" w:firstColumn="1" w:lastColumn="0" w:oddVBand="0" w:evenVBand="0" w:oddHBand="0" w:evenHBand="0" w:firstRowFirstColumn="0" w:firstRowLastColumn="0" w:lastRowFirstColumn="0" w:lastRowLastColumn="0"/>
            <w:tcW w:w="1814" w:type="dxa"/>
            <w:vMerge/>
            <w:noWrap/>
          </w:tcPr>
          <w:p w14:paraId="19DCD4F1" w14:textId="77777777" w:rsidR="00B83E76" w:rsidRPr="00F27C33" w:rsidRDefault="00B83E76" w:rsidP="00B83E76">
            <w:pPr>
              <w:pStyle w:val="Tabletext"/>
              <w:rPr>
                <w:b w:val="0"/>
                <w:bCs w:val="0"/>
              </w:rPr>
            </w:pPr>
          </w:p>
        </w:tc>
        <w:tc>
          <w:tcPr>
            <w:tcW w:w="1814" w:type="dxa"/>
            <w:noWrap/>
          </w:tcPr>
          <w:p w14:paraId="47E1D387" w14:textId="77777777" w:rsidR="00B83E76" w:rsidRPr="00605EBD" w:rsidRDefault="00B83E76" w:rsidP="00B83E76">
            <w:pPr>
              <w:pStyle w:val="Tabletext"/>
              <w:cnfStyle w:val="000000000000" w:firstRow="0" w:lastRow="0" w:firstColumn="0" w:lastColumn="0" w:oddVBand="0" w:evenVBand="0" w:oddHBand="0" w:evenHBand="0" w:firstRowFirstColumn="0" w:firstRowLastColumn="0" w:lastRowFirstColumn="0" w:lastRowLastColumn="0"/>
              <w:rPr>
                <w:b/>
                <w:bCs/>
              </w:rPr>
            </w:pPr>
            <w:r w:rsidRPr="00605EBD">
              <w:rPr>
                <w:b/>
                <w:bCs/>
              </w:rPr>
              <w:t>Intimate partner violence</w:t>
            </w:r>
          </w:p>
        </w:tc>
        <w:tc>
          <w:tcPr>
            <w:tcW w:w="3176" w:type="dxa"/>
            <w:noWrap/>
            <w:vAlign w:val="bottom"/>
          </w:tcPr>
          <w:p w14:paraId="3D7CC1CD" w14:textId="77777777" w:rsidR="00B83E76" w:rsidRPr="00605EBD" w:rsidRDefault="00B83E76" w:rsidP="00B83E76">
            <w:pPr>
              <w:pStyle w:val="Tabletext"/>
              <w:cnfStyle w:val="000000000000" w:firstRow="0" w:lastRow="0" w:firstColumn="0" w:lastColumn="0" w:oddVBand="0" w:evenVBand="0" w:oddHBand="0" w:evenHBand="0" w:firstRowFirstColumn="0" w:firstRowLastColumn="0" w:lastRowFirstColumn="0" w:lastRowLastColumn="0"/>
              <w:rPr>
                <w:b/>
                <w:bCs/>
                <w:highlight w:val="yellow"/>
              </w:rPr>
            </w:pPr>
            <w:r w:rsidRPr="00605EBD">
              <w:rPr>
                <w:b/>
                <w:bCs/>
              </w:rPr>
              <w:t>Percentage of adults (population aged 15+) who report experiencing physical assault by an intimate partner in the past 12 months</w:t>
            </w:r>
          </w:p>
        </w:tc>
        <w:tc>
          <w:tcPr>
            <w:tcW w:w="1983" w:type="dxa"/>
          </w:tcPr>
          <w:p w14:paraId="7623B48E" w14:textId="77777777" w:rsidR="00B83E76" w:rsidRPr="00010279" w:rsidRDefault="00B83E76" w:rsidP="00B83E76">
            <w:pPr>
              <w:pStyle w:val="Tabletext"/>
              <w:cnfStyle w:val="000000000000" w:firstRow="0" w:lastRow="0" w:firstColumn="0" w:lastColumn="0" w:oddVBand="0" w:evenVBand="0" w:oddHBand="0" w:evenHBand="0" w:firstRowFirstColumn="0" w:firstRowLastColumn="0" w:lastRowFirstColumn="0" w:lastRowLastColumn="0"/>
            </w:pPr>
            <w:r>
              <w:t>NZ Crime and Victims Survey</w:t>
            </w:r>
          </w:p>
        </w:tc>
        <w:tc>
          <w:tcPr>
            <w:tcW w:w="1845" w:type="dxa"/>
          </w:tcPr>
          <w:p w14:paraId="52D298AE" w14:textId="77777777" w:rsidR="00B83E76" w:rsidRPr="00010279" w:rsidRDefault="00B83E76" w:rsidP="00B83E76">
            <w:pPr>
              <w:pStyle w:val="Tabletext"/>
              <w:cnfStyle w:val="000000000000" w:firstRow="0" w:lastRow="0" w:firstColumn="0" w:lastColumn="0" w:oddVBand="0" w:evenVBand="0" w:oddHBand="0" w:evenHBand="0" w:firstRowFirstColumn="0" w:firstRowLastColumn="0" w:lastRowFirstColumn="0" w:lastRowLastColumn="0"/>
            </w:pPr>
            <w:r w:rsidRPr="00DA7D37">
              <w:rPr>
                <w:szCs w:val="20"/>
              </w:rPr>
              <w:t>Data available annually and comparable over time</w:t>
            </w:r>
          </w:p>
        </w:tc>
        <w:tc>
          <w:tcPr>
            <w:tcW w:w="1783" w:type="dxa"/>
          </w:tcPr>
          <w:p w14:paraId="74383708" w14:textId="77777777" w:rsidR="00B83E76" w:rsidRPr="00010279" w:rsidRDefault="00B83E76" w:rsidP="00B83E76">
            <w:pPr>
              <w:pStyle w:val="Tabletext"/>
              <w:cnfStyle w:val="000000000000" w:firstRow="0" w:lastRow="0" w:firstColumn="0" w:lastColumn="0" w:oddVBand="0" w:evenVBand="0" w:oddHBand="0" w:evenHBand="0" w:firstRowFirstColumn="0" w:firstRowLastColumn="0" w:lastRowFirstColumn="0" w:lastRowLastColumn="0"/>
            </w:pPr>
            <w:r w:rsidRPr="00DA7D37">
              <w:rPr>
                <w:szCs w:val="20"/>
              </w:rPr>
              <w:t>Data available by ethnicity, sex, age group</w:t>
            </w:r>
          </w:p>
        </w:tc>
        <w:tc>
          <w:tcPr>
            <w:tcW w:w="1814" w:type="dxa"/>
            <w:noWrap/>
          </w:tcPr>
          <w:p w14:paraId="2BA4165C" w14:textId="77777777" w:rsidR="00B83E76" w:rsidRPr="00010279" w:rsidRDefault="00B83E76" w:rsidP="00B83E76">
            <w:pPr>
              <w:pStyle w:val="Tabletext"/>
              <w:cnfStyle w:val="000000000000" w:firstRow="0" w:lastRow="0" w:firstColumn="0" w:lastColumn="0" w:oddVBand="0" w:evenVBand="0" w:oddHBand="0" w:evenHBand="0" w:firstRowFirstColumn="0" w:firstRowLastColumn="0" w:lastRowFirstColumn="0" w:lastRowLastColumn="0"/>
            </w:pPr>
          </w:p>
        </w:tc>
      </w:tr>
      <w:tr w:rsidR="00B83E76" w:rsidRPr="00010279" w14:paraId="0E6B113E" w14:textId="77777777" w:rsidTr="008255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14" w:type="dxa"/>
            <w:vMerge/>
            <w:noWrap/>
          </w:tcPr>
          <w:p w14:paraId="35800D43" w14:textId="77777777" w:rsidR="00B83E76" w:rsidRPr="00F27C33" w:rsidRDefault="00B83E76" w:rsidP="00B83E76">
            <w:pPr>
              <w:pStyle w:val="Tabletext"/>
              <w:rPr>
                <w:b w:val="0"/>
                <w:bCs w:val="0"/>
              </w:rPr>
            </w:pPr>
          </w:p>
        </w:tc>
        <w:tc>
          <w:tcPr>
            <w:tcW w:w="1814" w:type="dxa"/>
            <w:noWrap/>
          </w:tcPr>
          <w:p w14:paraId="0C8985A8" w14:textId="77777777" w:rsidR="00B83E76" w:rsidRPr="00605EBD" w:rsidRDefault="00B83E76" w:rsidP="00B83E76">
            <w:pPr>
              <w:pStyle w:val="Tabletext"/>
              <w:cnfStyle w:val="000000100000" w:firstRow="0" w:lastRow="0" w:firstColumn="0" w:lastColumn="0" w:oddVBand="0" w:evenVBand="0" w:oddHBand="1" w:evenHBand="0" w:firstRowFirstColumn="0" w:firstRowLastColumn="0" w:lastRowFirstColumn="0" w:lastRowLastColumn="0"/>
              <w:rPr>
                <w:b/>
                <w:bCs/>
                <w:highlight w:val="yellow"/>
              </w:rPr>
            </w:pPr>
            <w:r w:rsidRPr="00605EBD">
              <w:rPr>
                <w:b/>
                <w:bCs/>
              </w:rPr>
              <w:t>Suicide attempts</w:t>
            </w:r>
          </w:p>
        </w:tc>
        <w:tc>
          <w:tcPr>
            <w:tcW w:w="3176" w:type="dxa"/>
            <w:noWrap/>
          </w:tcPr>
          <w:p w14:paraId="12D927FF" w14:textId="77777777" w:rsidR="00B83E76" w:rsidRPr="00605EBD" w:rsidRDefault="00B83E76" w:rsidP="00B83E76">
            <w:pPr>
              <w:pStyle w:val="Tabletext"/>
              <w:cnfStyle w:val="000000100000" w:firstRow="0" w:lastRow="0" w:firstColumn="0" w:lastColumn="0" w:oddVBand="0" w:evenVBand="0" w:oddHBand="1" w:evenHBand="0" w:firstRowFirstColumn="0" w:firstRowLastColumn="0" w:lastRowFirstColumn="0" w:lastRowLastColumn="0"/>
              <w:rPr>
                <w:b/>
                <w:bCs/>
                <w:highlight w:val="yellow"/>
              </w:rPr>
            </w:pPr>
            <w:r w:rsidRPr="00605EBD">
              <w:rPr>
                <w:b/>
                <w:bCs/>
              </w:rPr>
              <w:t>Percentage of people who attempted suicide in the past year/and ever</w:t>
            </w:r>
          </w:p>
        </w:tc>
        <w:tc>
          <w:tcPr>
            <w:tcW w:w="1983" w:type="dxa"/>
          </w:tcPr>
          <w:p w14:paraId="2FE00A53" w14:textId="77777777" w:rsidR="00B83E76" w:rsidRPr="00010279" w:rsidRDefault="00B83E76" w:rsidP="00B83E76">
            <w:pPr>
              <w:pStyle w:val="Tabletext"/>
              <w:cnfStyle w:val="000000100000" w:firstRow="0" w:lastRow="0" w:firstColumn="0" w:lastColumn="0" w:oddVBand="0" w:evenVBand="0" w:oddHBand="1" w:evenHBand="0" w:firstRowFirstColumn="0" w:firstRowLastColumn="0" w:lastRowFirstColumn="0" w:lastRowLastColumn="0"/>
            </w:pPr>
            <w:r>
              <w:t>Available for young people through MSD’s Youth Health and Wellbeing Survey</w:t>
            </w:r>
          </w:p>
        </w:tc>
        <w:tc>
          <w:tcPr>
            <w:tcW w:w="1845" w:type="dxa"/>
          </w:tcPr>
          <w:p w14:paraId="40F8DDD5" w14:textId="77777777" w:rsidR="00B83E76" w:rsidRPr="00010279" w:rsidRDefault="00B83E76" w:rsidP="00B83E76">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 xml:space="preserve">Data available </w:t>
            </w:r>
            <w:r>
              <w:rPr>
                <w:szCs w:val="20"/>
              </w:rPr>
              <w:t>three-yearly</w:t>
            </w:r>
            <w:r w:rsidRPr="00DA7D37">
              <w:rPr>
                <w:szCs w:val="20"/>
              </w:rPr>
              <w:t xml:space="preserve"> and comparable over time</w:t>
            </w:r>
          </w:p>
        </w:tc>
        <w:tc>
          <w:tcPr>
            <w:tcW w:w="1783" w:type="dxa"/>
          </w:tcPr>
          <w:p w14:paraId="2662F964" w14:textId="77777777" w:rsidR="00B83E76" w:rsidRPr="00010279" w:rsidRDefault="00B83E76" w:rsidP="00B83E76">
            <w:pPr>
              <w:pStyle w:val="Tabletext"/>
              <w:cnfStyle w:val="000000100000" w:firstRow="0" w:lastRow="0" w:firstColumn="0" w:lastColumn="0" w:oddVBand="0" w:evenVBand="0" w:oddHBand="1" w:evenHBand="0" w:firstRowFirstColumn="0" w:firstRowLastColumn="0" w:lastRowFirstColumn="0" w:lastRowLastColumn="0"/>
            </w:pPr>
            <w:r w:rsidRPr="00DA7D37">
              <w:rPr>
                <w:szCs w:val="20"/>
              </w:rPr>
              <w:t>Data available by ethnicity, sex, age</w:t>
            </w:r>
            <w:r>
              <w:rPr>
                <w:szCs w:val="20"/>
              </w:rPr>
              <w:t xml:space="preserve"> group</w:t>
            </w:r>
            <w:r w:rsidRPr="00DA7D37">
              <w:rPr>
                <w:szCs w:val="20"/>
              </w:rPr>
              <w:t xml:space="preserve"> </w:t>
            </w:r>
          </w:p>
        </w:tc>
        <w:tc>
          <w:tcPr>
            <w:tcW w:w="1814" w:type="dxa"/>
            <w:noWrap/>
          </w:tcPr>
          <w:p w14:paraId="3E062FF8" w14:textId="77777777" w:rsidR="00B83E76" w:rsidRPr="00010279" w:rsidRDefault="00B83E76" w:rsidP="00B83E76">
            <w:pPr>
              <w:pStyle w:val="Tabletext"/>
              <w:cnfStyle w:val="000000100000" w:firstRow="0" w:lastRow="0" w:firstColumn="0" w:lastColumn="0" w:oddVBand="0" w:evenVBand="0" w:oddHBand="1" w:evenHBand="0" w:firstRowFirstColumn="0" w:firstRowLastColumn="0" w:lastRowFirstColumn="0" w:lastRowLastColumn="0"/>
            </w:pPr>
          </w:p>
        </w:tc>
      </w:tr>
    </w:tbl>
    <w:p w14:paraId="17D08055" w14:textId="513BCAD8" w:rsidR="006A0CF2" w:rsidRDefault="006A0CF2" w:rsidP="006A0CF2">
      <w:pPr>
        <w:pStyle w:val="Bullet"/>
        <w:numPr>
          <w:ilvl w:val="0"/>
          <w:numId w:val="0"/>
        </w:numPr>
        <w:ind w:left="709" w:hanging="283"/>
        <w:sectPr w:rsidR="006A0CF2" w:rsidSect="00FC1CBF">
          <w:footerReference w:type="default" r:id="rId34"/>
          <w:pgSz w:w="16838" w:h="11906" w:orient="landscape"/>
          <w:pgMar w:top="1440" w:right="1440" w:bottom="1440" w:left="1440" w:header="708" w:footer="708" w:gutter="0"/>
          <w:cols w:space="708"/>
          <w:docGrid w:linePitch="360"/>
        </w:sectPr>
      </w:pPr>
    </w:p>
    <w:p w14:paraId="651F474B" w14:textId="7A26AD28" w:rsidR="00650BC2" w:rsidRPr="00C7084A" w:rsidRDefault="00650BC2" w:rsidP="00046059">
      <w:pPr>
        <w:pStyle w:val="Heading1"/>
        <w:numPr>
          <w:ilvl w:val="0"/>
          <w:numId w:val="0"/>
        </w:numPr>
        <w:rPr>
          <w:b/>
          <w:bCs/>
        </w:rPr>
      </w:pPr>
      <w:bookmarkStart w:id="19" w:name="_Toc208223390"/>
      <w:r w:rsidRPr="00C7084A">
        <w:rPr>
          <w:b/>
          <w:bCs/>
        </w:rPr>
        <w:lastRenderedPageBreak/>
        <w:t>References</w:t>
      </w:r>
      <w:bookmarkEnd w:id="19"/>
    </w:p>
    <w:p w14:paraId="7B5FAAF6" w14:textId="274ECE59" w:rsidR="00A055F0" w:rsidRPr="00D80453" w:rsidRDefault="00A0616A" w:rsidP="00650BC2">
      <w:r w:rsidRPr="00D80453">
        <w:t>Accident Compensation Corporation (</w:t>
      </w:r>
      <w:r w:rsidR="00A055F0" w:rsidRPr="00D80453">
        <w:t>ACC</w:t>
      </w:r>
      <w:r w:rsidRPr="00D80453">
        <w:t>)</w:t>
      </w:r>
      <w:r w:rsidR="003251BC" w:rsidRPr="00D80453">
        <w:t>.</w:t>
      </w:r>
      <w:r w:rsidR="00A055F0" w:rsidRPr="00D80453">
        <w:t xml:space="preserve"> </w:t>
      </w:r>
      <w:r w:rsidR="003251BC" w:rsidRPr="00D80453">
        <w:t>(</w:t>
      </w:r>
      <w:r w:rsidR="00A055F0" w:rsidRPr="00D80453">
        <w:t>2024</w:t>
      </w:r>
      <w:r w:rsidR="003251BC" w:rsidRPr="00D80453">
        <w:t>).</w:t>
      </w:r>
      <w:r w:rsidR="004B6AD6" w:rsidRPr="00D80453">
        <w:t xml:space="preserve"> </w:t>
      </w:r>
      <w:r w:rsidR="001C2A63" w:rsidRPr="00076991">
        <w:rPr>
          <w:i/>
        </w:rPr>
        <w:t>Official Information Act request, reference: GOV-030452</w:t>
      </w:r>
      <w:r w:rsidR="001C2A63" w:rsidRPr="00D80453">
        <w:t xml:space="preserve">. </w:t>
      </w:r>
      <w:r w:rsidR="004B6AD6" w:rsidRPr="00D80453">
        <w:t xml:space="preserve">Retrieved 30 June </w:t>
      </w:r>
      <w:r w:rsidR="001C2A63" w:rsidRPr="00D80453">
        <w:t>2</w:t>
      </w:r>
      <w:r w:rsidR="004B6AD6" w:rsidRPr="00D80453">
        <w:t xml:space="preserve">025 from </w:t>
      </w:r>
      <w:hyperlink r:id="rId35" w:history="1">
        <w:r w:rsidR="009A56E2" w:rsidRPr="009A56E2">
          <w:rPr>
            <w:rStyle w:val="Hyperlink"/>
          </w:rPr>
          <w:t>acc.co.nz/assets/oia-responses/Data-and-details-for-self-harm-claims-oia-response-gov-030452.pdf</w:t>
        </w:r>
      </w:hyperlink>
      <w:r w:rsidR="00D31CE3">
        <w:t xml:space="preserve"> </w:t>
      </w:r>
    </w:p>
    <w:p w14:paraId="260B3B22" w14:textId="1626AD1A" w:rsidR="00634006" w:rsidRDefault="00900C31" w:rsidP="00650BC2">
      <w:r w:rsidRPr="00D80453">
        <w:t>Accident Compensation Corporation (ACC</w:t>
      </w:r>
      <w:r>
        <w:t>). (</w:t>
      </w:r>
      <w:r w:rsidR="00634006">
        <w:t>2025</w:t>
      </w:r>
      <w:r w:rsidR="00B24630">
        <w:t xml:space="preserve">). </w:t>
      </w:r>
      <w:r w:rsidR="00B24630" w:rsidRPr="00900C31">
        <w:rPr>
          <w:i/>
          <w:iCs/>
        </w:rPr>
        <w:t xml:space="preserve">Scheme </w:t>
      </w:r>
      <w:r w:rsidR="00EE790F">
        <w:rPr>
          <w:i/>
          <w:iCs/>
        </w:rPr>
        <w:t>a</w:t>
      </w:r>
      <w:r w:rsidR="00B24630" w:rsidRPr="00900C31">
        <w:rPr>
          <w:i/>
          <w:iCs/>
        </w:rPr>
        <w:t xml:space="preserve">ccess </w:t>
      </w:r>
      <w:r w:rsidR="00EE790F">
        <w:rPr>
          <w:i/>
          <w:iCs/>
        </w:rPr>
        <w:t>r</w:t>
      </w:r>
      <w:r w:rsidR="00B24630" w:rsidRPr="00900C31">
        <w:rPr>
          <w:i/>
          <w:iCs/>
        </w:rPr>
        <w:t>eport. Year 1</w:t>
      </w:r>
      <w:r w:rsidR="00B24630">
        <w:t xml:space="preserve">. Retrieved 2 August 2025 from </w:t>
      </w:r>
      <w:hyperlink r:id="rId36" w:history="1">
        <w:r w:rsidR="00443467" w:rsidRPr="00B80297">
          <w:rPr>
            <w:rStyle w:val="Hyperlink"/>
          </w:rPr>
          <w:t>https://www.acc.co.nz/assets/corporate-documents/Access-reporting/ACC-Scheme-Access-Report-Year-1.pdf</w:t>
        </w:r>
      </w:hyperlink>
    </w:p>
    <w:p w14:paraId="57025991" w14:textId="054A998A" w:rsidR="00443467" w:rsidRDefault="007E381E" w:rsidP="00650BC2">
      <w:r w:rsidRPr="007E381E">
        <w:t>Agnew, S., Coupé, T., &amp; Hingston, C. (2024).</w:t>
      </w:r>
      <w:r w:rsidRPr="007E381E">
        <w:rPr>
          <w:rFonts w:ascii="Calibri" w:hAnsi="Calibri" w:cs="Calibri"/>
        </w:rPr>
        <w:t> </w:t>
      </w:r>
      <w:r w:rsidRPr="007E381E">
        <w:rPr>
          <w:i/>
          <w:iCs/>
        </w:rPr>
        <w:t xml:space="preserve">Examining the </w:t>
      </w:r>
      <w:r w:rsidR="00076991" w:rsidRPr="007E381E">
        <w:rPr>
          <w:i/>
          <w:iCs/>
        </w:rPr>
        <w:t>predictors</w:t>
      </w:r>
      <w:r w:rsidRPr="007E381E">
        <w:rPr>
          <w:i/>
          <w:iCs/>
        </w:rPr>
        <w:t xml:space="preserve"> of </w:t>
      </w:r>
      <w:r w:rsidR="00076991" w:rsidRPr="007E381E">
        <w:rPr>
          <w:i/>
          <w:iCs/>
        </w:rPr>
        <w:t>school exclusi</w:t>
      </w:r>
      <w:r w:rsidRPr="007E381E">
        <w:rPr>
          <w:i/>
          <w:iCs/>
        </w:rPr>
        <w:t xml:space="preserve">on for Māori and Pākehā </w:t>
      </w:r>
      <w:r w:rsidR="00076991">
        <w:rPr>
          <w:i/>
          <w:iCs/>
        </w:rPr>
        <w:t>l</w:t>
      </w:r>
      <w:r w:rsidRPr="007E381E">
        <w:rPr>
          <w:i/>
          <w:iCs/>
        </w:rPr>
        <w:t>earners</w:t>
      </w:r>
      <w:r w:rsidRPr="007E381E">
        <w:t>. University of Canterbury, Department of Economics and Finance.</w:t>
      </w:r>
      <w:r w:rsidR="00097F10">
        <w:t xml:space="preserve"> </w:t>
      </w:r>
      <w:r w:rsidR="00860EF4">
        <w:t xml:space="preserve">Retrieved 2 August 2025 from </w:t>
      </w:r>
      <w:hyperlink r:id="rId37" w:history="1">
        <w:r w:rsidR="002C3B98" w:rsidRPr="00367D53">
          <w:rPr>
            <w:rStyle w:val="Hyperlink"/>
          </w:rPr>
          <w:t>https://repec.canterbury.ac.nz/cbt/econwp/2403.pdf</w:t>
        </w:r>
      </w:hyperlink>
      <w:r w:rsidR="002C3B98">
        <w:t xml:space="preserve"> </w:t>
      </w:r>
    </w:p>
    <w:p w14:paraId="460FDD5C" w14:textId="7520EB38" w:rsidR="000238EF" w:rsidRDefault="000238EF" w:rsidP="00650BC2">
      <w:r w:rsidRPr="00F62661">
        <w:rPr>
          <w:lang w:val="de-DE"/>
        </w:rPr>
        <w:t xml:space="preserve">Ahmedani, B. K., Peterson, E. L., Hu, Y., Rossom, R. C., Lynch, F., Lu, C. Y., ... </w:t>
      </w:r>
      <w:r w:rsidRPr="000238EF">
        <w:t>&amp; Simon, G. E. (2017). Major physical health conditions and risk of suicide.</w:t>
      </w:r>
      <w:r w:rsidRPr="000238EF">
        <w:rPr>
          <w:rFonts w:ascii="Calibri" w:hAnsi="Calibri" w:cs="Calibri"/>
        </w:rPr>
        <w:t> </w:t>
      </w:r>
      <w:r w:rsidRPr="000238EF">
        <w:rPr>
          <w:i/>
          <w:iCs/>
        </w:rPr>
        <w:t xml:space="preserve">American </w:t>
      </w:r>
      <w:r w:rsidR="00987C9E">
        <w:rPr>
          <w:i/>
          <w:iCs/>
        </w:rPr>
        <w:t>J</w:t>
      </w:r>
      <w:r w:rsidRPr="000238EF">
        <w:rPr>
          <w:i/>
          <w:iCs/>
        </w:rPr>
        <w:t xml:space="preserve">ournal of </w:t>
      </w:r>
      <w:r w:rsidR="00987C9E">
        <w:rPr>
          <w:i/>
          <w:iCs/>
        </w:rPr>
        <w:t>P</w:t>
      </w:r>
      <w:r w:rsidRPr="000238EF">
        <w:rPr>
          <w:i/>
          <w:iCs/>
        </w:rPr>
        <w:t xml:space="preserve">reventive </w:t>
      </w:r>
      <w:r w:rsidR="00987C9E">
        <w:rPr>
          <w:i/>
          <w:iCs/>
        </w:rPr>
        <w:t>M</w:t>
      </w:r>
      <w:r w:rsidRPr="000238EF">
        <w:rPr>
          <w:i/>
          <w:iCs/>
        </w:rPr>
        <w:t>edicine</w:t>
      </w:r>
      <w:r w:rsidRPr="000238EF">
        <w:t>,</w:t>
      </w:r>
      <w:r w:rsidRPr="000238EF">
        <w:rPr>
          <w:rFonts w:ascii="Calibri" w:hAnsi="Calibri" w:cs="Calibri"/>
        </w:rPr>
        <w:t> </w:t>
      </w:r>
      <w:r w:rsidRPr="000238EF">
        <w:rPr>
          <w:i/>
          <w:iCs/>
        </w:rPr>
        <w:t>53</w:t>
      </w:r>
      <w:r w:rsidRPr="000238EF">
        <w:t>(3), 308-315.</w:t>
      </w:r>
      <w:r w:rsidR="000D6506">
        <w:t xml:space="preserve"> </w:t>
      </w:r>
      <w:proofErr w:type="gramStart"/>
      <w:r w:rsidR="000D6506" w:rsidRPr="000D6506">
        <w:t>doi:10.1016/j.amepre</w:t>
      </w:r>
      <w:proofErr w:type="gramEnd"/>
      <w:r w:rsidR="000D6506" w:rsidRPr="000D6506">
        <w:t>.2017.04.001</w:t>
      </w:r>
    </w:p>
    <w:p w14:paraId="426B7445" w14:textId="50D7766B" w:rsidR="00B82589" w:rsidRDefault="00B82589" w:rsidP="00650BC2">
      <w:proofErr w:type="spellStart"/>
      <w:r w:rsidRPr="00B82589">
        <w:t>Alaçam</w:t>
      </w:r>
      <w:proofErr w:type="spellEnd"/>
      <w:r w:rsidRPr="00B82589">
        <w:t>, E., &amp; Yılmaz, M. (2025). Suicide in LGBTI (</w:t>
      </w:r>
      <w:r w:rsidR="00972A53" w:rsidRPr="00B82589">
        <w:t>lesbian, gay, bisexual, transgender, intersex) individuals</w:t>
      </w:r>
      <w:r w:rsidRPr="00B82589">
        <w:t>.</w:t>
      </w:r>
      <w:r w:rsidRPr="00B82589">
        <w:rPr>
          <w:rFonts w:ascii="Calibri" w:hAnsi="Calibri" w:cs="Calibri"/>
        </w:rPr>
        <w:t> </w:t>
      </w:r>
      <w:proofErr w:type="spellStart"/>
      <w:r w:rsidRPr="00B82589">
        <w:rPr>
          <w:i/>
          <w:iCs/>
        </w:rPr>
        <w:t>Psikiyatride</w:t>
      </w:r>
      <w:proofErr w:type="spellEnd"/>
      <w:r w:rsidRPr="00B82589">
        <w:rPr>
          <w:i/>
          <w:iCs/>
        </w:rPr>
        <w:t xml:space="preserve"> </w:t>
      </w:r>
      <w:proofErr w:type="spellStart"/>
      <w:r w:rsidRPr="00B82589">
        <w:rPr>
          <w:i/>
          <w:iCs/>
        </w:rPr>
        <w:t>Güncel</w:t>
      </w:r>
      <w:proofErr w:type="spellEnd"/>
      <w:r w:rsidRPr="00B82589">
        <w:rPr>
          <w:i/>
          <w:iCs/>
        </w:rPr>
        <w:t xml:space="preserve"> </w:t>
      </w:r>
      <w:proofErr w:type="spellStart"/>
      <w:r w:rsidRPr="00B82589">
        <w:rPr>
          <w:i/>
          <w:iCs/>
        </w:rPr>
        <w:t>Yaklaşımlar</w:t>
      </w:r>
      <w:proofErr w:type="spellEnd"/>
      <w:r w:rsidRPr="00B82589">
        <w:t>,</w:t>
      </w:r>
      <w:r w:rsidRPr="00B82589">
        <w:rPr>
          <w:rFonts w:ascii="Calibri" w:hAnsi="Calibri" w:cs="Calibri"/>
        </w:rPr>
        <w:t> </w:t>
      </w:r>
      <w:r w:rsidRPr="00B82589">
        <w:rPr>
          <w:i/>
          <w:iCs/>
        </w:rPr>
        <w:t>17</w:t>
      </w:r>
      <w:r w:rsidRPr="00B82589">
        <w:t>(1), 1-11.</w:t>
      </w:r>
      <w:r w:rsidR="00816F8F">
        <w:t xml:space="preserve"> </w:t>
      </w:r>
      <w:r w:rsidR="00816F8F" w:rsidRPr="00816F8F">
        <w:t>doi:10.18863/pgy.1402625</w:t>
      </w:r>
      <w:r w:rsidR="002C3B98">
        <w:t xml:space="preserve"> </w:t>
      </w:r>
    </w:p>
    <w:p w14:paraId="06628A6A" w14:textId="0CA76B45" w:rsidR="007C674E" w:rsidRPr="00D80453" w:rsidRDefault="0070111D" w:rsidP="00650BC2">
      <w:proofErr w:type="spellStart"/>
      <w:r w:rsidRPr="00D80453">
        <w:t>Alothman</w:t>
      </w:r>
      <w:proofErr w:type="spellEnd"/>
      <w:r w:rsidRPr="00D80453">
        <w:t xml:space="preserve">, D., Lewis, S., Fogarty, A. W., Card, T., &amp; Tyrrell, E. (2024). Primary care consultation patterns before suicide: </w:t>
      </w:r>
      <w:r w:rsidR="00972A53">
        <w:t>A</w:t>
      </w:r>
      <w:r w:rsidRPr="00D80453">
        <w:t xml:space="preserve"> nationally representative case–control study.</w:t>
      </w:r>
      <w:r w:rsidRPr="00D80453">
        <w:rPr>
          <w:rFonts w:ascii="Calibri" w:hAnsi="Calibri" w:cs="Calibri"/>
        </w:rPr>
        <w:t> </w:t>
      </w:r>
      <w:r w:rsidRPr="00D80453">
        <w:rPr>
          <w:i/>
          <w:iCs/>
        </w:rPr>
        <w:t>British Journal of General Practice</w:t>
      </w:r>
      <w:r w:rsidRPr="00D80453">
        <w:t>,</w:t>
      </w:r>
      <w:r w:rsidRPr="00D80453">
        <w:rPr>
          <w:rFonts w:ascii="Calibri" w:hAnsi="Calibri" w:cs="Calibri"/>
        </w:rPr>
        <w:t> </w:t>
      </w:r>
      <w:r w:rsidRPr="00D80453">
        <w:rPr>
          <w:i/>
          <w:iCs/>
        </w:rPr>
        <w:t>74</w:t>
      </w:r>
      <w:r w:rsidRPr="00D80453">
        <w:t>(744), e426-e433.</w:t>
      </w:r>
      <w:r w:rsidR="007C674E" w:rsidRPr="00D80453">
        <w:t>;</w:t>
      </w:r>
      <w:r w:rsidR="00276B1B">
        <w:t xml:space="preserve"> </w:t>
      </w:r>
      <w:r w:rsidR="002C3B98" w:rsidRPr="00276B1B">
        <w:t>doi:10.3399/BJGP.2023.0509</w:t>
      </w:r>
      <w:r w:rsidR="002C3B98">
        <w:t xml:space="preserve"> </w:t>
      </w:r>
    </w:p>
    <w:p w14:paraId="2CF45B45" w14:textId="3A1BF41D" w:rsidR="002C38F6" w:rsidRPr="00D80453" w:rsidRDefault="002C38F6" w:rsidP="00541547">
      <w:r w:rsidRPr="00D80453">
        <w:t>Amiri, S. (2021). Unemployment and suicide mortality, suicide attempts, and suicide ideation: A meta-analysis.</w:t>
      </w:r>
      <w:r w:rsidRPr="00D80453">
        <w:rPr>
          <w:rFonts w:ascii="Calibri" w:hAnsi="Calibri" w:cs="Calibri"/>
        </w:rPr>
        <w:t> </w:t>
      </w:r>
      <w:r w:rsidRPr="00D80453">
        <w:rPr>
          <w:i/>
          <w:iCs/>
        </w:rPr>
        <w:t>International Journal of Mental Health</w:t>
      </w:r>
      <w:r w:rsidRPr="00D80453">
        <w:t>,</w:t>
      </w:r>
      <w:r w:rsidRPr="00D80453">
        <w:rPr>
          <w:rFonts w:ascii="Calibri" w:hAnsi="Calibri" w:cs="Calibri"/>
        </w:rPr>
        <w:t> </w:t>
      </w:r>
      <w:r w:rsidRPr="00D80453">
        <w:rPr>
          <w:i/>
          <w:iCs/>
        </w:rPr>
        <w:t>51</w:t>
      </w:r>
      <w:r w:rsidRPr="00D80453">
        <w:t xml:space="preserve">(4), 294–318. </w:t>
      </w:r>
      <w:r w:rsidR="00276B1B" w:rsidRPr="00D06627">
        <w:t>doi:10.1080/00207411.2020.1859347</w:t>
      </w:r>
    </w:p>
    <w:p w14:paraId="4BFB7EFD" w14:textId="39C17C43" w:rsidR="005B580D" w:rsidRPr="00D80453" w:rsidRDefault="006F18D0" w:rsidP="00541547">
      <w:r w:rsidRPr="00D80453">
        <w:rPr>
          <w:lang w:eastAsia="en-NZ"/>
        </w:rPr>
        <w:t xml:space="preserve">Angelakis, I., Gillespie, E. L., &amp; </w:t>
      </w:r>
      <w:proofErr w:type="spellStart"/>
      <w:r w:rsidRPr="00D80453">
        <w:rPr>
          <w:lang w:eastAsia="en-NZ"/>
        </w:rPr>
        <w:t>Panagioti</w:t>
      </w:r>
      <w:proofErr w:type="spellEnd"/>
      <w:r w:rsidRPr="00D80453">
        <w:rPr>
          <w:lang w:eastAsia="en-NZ"/>
        </w:rPr>
        <w:t xml:space="preserve">, M. (2019). Childhood maltreatment and adult suicidality: </w:t>
      </w:r>
      <w:r w:rsidR="00972A53">
        <w:rPr>
          <w:lang w:eastAsia="en-NZ"/>
        </w:rPr>
        <w:t>A</w:t>
      </w:r>
      <w:r w:rsidRPr="00D80453">
        <w:rPr>
          <w:lang w:eastAsia="en-NZ"/>
        </w:rPr>
        <w:t xml:space="preserve"> comprehensive systematic review with meta-analysis.</w:t>
      </w:r>
      <w:r w:rsidRPr="00D80453">
        <w:rPr>
          <w:rFonts w:ascii="Calibri" w:hAnsi="Calibri" w:cs="Calibri"/>
          <w:lang w:eastAsia="en-NZ"/>
        </w:rPr>
        <w:t> </w:t>
      </w:r>
      <w:r w:rsidRPr="00D80453">
        <w:rPr>
          <w:i/>
          <w:iCs/>
          <w:lang w:eastAsia="en-NZ"/>
        </w:rPr>
        <w:t xml:space="preserve">Psychological </w:t>
      </w:r>
      <w:r w:rsidR="00960AD7" w:rsidRPr="00D80453">
        <w:rPr>
          <w:i/>
          <w:iCs/>
          <w:lang w:eastAsia="en-NZ"/>
        </w:rPr>
        <w:t>M</w:t>
      </w:r>
      <w:r w:rsidRPr="00D80453">
        <w:rPr>
          <w:i/>
          <w:iCs/>
          <w:lang w:eastAsia="en-NZ"/>
        </w:rPr>
        <w:t>edicine</w:t>
      </w:r>
      <w:r w:rsidRPr="00D80453">
        <w:rPr>
          <w:lang w:eastAsia="en-NZ"/>
        </w:rPr>
        <w:t>,</w:t>
      </w:r>
      <w:r w:rsidRPr="00D80453">
        <w:rPr>
          <w:rFonts w:ascii="Calibri" w:hAnsi="Calibri" w:cs="Calibri"/>
          <w:lang w:eastAsia="en-NZ"/>
        </w:rPr>
        <w:t> </w:t>
      </w:r>
      <w:r w:rsidRPr="00D80453">
        <w:rPr>
          <w:i/>
          <w:iCs/>
          <w:lang w:eastAsia="en-NZ"/>
        </w:rPr>
        <w:t>49</w:t>
      </w:r>
      <w:r w:rsidRPr="00D80453">
        <w:rPr>
          <w:lang w:eastAsia="en-NZ"/>
        </w:rPr>
        <w:t>(7), 1057-1078.</w:t>
      </w:r>
      <w:r w:rsidR="005B580D" w:rsidRPr="00D80453">
        <w:rPr>
          <w:lang w:eastAsia="en-NZ"/>
        </w:rPr>
        <w:t xml:space="preserve"> </w:t>
      </w:r>
      <w:r w:rsidR="001D19A8" w:rsidRPr="00D80453">
        <w:rPr>
          <w:lang w:eastAsia="en-NZ"/>
        </w:rPr>
        <w:t>doi:10.1017/S0033291718003823</w:t>
      </w:r>
    </w:p>
    <w:p w14:paraId="29203BC0" w14:textId="4692397D" w:rsidR="00C51E1F" w:rsidRPr="00D80453" w:rsidRDefault="009D502D" w:rsidP="00541547">
      <w:r w:rsidRPr="00D80453">
        <w:t>Association of State and Territorial Health Officials (ASTHO)</w:t>
      </w:r>
      <w:r w:rsidR="00C51E1F" w:rsidRPr="00D80453">
        <w:t xml:space="preserve">. (2024). </w:t>
      </w:r>
      <w:r w:rsidR="00C51E1F" w:rsidRPr="00D80453">
        <w:rPr>
          <w:i/>
          <w:iCs/>
        </w:rPr>
        <w:t>Suicide Indicator Explorer Guide</w:t>
      </w:r>
      <w:r w:rsidR="00C51E1F" w:rsidRPr="00D80453">
        <w:t>.</w:t>
      </w:r>
      <w:r w:rsidR="00F31F1E" w:rsidRPr="00D80453">
        <w:t xml:space="preserve"> Retrieved 30 June 2025 from </w:t>
      </w:r>
      <w:hyperlink r:id="rId38" w:history="1">
        <w:r w:rsidR="00FC2F29" w:rsidRPr="007D51E9">
          <w:rPr>
            <w:rStyle w:val="Hyperlink"/>
          </w:rPr>
          <w:t>https://www.astho.org/490078/globalassets/pdf/spacecat-suicide-indicator-explorer-guide.pdf</w:t>
        </w:r>
      </w:hyperlink>
      <w:r w:rsidR="00FC2F29">
        <w:t xml:space="preserve"> </w:t>
      </w:r>
      <w:r w:rsidR="00C51E1F" w:rsidRPr="00D80453">
        <w:t xml:space="preserve"> </w:t>
      </w:r>
    </w:p>
    <w:p w14:paraId="14FFDDAF" w14:textId="4CEE791A" w:rsidR="00D17A15" w:rsidRPr="00D80453" w:rsidRDefault="009000E7" w:rsidP="00650BC2">
      <w:r w:rsidRPr="00D80453">
        <w:t>Ayano, G., Tsegay, L., Abraha, M.</w:t>
      </w:r>
      <w:r w:rsidRPr="00D80453">
        <w:rPr>
          <w:rFonts w:ascii="Calibri" w:hAnsi="Calibri" w:cs="Calibri"/>
        </w:rPr>
        <w:t> </w:t>
      </w:r>
      <w:r w:rsidRPr="00D80453">
        <w:t>et al.</w:t>
      </w:r>
      <w:r w:rsidRPr="00D80453">
        <w:rPr>
          <w:rFonts w:ascii="Calibri" w:hAnsi="Calibri" w:cs="Calibri"/>
        </w:rPr>
        <w:t> </w:t>
      </w:r>
      <w:r w:rsidRPr="00D80453">
        <w:t>(</w:t>
      </w:r>
      <w:r w:rsidR="00B838BC" w:rsidRPr="00D80453">
        <w:t xml:space="preserve">2019). </w:t>
      </w:r>
      <w:r w:rsidRPr="00D80453">
        <w:t xml:space="preserve">Suicidal </w:t>
      </w:r>
      <w:r w:rsidR="00972A53" w:rsidRPr="00D80453">
        <w:t>ideation</w:t>
      </w:r>
      <w:r w:rsidRPr="00D80453">
        <w:t xml:space="preserve"> and </w:t>
      </w:r>
      <w:r w:rsidR="00972A53" w:rsidRPr="00D80453">
        <w:t>attempt</w:t>
      </w:r>
      <w:r w:rsidRPr="00D80453">
        <w:t xml:space="preserve"> among </w:t>
      </w:r>
      <w:r w:rsidR="00972A53" w:rsidRPr="00D80453">
        <w:t>homeless people</w:t>
      </w:r>
      <w:r w:rsidRPr="00D80453">
        <w:t xml:space="preserve">: </w:t>
      </w:r>
      <w:r w:rsidR="007639B2" w:rsidRPr="00D80453">
        <w:t>A</w:t>
      </w:r>
      <w:r w:rsidRPr="00D80453">
        <w:t xml:space="preserve"> </w:t>
      </w:r>
      <w:r w:rsidR="00972A53" w:rsidRPr="00D80453">
        <w:t>systematic review</w:t>
      </w:r>
      <w:r w:rsidRPr="00D80453">
        <w:t xml:space="preserve"> and </w:t>
      </w:r>
      <w:r w:rsidR="00972A53" w:rsidRPr="00D80453">
        <w:t>meta-analysis</w:t>
      </w:r>
      <w:r w:rsidRPr="00D80453">
        <w:t>.</w:t>
      </w:r>
      <w:r w:rsidRPr="00D80453">
        <w:rPr>
          <w:rFonts w:ascii="Calibri" w:hAnsi="Calibri" w:cs="Calibri"/>
        </w:rPr>
        <w:t> </w:t>
      </w:r>
      <w:r w:rsidRPr="00D80453">
        <w:rPr>
          <w:i/>
          <w:iCs/>
        </w:rPr>
        <w:t>Psychiatr</w:t>
      </w:r>
      <w:r w:rsidR="001873D7">
        <w:rPr>
          <w:i/>
          <w:iCs/>
        </w:rPr>
        <w:t>y</w:t>
      </w:r>
      <w:r w:rsidRPr="00D80453">
        <w:rPr>
          <w:i/>
          <w:iCs/>
        </w:rPr>
        <w:t xml:space="preserve"> Q</w:t>
      </w:r>
      <w:r w:rsidR="00D518AA">
        <w:rPr>
          <w:i/>
          <w:iCs/>
        </w:rPr>
        <w:t>,</w:t>
      </w:r>
      <w:r w:rsidRPr="00D80453">
        <w:rPr>
          <w:rFonts w:ascii="Calibri" w:hAnsi="Calibri" w:cs="Calibri"/>
        </w:rPr>
        <w:t> </w:t>
      </w:r>
      <w:r w:rsidRPr="00D518AA">
        <w:t>90</w:t>
      </w:r>
      <w:r w:rsidRPr="00D80453">
        <w:t xml:space="preserve">, 829–842. </w:t>
      </w:r>
      <w:r w:rsidR="00CA410B" w:rsidRPr="00D06627">
        <w:t>doi:</w:t>
      </w:r>
      <w:r w:rsidR="00D17A15" w:rsidRPr="00D06627">
        <w:t>10.1007/s11126-019-09667-8</w:t>
      </w:r>
    </w:p>
    <w:p w14:paraId="10A319FF" w14:textId="4B00B42D" w:rsidR="006E0859" w:rsidRPr="00D80453" w:rsidRDefault="00E14A39" w:rsidP="00FD1983">
      <w:r w:rsidRPr="00D80453">
        <w:t xml:space="preserve">Bell, S., Russ, T. C., Kivimäki, M., Stamatakis, E., &amp; Batty, G. D. (2015). Dose-response association between psychological distress and risk of completed suicide in the </w:t>
      </w:r>
      <w:r w:rsidRPr="00D80453">
        <w:lastRenderedPageBreak/>
        <w:t>general population.</w:t>
      </w:r>
      <w:r w:rsidRPr="00D80453">
        <w:rPr>
          <w:rFonts w:ascii="Calibri" w:hAnsi="Calibri" w:cs="Calibri"/>
        </w:rPr>
        <w:t> </w:t>
      </w:r>
      <w:r w:rsidRPr="00D80453">
        <w:rPr>
          <w:i/>
          <w:iCs/>
        </w:rPr>
        <w:t>JAMA psychiatry</w:t>
      </w:r>
      <w:r w:rsidRPr="00D80453">
        <w:t>,</w:t>
      </w:r>
      <w:r w:rsidRPr="00D80453">
        <w:rPr>
          <w:rFonts w:ascii="Calibri" w:hAnsi="Calibri" w:cs="Calibri"/>
        </w:rPr>
        <w:t> </w:t>
      </w:r>
      <w:r w:rsidRPr="00D80453">
        <w:rPr>
          <w:i/>
          <w:iCs/>
        </w:rPr>
        <w:t>72</w:t>
      </w:r>
      <w:r w:rsidRPr="00D80453">
        <w:t>(12), 1254-1256.</w:t>
      </w:r>
      <w:r w:rsidR="00004E26" w:rsidRPr="00D80453">
        <w:rPr>
          <w:rFonts w:ascii="Helvetica" w:hAnsi="Helvetica" w:cs="Helvetica"/>
          <w:color w:val="333333"/>
          <w:sz w:val="21"/>
          <w:szCs w:val="21"/>
          <w:shd w:val="clear" w:color="auto" w:fill="F4F4F4"/>
        </w:rPr>
        <w:t xml:space="preserve"> </w:t>
      </w:r>
      <w:r w:rsidR="00004E26" w:rsidRPr="00D80453">
        <w:t>doi:10.1001/jamapsychiatry.2015.2107</w:t>
      </w:r>
    </w:p>
    <w:p w14:paraId="0F253404" w14:textId="557B9609" w:rsidR="00AD196A" w:rsidRPr="00D80453" w:rsidRDefault="00D26861" w:rsidP="00FD1983">
      <w:r w:rsidRPr="00A75F14">
        <w:rPr>
          <w:lang w:val="de-DE"/>
        </w:rPr>
        <w:t xml:space="preserve">Bentley, K. H., Franklin, J. C., Ribeiro, J. D., Kleiman, E. M., Fox, K. R., &amp; Nock, M. K. (2016). </w:t>
      </w:r>
      <w:r w:rsidRPr="00D80453">
        <w:t xml:space="preserve">Anxiety and its disorders as risk factors for suicidal thoughts and </w:t>
      </w:r>
      <w:proofErr w:type="spellStart"/>
      <w:r w:rsidRPr="00D80453">
        <w:t>behaviors</w:t>
      </w:r>
      <w:proofErr w:type="spellEnd"/>
      <w:r w:rsidRPr="00D80453">
        <w:t>: A meta-analytic review.</w:t>
      </w:r>
      <w:r w:rsidRPr="00D80453">
        <w:rPr>
          <w:rFonts w:ascii="Calibri" w:hAnsi="Calibri" w:cs="Calibri"/>
        </w:rPr>
        <w:t> </w:t>
      </w:r>
      <w:r w:rsidRPr="00D80453">
        <w:rPr>
          <w:i/>
          <w:iCs/>
        </w:rPr>
        <w:t xml:space="preserve">Clinical </w:t>
      </w:r>
      <w:r w:rsidR="00D518AA">
        <w:rPr>
          <w:i/>
          <w:iCs/>
        </w:rPr>
        <w:t>P</w:t>
      </w:r>
      <w:r w:rsidRPr="00D80453">
        <w:rPr>
          <w:i/>
          <w:iCs/>
        </w:rPr>
        <w:t xml:space="preserve">sychology </w:t>
      </w:r>
      <w:r w:rsidR="00D518AA">
        <w:rPr>
          <w:i/>
          <w:iCs/>
        </w:rPr>
        <w:t>R</w:t>
      </w:r>
      <w:r w:rsidRPr="00D80453">
        <w:rPr>
          <w:i/>
          <w:iCs/>
        </w:rPr>
        <w:t>eview</w:t>
      </w:r>
      <w:r w:rsidRPr="00D80453">
        <w:t>,</w:t>
      </w:r>
      <w:r w:rsidRPr="00D80453">
        <w:rPr>
          <w:rFonts w:ascii="Calibri" w:hAnsi="Calibri" w:cs="Calibri"/>
        </w:rPr>
        <w:t> </w:t>
      </w:r>
      <w:r w:rsidRPr="00D80453">
        <w:rPr>
          <w:i/>
          <w:iCs/>
        </w:rPr>
        <w:t>43</w:t>
      </w:r>
      <w:r w:rsidRPr="00D80453">
        <w:t>, 30-46.</w:t>
      </w:r>
      <w:r w:rsidR="00A0604E" w:rsidRPr="00D80453">
        <w:t xml:space="preserve"> </w:t>
      </w:r>
      <w:proofErr w:type="gramStart"/>
      <w:r w:rsidR="00A0604E" w:rsidRPr="00D80453">
        <w:t>doi:10.1016/j.cpr</w:t>
      </w:r>
      <w:proofErr w:type="gramEnd"/>
      <w:r w:rsidR="00A0604E" w:rsidRPr="00D80453">
        <w:t>.2015.11.008</w:t>
      </w:r>
    </w:p>
    <w:p w14:paraId="3CC1BF77" w14:textId="4646802A" w:rsidR="000C730C" w:rsidRPr="00D80453" w:rsidRDefault="00852F63" w:rsidP="00FD1983">
      <w:proofErr w:type="spellStart"/>
      <w:r w:rsidRPr="00D80453">
        <w:t>Blázquez</w:t>
      </w:r>
      <w:proofErr w:type="spellEnd"/>
      <w:r w:rsidRPr="00D80453">
        <w:t xml:space="preserve">-Fernández, C., Lanza-León, P., &amp; Cantarero-Prieto, D. (2023). A systematic review on suicide because of social isolation/and loneliness: </w:t>
      </w:r>
      <w:r w:rsidR="00FD2A11">
        <w:t>D</w:t>
      </w:r>
      <w:r w:rsidRPr="00D80453">
        <w:t xml:space="preserve">oes COVID-19 make a </w:t>
      </w:r>
      <w:proofErr w:type="gramStart"/>
      <w:r w:rsidRPr="00D80453">
        <w:t>difference?.</w:t>
      </w:r>
      <w:proofErr w:type="gramEnd"/>
      <w:r w:rsidRPr="00D80453">
        <w:rPr>
          <w:rFonts w:ascii="Calibri" w:hAnsi="Calibri" w:cs="Calibri"/>
        </w:rPr>
        <w:t> </w:t>
      </w:r>
      <w:r w:rsidRPr="00D80453">
        <w:rPr>
          <w:i/>
          <w:iCs/>
        </w:rPr>
        <w:t>Journal of Public Health,</w:t>
      </w:r>
      <w:r w:rsidRPr="00D80453">
        <w:rPr>
          <w:rFonts w:ascii="Calibri" w:hAnsi="Calibri" w:cs="Calibri"/>
          <w:i/>
          <w:iCs/>
        </w:rPr>
        <w:t> </w:t>
      </w:r>
      <w:r w:rsidRPr="00D80453">
        <w:rPr>
          <w:i/>
          <w:iCs/>
        </w:rPr>
        <w:t>45</w:t>
      </w:r>
      <w:r w:rsidRPr="00D80453">
        <w:t>(3)</w:t>
      </w:r>
      <w:r w:rsidR="004948D2">
        <w:t>.</w:t>
      </w:r>
      <w:r w:rsidRPr="00D80453">
        <w:t xml:space="preserve"> 680-688. </w:t>
      </w:r>
      <w:r w:rsidR="00CA410B" w:rsidRPr="00D80453">
        <w:t>doi:</w:t>
      </w:r>
      <w:r w:rsidR="00DA6829" w:rsidRPr="00D80453">
        <w:t>10.1093/</w:t>
      </w:r>
      <w:proofErr w:type="spellStart"/>
      <w:r w:rsidR="00DA6829" w:rsidRPr="00D80453">
        <w:t>pubmed</w:t>
      </w:r>
      <w:proofErr w:type="spellEnd"/>
      <w:r w:rsidR="00DA6829" w:rsidRPr="00D80453">
        <w:t>/fdad001</w:t>
      </w:r>
    </w:p>
    <w:p w14:paraId="2DB515E9" w14:textId="682BFE2E" w:rsidR="008E0DD1" w:rsidRPr="00D80453" w:rsidRDefault="008E0DD1" w:rsidP="00FD1983">
      <w:r w:rsidRPr="00A75F14">
        <w:rPr>
          <w:lang w:val="de-DE"/>
        </w:rPr>
        <w:t xml:space="preserve">Bostwick, J. M., Pabbati, C., Geske, J. R., &amp; McKean, A. J. (2016). </w:t>
      </w:r>
      <w:r w:rsidRPr="00D80453">
        <w:t xml:space="preserve">Suicide attempt as a risk factor for completed suicide: </w:t>
      </w:r>
      <w:r w:rsidR="00FD2A11">
        <w:t>E</w:t>
      </w:r>
      <w:r w:rsidRPr="00D80453">
        <w:t>ven more lethal than we knew.</w:t>
      </w:r>
      <w:r w:rsidRPr="00D80453">
        <w:rPr>
          <w:rFonts w:ascii="Calibri" w:hAnsi="Calibri" w:cs="Calibri"/>
        </w:rPr>
        <w:t> </w:t>
      </w:r>
      <w:r w:rsidRPr="00D80453">
        <w:rPr>
          <w:i/>
          <w:iCs/>
        </w:rPr>
        <w:t xml:space="preserve">American </w:t>
      </w:r>
      <w:r w:rsidR="00D518AA">
        <w:rPr>
          <w:i/>
          <w:iCs/>
        </w:rPr>
        <w:t>J</w:t>
      </w:r>
      <w:r w:rsidRPr="00D80453">
        <w:rPr>
          <w:i/>
          <w:iCs/>
        </w:rPr>
        <w:t xml:space="preserve">ournal of </w:t>
      </w:r>
      <w:r w:rsidR="00D518AA">
        <w:rPr>
          <w:i/>
          <w:iCs/>
        </w:rPr>
        <w:t>P</w:t>
      </w:r>
      <w:r w:rsidRPr="00D80453">
        <w:rPr>
          <w:i/>
          <w:iCs/>
        </w:rPr>
        <w:t>sychiatry</w:t>
      </w:r>
      <w:r w:rsidRPr="00D80453">
        <w:t>,</w:t>
      </w:r>
      <w:r w:rsidRPr="00D80453">
        <w:rPr>
          <w:rFonts w:ascii="Calibri" w:hAnsi="Calibri" w:cs="Calibri"/>
        </w:rPr>
        <w:t> </w:t>
      </w:r>
      <w:r w:rsidRPr="00D80453">
        <w:rPr>
          <w:i/>
          <w:iCs/>
        </w:rPr>
        <w:t>173</w:t>
      </w:r>
      <w:r w:rsidRPr="00D80453">
        <w:t>(11), 1094-1100.</w:t>
      </w:r>
      <w:r w:rsidR="00995D51" w:rsidRPr="00D80453">
        <w:t xml:space="preserve"> </w:t>
      </w:r>
      <w:proofErr w:type="gramStart"/>
      <w:r w:rsidR="00995D51" w:rsidRPr="00D80453">
        <w:t>doi:10.1176/appi.ajp</w:t>
      </w:r>
      <w:proofErr w:type="gramEnd"/>
      <w:r w:rsidR="00995D51" w:rsidRPr="00D80453">
        <w:t>.2016.15070854</w:t>
      </w:r>
    </w:p>
    <w:p w14:paraId="7E38D903" w14:textId="34F78F80" w:rsidR="00376161" w:rsidRPr="00D80453" w:rsidRDefault="00376161" w:rsidP="00650BC2">
      <w:proofErr w:type="spellStart"/>
      <w:r w:rsidRPr="00D80453">
        <w:t>Brackertz</w:t>
      </w:r>
      <w:proofErr w:type="spellEnd"/>
      <w:r w:rsidRPr="00D80453">
        <w:t xml:space="preserve">, N. (2020). </w:t>
      </w:r>
      <w:r w:rsidRPr="00D80453">
        <w:rPr>
          <w:i/>
          <w:iCs/>
        </w:rPr>
        <w:t>The role of housing insecurity and homelessness in suicidal behaviour and effective interventions to reduce suicidal thoughts and behaviours: a review of the evidence</w:t>
      </w:r>
      <w:r w:rsidR="00CD342A" w:rsidRPr="00D80453">
        <w:t>.</w:t>
      </w:r>
      <w:r w:rsidRPr="00D80453">
        <w:t xml:space="preserve"> Evidence </w:t>
      </w:r>
      <w:proofErr w:type="gramStart"/>
      <w:r w:rsidR="00BB6770">
        <w:t>c</w:t>
      </w:r>
      <w:r w:rsidRPr="00D80453">
        <w:t>heck</w:t>
      </w:r>
      <w:proofErr w:type="gramEnd"/>
      <w:r w:rsidRPr="00D80453">
        <w:t xml:space="preserve"> prepared by AHURI for the National Suicide Prevention Adviser and the National Suicide Prevention Taskforce</w:t>
      </w:r>
      <w:r w:rsidR="000077CD" w:rsidRPr="00D80453">
        <w:t xml:space="preserve">. Retrieved 30 June 2025 from </w:t>
      </w:r>
      <w:hyperlink r:id="rId39" w:history="1">
        <w:r w:rsidR="00D83621" w:rsidRPr="007D51E9">
          <w:rPr>
            <w:rStyle w:val="Hyperlink"/>
          </w:rPr>
          <w:t>https://www.suicidepreventionaust.org/wp-content/uploads/2021/01/AHURI-Professional-Services-The-role-of-housing-insecurity-and-homelessness-in-suicidal-behaviour-FINAL-2.pdf</w:t>
        </w:r>
      </w:hyperlink>
      <w:r w:rsidR="00D83621">
        <w:t xml:space="preserve">  </w:t>
      </w:r>
      <w:r w:rsidR="00B72AD5">
        <w:t xml:space="preserve"> </w:t>
      </w:r>
    </w:p>
    <w:p w14:paraId="32E1A0EB" w14:textId="6648369E" w:rsidR="008C35D8" w:rsidRPr="00D80453" w:rsidRDefault="008C35D8" w:rsidP="00650BC2">
      <w:r w:rsidRPr="00D80453">
        <w:t>Buckmaster, R., McNulty, M., &amp; Guerin, S. (2019). Family factors associated with self</w:t>
      </w:r>
      <w:r w:rsidRPr="00D80453">
        <w:rPr>
          <w:rFonts w:ascii="Cambria Math" w:hAnsi="Cambria Math" w:cs="Cambria Math"/>
        </w:rPr>
        <w:t>‐</w:t>
      </w:r>
      <w:r w:rsidRPr="00D80453">
        <w:t xml:space="preserve">harm in adults: </w:t>
      </w:r>
      <w:r w:rsidR="00972A53">
        <w:t>A</w:t>
      </w:r>
      <w:r w:rsidRPr="00D80453">
        <w:t xml:space="preserve"> systematic review.</w:t>
      </w:r>
      <w:r w:rsidRPr="00D80453">
        <w:rPr>
          <w:rFonts w:ascii="Calibri" w:hAnsi="Calibri" w:cs="Calibri"/>
        </w:rPr>
        <w:t> </w:t>
      </w:r>
      <w:r w:rsidRPr="00D80453">
        <w:rPr>
          <w:i/>
          <w:iCs/>
        </w:rPr>
        <w:t>Journal of Family Therapy</w:t>
      </w:r>
      <w:r w:rsidRPr="00D80453">
        <w:t>,</w:t>
      </w:r>
      <w:r w:rsidRPr="00D80453">
        <w:rPr>
          <w:rFonts w:ascii="Calibri" w:hAnsi="Calibri" w:cs="Calibri"/>
        </w:rPr>
        <w:t> </w:t>
      </w:r>
      <w:r w:rsidRPr="00D80453">
        <w:rPr>
          <w:i/>
          <w:iCs/>
        </w:rPr>
        <w:t>41</w:t>
      </w:r>
      <w:r w:rsidRPr="00D80453">
        <w:t>(4), 537-558.</w:t>
      </w:r>
      <w:r w:rsidR="004F50FC" w:rsidRPr="00D80453">
        <w:t xml:space="preserve"> </w:t>
      </w:r>
      <w:r w:rsidR="00CA410B" w:rsidRPr="00D80453">
        <w:t>doi:</w:t>
      </w:r>
      <w:r w:rsidR="004F50FC" w:rsidRPr="00D80453">
        <w:t>10.1111/1467-6427.12232</w:t>
      </w:r>
    </w:p>
    <w:p w14:paraId="0DD414DC" w14:textId="1B373BDA" w:rsidR="00225883" w:rsidRPr="00D80453" w:rsidRDefault="004202F2" w:rsidP="00650BC2">
      <w:r w:rsidRPr="00D80453">
        <w:t xml:space="preserve">Carr, M. J., Ashcroft, D. M., </w:t>
      </w:r>
      <w:proofErr w:type="spellStart"/>
      <w:r w:rsidRPr="00D80453">
        <w:t>Kontopantelis</w:t>
      </w:r>
      <w:proofErr w:type="spellEnd"/>
      <w:r w:rsidRPr="00D80453">
        <w:t xml:space="preserve">, E., </w:t>
      </w:r>
      <w:proofErr w:type="spellStart"/>
      <w:r w:rsidRPr="00D80453">
        <w:t>Awenat</w:t>
      </w:r>
      <w:proofErr w:type="spellEnd"/>
      <w:r w:rsidRPr="00D80453">
        <w:t>, Y., Cooper, J., Chew-Graham, C.,</w:t>
      </w:r>
      <w:r w:rsidR="00680F46" w:rsidRPr="00D80453">
        <w:t>.</w:t>
      </w:r>
      <w:r w:rsidRPr="00D80453">
        <w:t>.. &amp; Webb, R. T. (2016). The epidemiology of self-harm in a UK-wide primary care patient cohort, 2001–2013.</w:t>
      </w:r>
      <w:r w:rsidRPr="00D80453">
        <w:rPr>
          <w:rFonts w:ascii="Calibri" w:hAnsi="Calibri" w:cs="Calibri"/>
        </w:rPr>
        <w:t> </w:t>
      </w:r>
      <w:r w:rsidRPr="00D80453">
        <w:rPr>
          <w:i/>
          <w:iCs/>
        </w:rPr>
        <w:t xml:space="preserve">BMC </w:t>
      </w:r>
      <w:r w:rsidR="00D518AA">
        <w:rPr>
          <w:i/>
          <w:iCs/>
        </w:rPr>
        <w:t>P</w:t>
      </w:r>
      <w:r w:rsidRPr="00D80453">
        <w:rPr>
          <w:i/>
          <w:iCs/>
        </w:rPr>
        <w:t>sychiatry</w:t>
      </w:r>
      <w:r w:rsidRPr="00D80453">
        <w:t>,</w:t>
      </w:r>
      <w:r w:rsidRPr="00D80453">
        <w:rPr>
          <w:rFonts w:ascii="Calibri" w:hAnsi="Calibri" w:cs="Calibri"/>
        </w:rPr>
        <w:t> </w:t>
      </w:r>
      <w:r w:rsidRPr="00D80453">
        <w:rPr>
          <w:i/>
          <w:iCs/>
        </w:rPr>
        <w:t>16</w:t>
      </w:r>
      <w:r w:rsidRPr="00D80453">
        <w:t>, 1-10.</w:t>
      </w:r>
      <w:r w:rsidR="00DB3438">
        <w:t xml:space="preserve"> doi:</w:t>
      </w:r>
      <w:r w:rsidR="00225883" w:rsidRPr="00D80453">
        <w:t>10.1186/s12888-016-0753-5</w:t>
      </w:r>
    </w:p>
    <w:p w14:paraId="08452E93" w14:textId="2F58428E" w:rsidR="004A4E01" w:rsidRPr="00D80453" w:rsidRDefault="004A4E01" w:rsidP="00650BC2">
      <w:pPr>
        <w:rPr>
          <w:lang w:eastAsia="en-NZ"/>
        </w:rPr>
      </w:pPr>
      <w:r w:rsidRPr="00D80453">
        <w:rPr>
          <w:lang w:eastAsia="en-NZ"/>
        </w:rPr>
        <w:t xml:space="preserve">Carroll, R., Metcalfe, C., &amp; Gunnell, D. (2014). Hospital presenting self-harm and risk of fatal and non-fatal repetition: </w:t>
      </w:r>
      <w:r w:rsidR="002A3B10">
        <w:rPr>
          <w:lang w:eastAsia="en-NZ"/>
        </w:rPr>
        <w:t>S</w:t>
      </w:r>
      <w:r w:rsidRPr="00D80453">
        <w:rPr>
          <w:lang w:eastAsia="en-NZ"/>
        </w:rPr>
        <w:t>ystematic review and meta-analysis.</w:t>
      </w:r>
      <w:r w:rsidRPr="00D80453">
        <w:rPr>
          <w:rFonts w:ascii="Calibri" w:hAnsi="Calibri" w:cs="Calibri"/>
          <w:lang w:eastAsia="en-NZ"/>
        </w:rPr>
        <w:t> </w:t>
      </w:r>
      <w:proofErr w:type="spellStart"/>
      <w:r w:rsidRPr="00D80453">
        <w:rPr>
          <w:i/>
          <w:iCs/>
          <w:lang w:eastAsia="en-NZ"/>
        </w:rPr>
        <w:t>PloS</w:t>
      </w:r>
      <w:proofErr w:type="spellEnd"/>
      <w:r w:rsidRPr="00D80453">
        <w:rPr>
          <w:i/>
          <w:iCs/>
          <w:lang w:eastAsia="en-NZ"/>
        </w:rPr>
        <w:t xml:space="preserve"> </w:t>
      </w:r>
      <w:r w:rsidR="00D518AA">
        <w:rPr>
          <w:i/>
          <w:iCs/>
          <w:lang w:eastAsia="en-NZ"/>
        </w:rPr>
        <w:t>O</w:t>
      </w:r>
      <w:r w:rsidRPr="00D80453">
        <w:rPr>
          <w:i/>
          <w:iCs/>
          <w:lang w:eastAsia="en-NZ"/>
        </w:rPr>
        <w:t>ne</w:t>
      </w:r>
      <w:r w:rsidRPr="00D80453">
        <w:rPr>
          <w:lang w:eastAsia="en-NZ"/>
        </w:rPr>
        <w:t>,</w:t>
      </w:r>
      <w:r w:rsidRPr="00D80453">
        <w:rPr>
          <w:rFonts w:ascii="Calibri" w:hAnsi="Calibri" w:cs="Calibri"/>
          <w:lang w:eastAsia="en-NZ"/>
        </w:rPr>
        <w:t> </w:t>
      </w:r>
      <w:r w:rsidRPr="00D80453">
        <w:rPr>
          <w:i/>
          <w:iCs/>
          <w:lang w:eastAsia="en-NZ"/>
        </w:rPr>
        <w:t>9</w:t>
      </w:r>
      <w:r w:rsidRPr="00D80453">
        <w:rPr>
          <w:lang w:eastAsia="en-NZ"/>
        </w:rPr>
        <w:t>(2), e89944.</w:t>
      </w:r>
      <w:r w:rsidR="005C2496" w:rsidRPr="00D80453">
        <w:rPr>
          <w:lang w:eastAsia="en-NZ"/>
        </w:rPr>
        <w:t xml:space="preserve"> </w:t>
      </w:r>
      <w:proofErr w:type="gramStart"/>
      <w:r w:rsidR="005C2496" w:rsidRPr="00D80453">
        <w:rPr>
          <w:lang w:eastAsia="en-NZ"/>
        </w:rPr>
        <w:t>doi:10.1371/journal.pone</w:t>
      </w:r>
      <w:proofErr w:type="gramEnd"/>
      <w:r w:rsidR="005C2496" w:rsidRPr="00D80453">
        <w:rPr>
          <w:lang w:eastAsia="en-NZ"/>
        </w:rPr>
        <w:t>.0089944</w:t>
      </w:r>
    </w:p>
    <w:p w14:paraId="29F82374" w14:textId="51C4ADEF" w:rsidR="0073227F" w:rsidRPr="00D80453" w:rsidRDefault="00584CFD" w:rsidP="00650BC2">
      <w:proofErr w:type="spellStart"/>
      <w:r w:rsidRPr="00D80453">
        <w:t>Castellví</w:t>
      </w:r>
      <w:proofErr w:type="spellEnd"/>
      <w:r w:rsidRPr="00D80453">
        <w:t>, P., Miranda-</w:t>
      </w:r>
      <w:proofErr w:type="spellStart"/>
      <w:r w:rsidRPr="00D80453">
        <w:t>Mendizábal</w:t>
      </w:r>
      <w:proofErr w:type="spellEnd"/>
      <w:r w:rsidRPr="00D80453">
        <w:t xml:space="preserve">, A., Alayo, I., </w:t>
      </w:r>
      <w:proofErr w:type="spellStart"/>
      <w:r w:rsidRPr="00D80453">
        <w:t>Parés</w:t>
      </w:r>
      <w:proofErr w:type="spellEnd"/>
      <w:r w:rsidRPr="00D80453">
        <w:t>-Badell, O., Almenara, J., Alonso, I.,</w:t>
      </w:r>
      <w:r w:rsidR="00680F46" w:rsidRPr="00D80453">
        <w:t>.</w:t>
      </w:r>
      <w:r w:rsidRPr="00D80453">
        <w:t xml:space="preserve">.. &amp; Alonso, J. (2020). Assessing the relationship between school failure and suicidal </w:t>
      </w:r>
      <w:proofErr w:type="spellStart"/>
      <w:r w:rsidRPr="00D80453">
        <w:t>behavior</w:t>
      </w:r>
      <w:proofErr w:type="spellEnd"/>
      <w:r w:rsidRPr="00D80453">
        <w:t xml:space="preserve"> in adolescents and young adults: </w:t>
      </w:r>
      <w:r w:rsidR="002A3B10">
        <w:t>A</w:t>
      </w:r>
      <w:r w:rsidRPr="00D80453">
        <w:t xml:space="preserve"> systematic review and meta-analysis of longitudinal studies.</w:t>
      </w:r>
      <w:r w:rsidRPr="00D80453">
        <w:rPr>
          <w:rFonts w:ascii="Calibri" w:hAnsi="Calibri" w:cs="Calibri"/>
        </w:rPr>
        <w:t> </w:t>
      </w:r>
      <w:r w:rsidRPr="00D80453">
        <w:rPr>
          <w:i/>
          <w:iCs/>
        </w:rPr>
        <w:t>School Mental Health</w:t>
      </w:r>
      <w:r w:rsidRPr="00D80453">
        <w:t>,</w:t>
      </w:r>
      <w:r w:rsidRPr="00D80453">
        <w:rPr>
          <w:rFonts w:ascii="Calibri" w:hAnsi="Calibri" w:cs="Calibri"/>
        </w:rPr>
        <w:t> </w:t>
      </w:r>
      <w:r w:rsidRPr="00D80453">
        <w:rPr>
          <w:i/>
          <w:iCs/>
        </w:rPr>
        <w:t>12</w:t>
      </w:r>
      <w:r w:rsidRPr="00D80453">
        <w:t xml:space="preserve">, 429-441. </w:t>
      </w:r>
      <w:r w:rsidR="00CA410B" w:rsidRPr="00F16834">
        <w:t>doi:</w:t>
      </w:r>
      <w:r w:rsidR="00F07463" w:rsidRPr="00F16834">
        <w:t>10.1007/s12310-020-09363-0</w:t>
      </w:r>
    </w:p>
    <w:p w14:paraId="71B1CAC2" w14:textId="21C01B10" w:rsidR="00906AA1" w:rsidRPr="00D80453" w:rsidRDefault="00906AA1" w:rsidP="00650BC2">
      <w:r w:rsidRPr="00D80453">
        <w:t xml:space="preserve">Clark, T.C., Gontijo de Castro, T., Pillay-Hansen, K., Shaw, G., </w:t>
      </w:r>
      <w:proofErr w:type="spellStart"/>
      <w:r w:rsidRPr="00D80453">
        <w:t>Fenaughty</w:t>
      </w:r>
      <w:proofErr w:type="spellEnd"/>
      <w:r w:rsidRPr="00D80453">
        <w:t xml:space="preserve">, J., Tiatia-Seath, J., …. &amp; Fleming, T. (2022). </w:t>
      </w:r>
      <w:r w:rsidRPr="00D80453">
        <w:rPr>
          <w:i/>
          <w:iCs/>
        </w:rPr>
        <w:t>Youth19 Rangatahi Smart Survey</w:t>
      </w:r>
      <w:r w:rsidR="002A3B10">
        <w:rPr>
          <w:i/>
          <w:iCs/>
        </w:rPr>
        <w:t>.</w:t>
      </w:r>
      <w:r w:rsidRPr="00D80453">
        <w:rPr>
          <w:i/>
          <w:iCs/>
        </w:rPr>
        <w:t xml:space="preserve"> The </w:t>
      </w:r>
      <w:r w:rsidR="002A3B10" w:rsidRPr="00D80453">
        <w:rPr>
          <w:i/>
          <w:iCs/>
        </w:rPr>
        <w:t>health</w:t>
      </w:r>
      <w:r w:rsidRPr="00D80453">
        <w:rPr>
          <w:i/>
          <w:iCs/>
        </w:rPr>
        <w:t xml:space="preserve"> and </w:t>
      </w:r>
      <w:r w:rsidR="002A3B10" w:rsidRPr="00D80453">
        <w:rPr>
          <w:i/>
          <w:iCs/>
        </w:rPr>
        <w:t>wellbeing</w:t>
      </w:r>
      <w:r w:rsidRPr="00D80453">
        <w:rPr>
          <w:i/>
          <w:iCs/>
        </w:rPr>
        <w:t xml:space="preserve"> of </w:t>
      </w:r>
      <w:r w:rsidR="002A3B10" w:rsidRPr="00D80453">
        <w:rPr>
          <w:i/>
          <w:iCs/>
        </w:rPr>
        <w:t>youth</w:t>
      </w:r>
      <w:r w:rsidRPr="00D80453">
        <w:rPr>
          <w:i/>
          <w:iCs/>
        </w:rPr>
        <w:t xml:space="preserve"> who are </w:t>
      </w:r>
      <w:r w:rsidR="002A3B10" w:rsidRPr="00D80453">
        <w:rPr>
          <w:i/>
          <w:iCs/>
        </w:rPr>
        <w:t>not</w:t>
      </w:r>
      <w:r w:rsidRPr="00D80453">
        <w:rPr>
          <w:i/>
          <w:iCs/>
        </w:rPr>
        <w:t xml:space="preserve"> in </w:t>
      </w:r>
      <w:r w:rsidR="002A3B10" w:rsidRPr="00D80453">
        <w:rPr>
          <w:i/>
          <w:iCs/>
        </w:rPr>
        <w:t>education, employment</w:t>
      </w:r>
      <w:r w:rsidRPr="00D80453">
        <w:rPr>
          <w:i/>
          <w:iCs/>
        </w:rPr>
        <w:t xml:space="preserve"> or </w:t>
      </w:r>
      <w:r w:rsidR="002A3B10" w:rsidRPr="00D80453">
        <w:rPr>
          <w:i/>
          <w:iCs/>
        </w:rPr>
        <w:t>trainin</w:t>
      </w:r>
      <w:r w:rsidRPr="00D80453">
        <w:rPr>
          <w:i/>
          <w:iCs/>
        </w:rPr>
        <w:t>g (Y-NEETs</w:t>
      </w:r>
      <w:r w:rsidRPr="00D80453">
        <w:t xml:space="preserve">). The Youth19 Research Group, The University of Auckland and Victoria University of Wellington, New Zealand. Retrieved on </w:t>
      </w:r>
      <w:r w:rsidR="00BF2A28" w:rsidRPr="00D80453">
        <w:t xml:space="preserve">29 July 2025 from </w:t>
      </w:r>
      <w:hyperlink r:id="rId40" w:history="1">
        <w:r w:rsidR="00DD3B1E" w:rsidRPr="007D51E9">
          <w:rPr>
            <w:rStyle w:val="Hyperlink"/>
          </w:rPr>
          <w:t>https://static1.squarespace.com/static/5bdbb75ccef37259122e59aa/t/630eb5967f83d0708679ae8d/1661908382899/YNEET_update_2508.pdf</w:t>
        </w:r>
      </w:hyperlink>
      <w:r w:rsidR="00DD3B1E">
        <w:t xml:space="preserve"> </w:t>
      </w:r>
    </w:p>
    <w:p w14:paraId="4E1DAE60" w14:textId="38874054" w:rsidR="00D53C38" w:rsidRPr="00D80453" w:rsidRDefault="00D53C38" w:rsidP="00FD1983">
      <w:r w:rsidRPr="00D80453">
        <w:lastRenderedPageBreak/>
        <w:t xml:space="preserve">Coimbra, B. M., </w:t>
      </w:r>
      <w:proofErr w:type="spellStart"/>
      <w:r w:rsidRPr="00D80453">
        <w:t>Hoeboer</w:t>
      </w:r>
      <w:proofErr w:type="spellEnd"/>
      <w:r w:rsidRPr="00D80453">
        <w:t>, C. M., Yik, J., Mello, A. F., Mello, M. F., &amp; Olff, M. (2022). Meta-analysis of the effect of racial discrimination on suicidality.</w:t>
      </w:r>
      <w:r w:rsidRPr="00D80453">
        <w:rPr>
          <w:rFonts w:ascii="Calibri" w:hAnsi="Calibri" w:cs="Calibri"/>
        </w:rPr>
        <w:t> </w:t>
      </w:r>
      <w:r w:rsidRPr="00D80453">
        <w:rPr>
          <w:i/>
          <w:iCs/>
        </w:rPr>
        <w:t>SSM-Population Health</w:t>
      </w:r>
      <w:r w:rsidRPr="00D80453">
        <w:t>,</w:t>
      </w:r>
      <w:r w:rsidRPr="00D80453">
        <w:rPr>
          <w:rFonts w:ascii="Calibri" w:hAnsi="Calibri" w:cs="Calibri"/>
        </w:rPr>
        <w:t> </w:t>
      </w:r>
      <w:r w:rsidRPr="00D80453">
        <w:rPr>
          <w:i/>
          <w:iCs/>
        </w:rPr>
        <w:t>20</w:t>
      </w:r>
      <w:r w:rsidRPr="00D80453">
        <w:t>, 101283.</w:t>
      </w:r>
      <w:r w:rsidR="006C46E5">
        <w:t xml:space="preserve"> </w:t>
      </w:r>
      <w:proofErr w:type="gramStart"/>
      <w:r w:rsidR="006C46E5">
        <w:t>d</w:t>
      </w:r>
      <w:r w:rsidR="006C46E5" w:rsidRPr="006C46E5">
        <w:t>oi</w:t>
      </w:r>
      <w:r w:rsidR="006C46E5">
        <w:t>:</w:t>
      </w:r>
      <w:r w:rsidR="006C46E5" w:rsidRPr="006C46E5">
        <w:t>10.1016/j.ssmph</w:t>
      </w:r>
      <w:proofErr w:type="gramEnd"/>
      <w:r w:rsidR="006C46E5" w:rsidRPr="006C46E5">
        <w:t>.2022.101283</w:t>
      </w:r>
    </w:p>
    <w:p w14:paraId="2FA4E805" w14:textId="3C670D8E" w:rsidR="009E4AA3" w:rsidRPr="00D80453" w:rsidRDefault="009E4AA3" w:rsidP="009E4AA3">
      <w:r w:rsidRPr="00D80453">
        <w:t>DelPozo-Banos, M., Rodway, C., Lee, S. C., Rouquette, O. Y., Ibrahim, S., Lloyd, K.,... &amp; John, A. (2024). Contacts with primary and secondary healthcare before suicide by those under the care of mental health services: case–control, whole-population-based study using person-level linked routine data in Wales, UK during 2000–2015.</w:t>
      </w:r>
      <w:r w:rsidRPr="00D80453">
        <w:rPr>
          <w:rFonts w:ascii="Calibri" w:hAnsi="Calibri" w:cs="Calibri"/>
        </w:rPr>
        <w:t> </w:t>
      </w:r>
      <w:proofErr w:type="spellStart"/>
      <w:r w:rsidRPr="00D80453">
        <w:rPr>
          <w:i/>
          <w:iCs/>
        </w:rPr>
        <w:t>BJPsych</w:t>
      </w:r>
      <w:proofErr w:type="spellEnd"/>
      <w:r w:rsidRPr="00D80453">
        <w:rPr>
          <w:i/>
          <w:iCs/>
        </w:rPr>
        <w:t xml:space="preserve"> </w:t>
      </w:r>
      <w:r w:rsidR="00CA5003">
        <w:rPr>
          <w:i/>
          <w:iCs/>
        </w:rPr>
        <w:t>O</w:t>
      </w:r>
      <w:r w:rsidRPr="00D80453">
        <w:rPr>
          <w:i/>
          <w:iCs/>
        </w:rPr>
        <w:t>pen</w:t>
      </w:r>
      <w:r w:rsidRPr="00D80453">
        <w:t>,</w:t>
      </w:r>
      <w:r w:rsidRPr="00D80453">
        <w:rPr>
          <w:rFonts w:ascii="Calibri" w:hAnsi="Calibri" w:cs="Calibri"/>
        </w:rPr>
        <w:t> </w:t>
      </w:r>
      <w:r w:rsidRPr="00D80453">
        <w:rPr>
          <w:i/>
          <w:iCs/>
        </w:rPr>
        <w:t>10</w:t>
      </w:r>
      <w:r w:rsidRPr="00D80453">
        <w:t>(3), e108. doi:10.1192/bjo.2024.23</w:t>
      </w:r>
    </w:p>
    <w:p w14:paraId="5F8988BD" w14:textId="553F752A" w:rsidR="00C438F2" w:rsidRPr="00D80453" w:rsidRDefault="00F651E4" w:rsidP="00650BC2">
      <w:r w:rsidRPr="00D80453">
        <w:t xml:space="preserve">Devin, J., Lyons, S., Murphy, L., O’Sullivan, M., &amp; Lynn, E. (2023). Factors associated with suicide in people who use drugs: </w:t>
      </w:r>
      <w:r w:rsidR="00EC28C3">
        <w:t>A</w:t>
      </w:r>
      <w:r w:rsidRPr="00D80453">
        <w:t xml:space="preserve"> scoping review.</w:t>
      </w:r>
      <w:r w:rsidRPr="00D80453">
        <w:rPr>
          <w:rFonts w:ascii="Calibri" w:hAnsi="Calibri" w:cs="Calibri"/>
        </w:rPr>
        <w:t> </w:t>
      </w:r>
      <w:r w:rsidRPr="00D80453">
        <w:rPr>
          <w:i/>
          <w:iCs/>
        </w:rPr>
        <w:t xml:space="preserve">BMC </w:t>
      </w:r>
      <w:r w:rsidR="00CA5003">
        <w:rPr>
          <w:i/>
          <w:iCs/>
        </w:rPr>
        <w:t>P</w:t>
      </w:r>
      <w:r w:rsidRPr="00D80453">
        <w:rPr>
          <w:i/>
          <w:iCs/>
        </w:rPr>
        <w:t>sychiatry</w:t>
      </w:r>
      <w:r w:rsidRPr="00D80453">
        <w:t>,</w:t>
      </w:r>
      <w:r w:rsidRPr="00D80453">
        <w:rPr>
          <w:rFonts w:ascii="Calibri" w:hAnsi="Calibri" w:cs="Calibri"/>
        </w:rPr>
        <w:t> </w:t>
      </w:r>
      <w:r w:rsidRPr="00D80453">
        <w:rPr>
          <w:i/>
          <w:iCs/>
        </w:rPr>
        <w:t>23</w:t>
      </w:r>
      <w:r w:rsidRPr="00D80453">
        <w:t xml:space="preserve">(1), 655. </w:t>
      </w:r>
      <w:r w:rsidR="00CA410B" w:rsidRPr="00D80453">
        <w:t>doi:</w:t>
      </w:r>
      <w:r w:rsidRPr="00D80453">
        <w:t>10.1186/s12888-023-05131-x</w:t>
      </w:r>
    </w:p>
    <w:p w14:paraId="78A9B466" w14:textId="1AC8D735" w:rsidR="006A5C90" w:rsidRPr="00D80453" w:rsidRDefault="006A5C90" w:rsidP="00650BC2">
      <w:r w:rsidRPr="00D80453">
        <w:t xml:space="preserve">Devries, K. M., Mak, J. Y., Bacchus, L. J., Child, J. C., Falder, G., Petzold, M., ... &amp; Watts, C. H. (2013). Intimate partner violence and incident depressive symptoms and suicide attempts: </w:t>
      </w:r>
      <w:r w:rsidR="00EC28C3">
        <w:t>A</w:t>
      </w:r>
      <w:r w:rsidRPr="00D80453">
        <w:t xml:space="preserve"> systematic review of longitudinal studies.</w:t>
      </w:r>
      <w:r w:rsidRPr="00D80453">
        <w:rPr>
          <w:rFonts w:ascii="Calibri" w:hAnsi="Calibri" w:cs="Calibri"/>
        </w:rPr>
        <w:t> </w:t>
      </w:r>
      <w:proofErr w:type="spellStart"/>
      <w:r w:rsidRPr="00D80453">
        <w:rPr>
          <w:i/>
          <w:iCs/>
        </w:rPr>
        <w:t>PLoS</w:t>
      </w:r>
      <w:proofErr w:type="spellEnd"/>
      <w:r w:rsidRPr="00D80453">
        <w:rPr>
          <w:i/>
          <w:iCs/>
        </w:rPr>
        <w:t xml:space="preserve"> </w:t>
      </w:r>
      <w:r w:rsidR="00CA5003">
        <w:rPr>
          <w:i/>
          <w:iCs/>
        </w:rPr>
        <w:t>M</w:t>
      </w:r>
      <w:r w:rsidRPr="00D80453">
        <w:rPr>
          <w:i/>
          <w:iCs/>
        </w:rPr>
        <w:t>edicine</w:t>
      </w:r>
      <w:r w:rsidRPr="00D80453">
        <w:t>,</w:t>
      </w:r>
      <w:r w:rsidRPr="00D80453">
        <w:rPr>
          <w:rFonts w:ascii="Calibri" w:hAnsi="Calibri" w:cs="Calibri"/>
        </w:rPr>
        <w:t> </w:t>
      </w:r>
      <w:r w:rsidRPr="00D80453">
        <w:rPr>
          <w:i/>
          <w:iCs/>
        </w:rPr>
        <w:t>10</w:t>
      </w:r>
      <w:r w:rsidRPr="00D80453">
        <w:t>(5)</w:t>
      </w:r>
      <w:r w:rsidR="00754C15" w:rsidRPr="00D80453">
        <w:t>.</w:t>
      </w:r>
      <w:r w:rsidR="001E0B23" w:rsidRPr="00D80453">
        <w:t xml:space="preserve"> </w:t>
      </w:r>
      <w:proofErr w:type="gramStart"/>
      <w:r w:rsidR="001E0B23" w:rsidRPr="00D80453">
        <w:t>doi:10.1371/journal.pmed</w:t>
      </w:r>
      <w:proofErr w:type="gramEnd"/>
      <w:r w:rsidR="001E0B23" w:rsidRPr="00D80453">
        <w:t>.1001439</w:t>
      </w:r>
    </w:p>
    <w:p w14:paraId="34FE2FB0" w14:textId="3086C7DC" w:rsidR="00541547" w:rsidRPr="00D80453" w:rsidRDefault="00F6146C" w:rsidP="00650BC2">
      <w:r w:rsidRPr="00D80453">
        <w:t xml:space="preserve">Diogu, M. I., Lee, S. C., Banos, M. D. P., Rouquette, O. Y., &amp; John, A. (2025). Risk of suicide following school persistent absence and exclusion: </w:t>
      </w:r>
      <w:r w:rsidR="00EC28C3">
        <w:t>A</w:t>
      </w:r>
      <w:r w:rsidRPr="00D80453">
        <w:t>n electronic cohort study in Wales, UK 2012–2019.</w:t>
      </w:r>
      <w:r w:rsidRPr="00D80453">
        <w:rPr>
          <w:rFonts w:ascii="Calibri" w:hAnsi="Calibri" w:cs="Calibri"/>
        </w:rPr>
        <w:t> </w:t>
      </w:r>
      <w:r w:rsidRPr="00D80453">
        <w:rPr>
          <w:i/>
          <w:iCs/>
        </w:rPr>
        <w:t>Journal of Affective Disorders</w:t>
      </w:r>
      <w:r w:rsidRPr="00D80453">
        <w:t xml:space="preserve">, 119394. </w:t>
      </w:r>
      <w:proofErr w:type="gramStart"/>
      <w:r w:rsidRPr="00D80453">
        <w:t>doi</w:t>
      </w:r>
      <w:r w:rsidR="00823857" w:rsidRPr="00D80453">
        <w:t>:10.1016/j.jad</w:t>
      </w:r>
      <w:proofErr w:type="gramEnd"/>
      <w:r w:rsidR="00823857" w:rsidRPr="00D80453">
        <w:t>.2025.119394</w:t>
      </w:r>
    </w:p>
    <w:p w14:paraId="42686E57" w14:textId="29E9731E" w:rsidR="00C46742" w:rsidRPr="00D80453" w:rsidRDefault="00D57849" w:rsidP="00650BC2">
      <w:r w:rsidRPr="00D80453">
        <w:t xml:space="preserve">Downing, J. (2016). The health effects of the foreclosure crisis and unaffordable housing: </w:t>
      </w:r>
      <w:r w:rsidR="00EC28C3">
        <w:t>A</w:t>
      </w:r>
      <w:r w:rsidRPr="00D80453">
        <w:t xml:space="preserve"> systematic review and explanation of evidence.</w:t>
      </w:r>
      <w:r w:rsidRPr="00D80453">
        <w:rPr>
          <w:rFonts w:ascii="Calibri" w:hAnsi="Calibri" w:cs="Calibri"/>
        </w:rPr>
        <w:t> </w:t>
      </w:r>
      <w:r w:rsidRPr="00D80453">
        <w:rPr>
          <w:i/>
          <w:iCs/>
        </w:rPr>
        <w:t>Social Science &amp; Medicine</w:t>
      </w:r>
      <w:r w:rsidRPr="00D80453">
        <w:t>,</w:t>
      </w:r>
      <w:r w:rsidRPr="00D80453">
        <w:rPr>
          <w:rFonts w:ascii="Calibri" w:hAnsi="Calibri" w:cs="Calibri"/>
        </w:rPr>
        <w:t> </w:t>
      </w:r>
      <w:r w:rsidRPr="00D80453">
        <w:rPr>
          <w:i/>
          <w:iCs/>
        </w:rPr>
        <w:t>162</w:t>
      </w:r>
      <w:r w:rsidRPr="00D80453">
        <w:t xml:space="preserve">, 88-96. </w:t>
      </w:r>
      <w:proofErr w:type="gramStart"/>
      <w:r w:rsidR="00CA410B" w:rsidRPr="00D80453">
        <w:t>doi:</w:t>
      </w:r>
      <w:r w:rsidR="00A06607" w:rsidRPr="00D80453">
        <w:t>10.1016/j.socscimed</w:t>
      </w:r>
      <w:proofErr w:type="gramEnd"/>
      <w:r w:rsidR="00A06607" w:rsidRPr="00D80453">
        <w:t>.2016.06.014</w:t>
      </w:r>
    </w:p>
    <w:p w14:paraId="2DD3515E" w14:textId="1785CB48" w:rsidR="00541547" w:rsidRPr="00D80453" w:rsidRDefault="001F62CD" w:rsidP="00C46742">
      <w:r w:rsidRPr="00D80453">
        <w:t>Epstein, S., Roberts, E., Sedgwick, R., Polling, C., Finning, K., Ford, T.,</w:t>
      </w:r>
      <w:r w:rsidR="00680F46" w:rsidRPr="00D80453">
        <w:t>.</w:t>
      </w:r>
      <w:r w:rsidRPr="00D80453">
        <w:t xml:space="preserve">.. &amp; Downs, J. (2020). School absenteeism as a risk factor for self-harm and suicidal ideation in children and adolescents: </w:t>
      </w:r>
      <w:r w:rsidR="00EC28C3">
        <w:t>A</w:t>
      </w:r>
      <w:r w:rsidRPr="00D80453">
        <w:t xml:space="preserve"> systematic review and meta-analysis.</w:t>
      </w:r>
      <w:r w:rsidRPr="00D80453">
        <w:rPr>
          <w:rFonts w:ascii="Calibri" w:hAnsi="Calibri" w:cs="Calibri"/>
        </w:rPr>
        <w:t> </w:t>
      </w:r>
      <w:r w:rsidRPr="00D80453">
        <w:rPr>
          <w:i/>
          <w:iCs/>
        </w:rPr>
        <w:t xml:space="preserve">European </w:t>
      </w:r>
      <w:r w:rsidR="00172FEB" w:rsidRPr="00D80453">
        <w:rPr>
          <w:i/>
          <w:iCs/>
        </w:rPr>
        <w:t>Child &amp; Adolescent Psychiatry</w:t>
      </w:r>
      <w:r w:rsidRPr="00D80453">
        <w:t>,</w:t>
      </w:r>
      <w:r w:rsidRPr="00D80453">
        <w:rPr>
          <w:rFonts w:ascii="Calibri" w:hAnsi="Calibri" w:cs="Calibri"/>
        </w:rPr>
        <w:t> </w:t>
      </w:r>
      <w:r w:rsidRPr="00D80453">
        <w:rPr>
          <w:i/>
          <w:iCs/>
        </w:rPr>
        <w:t>29</w:t>
      </w:r>
      <w:r w:rsidRPr="00D80453">
        <w:t xml:space="preserve">, 1175-1194. </w:t>
      </w:r>
      <w:r w:rsidR="00CA410B" w:rsidRPr="00D80453">
        <w:t>doi:</w:t>
      </w:r>
      <w:r w:rsidRPr="00D80453">
        <w:t>10.1007/s00787-019-01327-3</w:t>
      </w:r>
    </w:p>
    <w:p w14:paraId="46DDDB8F" w14:textId="1125CC14" w:rsidR="00A857E9" w:rsidRPr="00D80453" w:rsidRDefault="000166C7" w:rsidP="00410DC9">
      <w:r w:rsidRPr="00D80453">
        <w:t>Evans, R., White, J., Turley, R., Slater, T., Morgan, H., Strange, H., &amp; Scourfield, J. (2017). Comparison of suicidal ideation, suicide attempt and suicide in children and young people in care and non-care populations: Systematic review and meta-analysis of prevalence.</w:t>
      </w:r>
      <w:r w:rsidRPr="00D80453">
        <w:rPr>
          <w:rFonts w:ascii="Calibri" w:hAnsi="Calibri" w:cs="Calibri"/>
        </w:rPr>
        <w:t> </w:t>
      </w:r>
      <w:r w:rsidRPr="00D80453">
        <w:rPr>
          <w:i/>
          <w:iCs/>
        </w:rPr>
        <w:t>Children and Youth Services Review</w:t>
      </w:r>
      <w:r w:rsidRPr="00D80453">
        <w:t>,</w:t>
      </w:r>
      <w:r w:rsidRPr="00D80453">
        <w:rPr>
          <w:rFonts w:ascii="Calibri" w:hAnsi="Calibri" w:cs="Calibri"/>
        </w:rPr>
        <w:t> </w:t>
      </w:r>
      <w:r w:rsidRPr="00D80453">
        <w:rPr>
          <w:i/>
          <w:iCs/>
        </w:rPr>
        <w:t>82</w:t>
      </w:r>
      <w:r w:rsidRPr="00D80453">
        <w:t xml:space="preserve">, 122-129. </w:t>
      </w:r>
      <w:proofErr w:type="gramStart"/>
      <w:r w:rsidR="00CA410B" w:rsidRPr="00D80453">
        <w:t>doi:</w:t>
      </w:r>
      <w:r w:rsidR="00C951F9" w:rsidRPr="00D80453">
        <w:t>10.1016/j.childyouth</w:t>
      </w:r>
      <w:proofErr w:type="gramEnd"/>
      <w:r w:rsidR="00C951F9" w:rsidRPr="00D80453">
        <w:t>.2017.09.020</w:t>
      </w:r>
    </w:p>
    <w:p w14:paraId="5C2CB5B6" w14:textId="5D50D7A0" w:rsidR="0072045D" w:rsidRPr="00D80453" w:rsidRDefault="0072045D" w:rsidP="00410DC9">
      <w:proofErr w:type="spellStart"/>
      <w:r w:rsidRPr="00D80453">
        <w:t>Favril</w:t>
      </w:r>
      <w:proofErr w:type="spellEnd"/>
      <w:r w:rsidRPr="00D80453">
        <w:t xml:space="preserve">, L., Yu, R., Geddes, J. R., &amp; Fazel, S. (2023). Individual-level risk factors for suicide mortality in the general population: </w:t>
      </w:r>
      <w:r w:rsidR="00EC28C3">
        <w:t>A</w:t>
      </w:r>
      <w:r w:rsidRPr="00D80453">
        <w:t>n umbrella review.</w:t>
      </w:r>
      <w:r w:rsidRPr="00D80453">
        <w:rPr>
          <w:rFonts w:ascii="Calibri" w:hAnsi="Calibri" w:cs="Calibri"/>
        </w:rPr>
        <w:t> </w:t>
      </w:r>
      <w:r w:rsidRPr="00D80453">
        <w:rPr>
          <w:i/>
          <w:iCs/>
        </w:rPr>
        <w:t>The Lancet Public Health</w:t>
      </w:r>
      <w:r w:rsidRPr="00D80453">
        <w:t>,</w:t>
      </w:r>
      <w:r w:rsidRPr="00D80453">
        <w:rPr>
          <w:rFonts w:ascii="Calibri" w:hAnsi="Calibri" w:cs="Calibri"/>
        </w:rPr>
        <w:t> </w:t>
      </w:r>
      <w:r w:rsidRPr="00D80453">
        <w:rPr>
          <w:i/>
          <w:iCs/>
        </w:rPr>
        <w:t>8</w:t>
      </w:r>
      <w:r w:rsidRPr="00D80453">
        <w:t>(11), e868-e877.</w:t>
      </w:r>
      <w:r w:rsidR="00BA1F5B" w:rsidRPr="00D80453">
        <w:t xml:space="preserve"> </w:t>
      </w:r>
      <w:r w:rsidR="00CA410B" w:rsidRPr="00D80453">
        <w:t>doi:</w:t>
      </w:r>
      <w:r w:rsidR="00BA1F5B" w:rsidRPr="00D80453">
        <w:t>10.1016/S2468-2667(23)00207-4</w:t>
      </w:r>
    </w:p>
    <w:p w14:paraId="452C19DB" w14:textId="280802CC" w:rsidR="00BB13E5" w:rsidRPr="00D80453" w:rsidRDefault="00BB13E5" w:rsidP="00410DC9">
      <w:pPr>
        <w:rPr>
          <w:lang w:eastAsia="en-NZ"/>
        </w:rPr>
      </w:pPr>
      <w:r w:rsidRPr="00D80453">
        <w:rPr>
          <w:lang w:eastAsia="en-NZ"/>
        </w:rPr>
        <w:t xml:space="preserve">Ferrari, A. J., Norman, R. E., Freedman, G., Baxter, A. J., </w:t>
      </w:r>
      <w:proofErr w:type="spellStart"/>
      <w:r w:rsidRPr="00D80453">
        <w:rPr>
          <w:lang w:eastAsia="en-NZ"/>
        </w:rPr>
        <w:t>Pirkis</w:t>
      </w:r>
      <w:proofErr w:type="spellEnd"/>
      <w:r w:rsidRPr="00D80453">
        <w:rPr>
          <w:lang w:eastAsia="en-NZ"/>
        </w:rPr>
        <w:t>, J. E., Harris, M. G., ... &amp; Whiteford, H. A. (2014). The burden attributable to mental and substance use disorders as risk factors for suicide: findings from the Global Burden of Disease Study 2010.</w:t>
      </w:r>
      <w:r w:rsidRPr="00D80453">
        <w:rPr>
          <w:rFonts w:ascii="Calibri" w:hAnsi="Calibri" w:cs="Calibri"/>
          <w:lang w:eastAsia="en-NZ"/>
        </w:rPr>
        <w:t> </w:t>
      </w:r>
      <w:proofErr w:type="spellStart"/>
      <w:r w:rsidRPr="00D80453">
        <w:rPr>
          <w:i/>
          <w:iCs/>
          <w:lang w:eastAsia="en-NZ"/>
        </w:rPr>
        <w:t>PloS</w:t>
      </w:r>
      <w:proofErr w:type="spellEnd"/>
      <w:r w:rsidRPr="00D80453">
        <w:rPr>
          <w:i/>
          <w:iCs/>
          <w:lang w:eastAsia="en-NZ"/>
        </w:rPr>
        <w:t xml:space="preserve"> </w:t>
      </w:r>
      <w:r w:rsidR="00B627AA">
        <w:rPr>
          <w:i/>
          <w:iCs/>
          <w:lang w:eastAsia="en-NZ"/>
        </w:rPr>
        <w:t>O</w:t>
      </w:r>
      <w:r w:rsidRPr="00D80453">
        <w:rPr>
          <w:i/>
          <w:iCs/>
          <w:lang w:eastAsia="en-NZ"/>
        </w:rPr>
        <w:t>ne</w:t>
      </w:r>
      <w:r w:rsidRPr="00D80453">
        <w:rPr>
          <w:lang w:eastAsia="en-NZ"/>
        </w:rPr>
        <w:t>,</w:t>
      </w:r>
      <w:r w:rsidRPr="00D80453">
        <w:rPr>
          <w:rFonts w:ascii="Calibri" w:hAnsi="Calibri" w:cs="Calibri"/>
          <w:lang w:eastAsia="en-NZ"/>
        </w:rPr>
        <w:t> </w:t>
      </w:r>
      <w:r w:rsidRPr="00D80453">
        <w:rPr>
          <w:i/>
          <w:iCs/>
          <w:lang w:eastAsia="en-NZ"/>
        </w:rPr>
        <w:t>9</w:t>
      </w:r>
      <w:r w:rsidRPr="00D80453">
        <w:rPr>
          <w:lang w:eastAsia="en-NZ"/>
        </w:rPr>
        <w:t xml:space="preserve">(4), e91936. </w:t>
      </w:r>
      <w:proofErr w:type="gramStart"/>
      <w:r w:rsidRPr="00D80453">
        <w:rPr>
          <w:lang w:eastAsia="en-NZ"/>
        </w:rPr>
        <w:t>doi:10.1371/journal.pone</w:t>
      </w:r>
      <w:proofErr w:type="gramEnd"/>
      <w:r w:rsidRPr="00D80453">
        <w:rPr>
          <w:lang w:eastAsia="en-NZ"/>
        </w:rPr>
        <w:t>.0091936</w:t>
      </w:r>
    </w:p>
    <w:p w14:paraId="60612470" w14:textId="37BB9A7A" w:rsidR="005F293F" w:rsidRPr="00D80453" w:rsidRDefault="00B52462" w:rsidP="00410DC9">
      <w:r w:rsidRPr="00D80453">
        <w:lastRenderedPageBreak/>
        <w:t xml:space="preserve">Fong, Z. H., Loh, W. N. C., Fong, Y. J., Neo, H. L. M., &amp; Chee, T. T. (2022). Parenting </w:t>
      </w:r>
      <w:proofErr w:type="spellStart"/>
      <w:r w:rsidRPr="00D80453">
        <w:t>behaviors</w:t>
      </w:r>
      <w:proofErr w:type="spellEnd"/>
      <w:r w:rsidRPr="00D80453">
        <w:t xml:space="preserve">, parenting styles, and non-suicidal self-injury in young people: </w:t>
      </w:r>
      <w:r w:rsidR="00770A1E">
        <w:t>A</w:t>
      </w:r>
      <w:r w:rsidRPr="00D80453">
        <w:t xml:space="preserve"> systematic review.</w:t>
      </w:r>
      <w:r w:rsidRPr="00D80453">
        <w:rPr>
          <w:rFonts w:ascii="Calibri" w:hAnsi="Calibri" w:cs="Calibri"/>
        </w:rPr>
        <w:t> </w:t>
      </w:r>
      <w:r w:rsidRPr="00D80453">
        <w:rPr>
          <w:i/>
          <w:iCs/>
        </w:rPr>
        <w:t xml:space="preserve">Clinical </w:t>
      </w:r>
      <w:r w:rsidR="00B627AA" w:rsidRPr="00D80453">
        <w:rPr>
          <w:i/>
          <w:iCs/>
        </w:rPr>
        <w:t>Child Psychology</w:t>
      </w:r>
      <w:r w:rsidRPr="00D80453">
        <w:rPr>
          <w:i/>
          <w:iCs/>
        </w:rPr>
        <w:t xml:space="preserve"> and </w:t>
      </w:r>
      <w:r w:rsidR="00B627AA" w:rsidRPr="00D80453">
        <w:rPr>
          <w:i/>
          <w:iCs/>
        </w:rPr>
        <w:t>Psychiatry</w:t>
      </w:r>
      <w:r w:rsidRPr="00D80453">
        <w:t>,</w:t>
      </w:r>
      <w:r w:rsidRPr="00D80453">
        <w:rPr>
          <w:rFonts w:ascii="Calibri" w:hAnsi="Calibri" w:cs="Calibri"/>
        </w:rPr>
        <w:t> </w:t>
      </w:r>
      <w:r w:rsidRPr="00D80453">
        <w:rPr>
          <w:i/>
          <w:iCs/>
        </w:rPr>
        <w:t>27</w:t>
      </w:r>
      <w:r w:rsidRPr="00D80453">
        <w:t>(1), 61-81.</w:t>
      </w:r>
      <w:r w:rsidR="000166C7" w:rsidRPr="00D80453">
        <w:t xml:space="preserve"> </w:t>
      </w:r>
      <w:r w:rsidRPr="00D80453">
        <w:t>doi</w:t>
      </w:r>
      <w:r w:rsidR="000166C7" w:rsidRPr="00D80453">
        <w:t>:10.1177/13591045211055071</w:t>
      </w:r>
    </w:p>
    <w:p w14:paraId="4EF5B834" w14:textId="04E9DCB9" w:rsidR="00410DC9" w:rsidRPr="00D80453" w:rsidRDefault="00410DC9" w:rsidP="00410DC9">
      <w:r w:rsidRPr="00D80453">
        <w:t xml:space="preserve">Fortune, S., Cottrell, D. and Fife, S. (2016), Family factors associated with adolescent self-harm: a narrative review. </w:t>
      </w:r>
      <w:r w:rsidRPr="00D80453">
        <w:rPr>
          <w:i/>
          <w:iCs/>
        </w:rPr>
        <w:t>Journal of Family Therapy</w:t>
      </w:r>
      <w:r w:rsidRPr="00D80453">
        <w:t xml:space="preserve">, 38: 226–256. </w:t>
      </w:r>
      <w:r w:rsidR="00CA410B" w:rsidRPr="00D80453">
        <w:t>doi:</w:t>
      </w:r>
      <w:r w:rsidRPr="00D80453">
        <w:t>10.1111/1467-6427.12119</w:t>
      </w:r>
    </w:p>
    <w:p w14:paraId="3E3E0BB0" w14:textId="28E69DF9" w:rsidR="00CD6BC4" w:rsidRPr="00D80453" w:rsidRDefault="00555994" w:rsidP="00C46742">
      <w:r w:rsidRPr="00D80453">
        <w:t xml:space="preserve">Fortune, S., Hetrick, S., Sharma, V., McDonald, G., Scott, K. M., Mulder, R. T., &amp; Hobbs, L. (2022). Multisite sentinel surveillance of self-harm in New Zealand: </w:t>
      </w:r>
      <w:r w:rsidR="00063227">
        <w:t>P</w:t>
      </w:r>
      <w:r w:rsidRPr="00D80453">
        <w:t>rotocol for an observational study.</w:t>
      </w:r>
      <w:r w:rsidRPr="00D80453">
        <w:rPr>
          <w:rFonts w:ascii="Calibri" w:hAnsi="Calibri" w:cs="Calibri"/>
        </w:rPr>
        <w:t> </w:t>
      </w:r>
      <w:r w:rsidRPr="00D80453">
        <w:rPr>
          <w:i/>
          <w:iCs/>
        </w:rPr>
        <w:t xml:space="preserve">BMJ </w:t>
      </w:r>
      <w:r w:rsidR="00B627AA">
        <w:rPr>
          <w:i/>
          <w:iCs/>
        </w:rPr>
        <w:t>O</w:t>
      </w:r>
      <w:r w:rsidRPr="00D80453">
        <w:rPr>
          <w:i/>
          <w:iCs/>
        </w:rPr>
        <w:t>pen</w:t>
      </w:r>
      <w:r w:rsidRPr="00D80453">
        <w:t>,</w:t>
      </w:r>
      <w:r w:rsidRPr="00D80453">
        <w:rPr>
          <w:rFonts w:ascii="Calibri" w:hAnsi="Calibri" w:cs="Calibri"/>
        </w:rPr>
        <w:t> </w:t>
      </w:r>
      <w:r w:rsidRPr="00D80453">
        <w:rPr>
          <w:i/>
          <w:iCs/>
        </w:rPr>
        <w:t>12</w:t>
      </w:r>
      <w:r w:rsidRPr="00D80453">
        <w:t xml:space="preserve">(5), e054604. </w:t>
      </w:r>
      <w:r w:rsidR="001D735F" w:rsidRPr="00D80453">
        <w:t>doi:10.1136/bmjopen-2021-054604</w:t>
      </w:r>
    </w:p>
    <w:p w14:paraId="13B88FB4" w14:textId="4A1ACDE1" w:rsidR="005A0F10" w:rsidRPr="00D80453" w:rsidRDefault="005A0F10" w:rsidP="005A0F10">
      <w:r w:rsidRPr="00D80453">
        <w:t xml:space="preserve">Fortune, S., Sharma, V., Papalii, T., et al. (2023). </w:t>
      </w:r>
      <w:r w:rsidRPr="00D80453">
        <w:rPr>
          <w:i/>
          <w:iCs/>
        </w:rPr>
        <w:t xml:space="preserve">Evidence </w:t>
      </w:r>
      <w:r w:rsidR="00B453A1" w:rsidRPr="00D80453">
        <w:rPr>
          <w:i/>
          <w:iCs/>
        </w:rPr>
        <w:t>synthesis</w:t>
      </w:r>
      <w:r w:rsidRPr="00D80453">
        <w:rPr>
          <w:i/>
          <w:iCs/>
        </w:rPr>
        <w:t xml:space="preserve"> of the </w:t>
      </w:r>
      <w:r w:rsidR="00B453A1" w:rsidRPr="00D80453">
        <w:rPr>
          <w:i/>
          <w:iCs/>
        </w:rPr>
        <w:t>research</w:t>
      </w:r>
      <w:r w:rsidRPr="00D80453">
        <w:rPr>
          <w:i/>
          <w:iCs/>
        </w:rPr>
        <w:t xml:space="preserve"> on </w:t>
      </w:r>
      <w:r w:rsidR="00B453A1" w:rsidRPr="00D80453">
        <w:rPr>
          <w:i/>
          <w:iCs/>
        </w:rPr>
        <w:t>suicide prevention</w:t>
      </w:r>
      <w:r w:rsidRPr="00D80453">
        <w:rPr>
          <w:i/>
          <w:iCs/>
        </w:rPr>
        <w:t xml:space="preserve"> and </w:t>
      </w:r>
      <w:r w:rsidR="00B453A1" w:rsidRPr="00D80453">
        <w:rPr>
          <w:i/>
          <w:iCs/>
        </w:rPr>
        <w:t>postvention</w:t>
      </w:r>
      <w:r w:rsidRPr="00D80453">
        <w:rPr>
          <w:i/>
          <w:iCs/>
        </w:rPr>
        <w:t xml:space="preserve">: Aotearoa New Zealand and </w:t>
      </w:r>
      <w:r w:rsidR="00B453A1" w:rsidRPr="00D80453">
        <w:rPr>
          <w:i/>
          <w:iCs/>
        </w:rPr>
        <w:t>international perspective</w:t>
      </w:r>
      <w:r w:rsidRPr="00D80453">
        <w:rPr>
          <w:i/>
          <w:iCs/>
        </w:rPr>
        <w:t>s</w:t>
      </w:r>
      <w:r w:rsidRPr="00D80453">
        <w:t xml:space="preserve">. Ministry of Health. </w:t>
      </w:r>
      <w:r w:rsidR="002528FF" w:rsidRPr="00D80453">
        <w:t xml:space="preserve">Retrieved 29 July 2025 from </w:t>
      </w:r>
      <w:hyperlink r:id="rId41" w:history="1">
        <w:r w:rsidR="00B85F24" w:rsidRPr="007D51E9">
          <w:rPr>
            <w:rStyle w:val="Hyperlink"/>
          </w:rPr>
          <w:t>https://www.health.govt.nz/system/files/2024-07/report-evidence-synthesis-10jul24.pdf</w:t>
        </w:r>
      </w:hyperlink>
      <w:r w:rsidR="00B85F24">
        <w:t xml:space="preserve"> </w:t>
      </w:r>
    </w:p>
    <w:p w14:paraId="233036F6" w14:textId="586DCC83" w:rsidR="001306A8" w:rsidRPr="00D80453" w:rsidRDefault="007C1A94" w:rsidP="004D103B">
      <w:r w:rsidRPr="00F62661">
        <w:rPr>
          <w:lang w:val="de-DE"/>
        </w:rPr>
        <w:t xml:space="preserve">Franklin, J. C., Ribeiro, J. D., Fox, K. R., Bentley, K. H., Kleiman, E. M., Huang, X., ... </w:t>
      </w:r>
      <w:r w:rsidRPr="00D80453">
        <w:t xml:space="preserve">&amp; Nock, M. K. (2017). Risk factors for suicidal thoughts and </w:t>
      </w:r>
      <w:proofErr w:type="spellStart"/>
      <w:r w:rsidRPr="00D80453">
        <w:t>behaviors</w:t>
      </w:r>
      <w:proofErr w:type="spellEnd"/>
      <w:r w:rsidRPr="00D80453">
        <w:t>: A meta-analysis of 50 years of research.</w:t>
      </w:r>
      <w:r w:rsidRPr="00D80453">
        <w:rPr>
          <w:rFonts w:ascii="Calibri" w:hAnsi="Calibri" w:cs="Calibri"/>
        </w:rPr>
        <w:t> </w:t>
      </w:r>
      <w:r w:rsidRPr="00D80453">
        <w:rPr>
          <w:i/>
          <w:iCs/>
        </w:rPr>
        <w:t>Psychological Bulletin</w:t>
      </w:r>
      <w:r w:rsidRPr="00D80453">
        <w:t>,</w:t>
      </w:r>
      <w:r w:rsidRPr="00D80453">
        <w:rPr>
          <w:rFonts w:ascii="Calibri" w:hAnsi="Calibri" w:cs="Calibri"/>
        </w:rPr>
        <w:t> </w:t>
      </w:r>
      <w:r w:rsidRPr="00D80453">
        <w:rPr>
          <w:i/>
          <w:iCs/>
        </w:rPr>
        <w:t>143</w:t>
      </w:r>
      <w:r w:rsidRPr="00D80453">
        <w:t xml:space="preserve">(2), 187. </w:t>
      </w:r>
      <w:r w:rsidR="008E0B7B" w:rsidRPr="00D80453">
        <w:t>d</w:t>
      </w:r>
      <w:r w:rsidRPr="00D80453">
        <w:t>oi:10.1037/bul0000084</w:t>
      </w:r>
    </w:p>
    <w:p w14:paraId="1A143E1C" w14:textId="6EE35B3D" w:rsidR="004D103B" w:rsidRPr="00D80453" w:rsidRDefault="00BB0AD9" w:rsidP="004D103B">
      <w:r w:rsidRPr="00D80453">
        <w:t>Gallagher, K., Phillips, G., Corcoran, P., Platt, S., McClelland, H., O’Driscoll, M., &amp; Griffin, E. (2025). The social determinants of suicide: an umbrella review.</w:t>
      </w:r>
      <w:r w:rsidRPr="00D80453">
        <w:rPr>
          <w:rFonts w:ascii="Calibri" w:hAnsi="Calibri" w:cs="Calibri"/>
        </w:rPr>
        <w:t> </w:t>
      </w:r>
      <w:r w:rsidRPr="00D80453">
        <w:rPr>
          <w:i/>
          <w:iCs/>
        </w:rPr>
        <w:t>Epidemiologic Reviews</w:t>
      </w:r>
      <w:r w:rsidRPr="00D80453">
        <w:t>,</w:t>
      </w:r>
      <w:r w:rsidRPr="00D80453">
        <w:rPr>
          <w:rFonts w:ascii="Calibri" w:hAnsi="Calibri" w:cs="Calibri"/>
        </w:rPr>
        <w:t> </w:t>
      </w:r>
      <w:r w:rsidRPr="00D80453">
        <w:rPr>
          <w:i/>
          <w:iCs/>
        </w:rPr>
        <w:t>47</w:t>
      </w:r>
      <w:r w:rsidRPr="00D80453">
        <w:t xml:space="preserve">(1), mxaf004. </w:t>
      </w:r>
      <w:r w:rsidR="00CA410B" w:rsidRPr="00D80453">
        <w:t>doi:</w:t>
      </w:r>
      <w:r w:rsidR="008D5200" w:rsidRPr="00D80453">
        <w:t>10.1093/</w:t>
      </w:r>
      <w:proofErr w:type="spellStart"/>
      <w:r w:rsidR="008D5200" w:rsidRPr="00D80453">
        <w:t>epirev</w:t>
      </w:r>
      <w:proofErr w:type="spellEnd"/>
      <w:r w:rsidR="008D5200" w:rsidRPr="00D80453">
        <w:t>/mxaf004</w:t>
      </w:r>
    </w:p>
    <w:p w14:paraId="3D7A2733" w14:textId="15713B51" w:rsidR="00AC3B06" w:rsidRDefault="00AC3B06" w:rsidP="004D103B">
      <w:proofErr w:type="spellStart"/>
      <w:r w:rsidRPr="00AC3B06">
        <w:t>Geulayov</w:t>
      </w:r>
      <w:proofErr w:type="spellEnd"/>
      <w:r w:rsidRPr="00AC3B06">
        <w:t>, G., Casey, D., McDonald, K. C., Foster, P., Pritchard, K., Wells, C., ... &amp; Hawton, K. (2018). Incidence of suicide, hospital-presenting non-fatal self-harm, and community-occurring non-fatal self-harm in adolescents in England (the iceberg model of self-harm): a retrospective study.</w:t>
      </w:r>
      <w:r w:rsidRPr="00AC3B06">
        <w:rPr>
          <w:rFonts w:ascii="Calibri" w:hAnsi="Calibri" w:cs="Calibri"/>
        </w:rPr>
        <w:t> </w:t>
      </w:r>
      <w:r w:rsidRPr="00AC3B06">
        <w:rPr>
          <w:i/>
          <w:iCs/>
        </w:rPr>
        <w:t>The Lancet Psychiatry</w:t>
      </w:r>
      <w:r w:rsidRPr="00AC3B06">
        <w:t>,</w:t>
      </w:r>
      <w:r w:rsidRPr="00AC3B06">
        <w:rPr>
          <w:rFonts w:ascii="Calibri" w:hAnsi="Calibri" w:cs="Calibri"/>
        </w:rPr>
        <w:t> </w:t>
      </w:r>
      <w:r w:rsidRPr="00AC3B06">
        <w:rPr>
          <w:i/>
          <w:iCs/>
        </w:rPr>
        <w:t>5</w:t>
      </w:r>
      <w:r w:rsidRPr="00AC3B06">
        <w:t>(2), 167-174.</w:t>
      </w:r>
      <w:r w:rsidR="00CF1389">
        <w:t xml:space="preserve"> </w:t>
      </w:r>
      <w:r w:rsidR="002B3703">
        <w:t>d</w:t>
      </w:r>
      <w:r w:rsidR="00CF1389" w:rsidRPr="00CF1389">
        <w:t>oi</w:t>
      </w:r>
      <w:r w:rsidR="002B3703">
        <w:t>:</w:t>
      </w:r>
      <w:r w:rsidR="00CF1389" w:rsidRPr="00CF1389">
        <w:t>10.1016/</w:t>
      </w:r>
      <w:r w:rsidR="0084372E" w:rsidRPr="0084372E">
        <w:t>S2215-0366(17)30478-9</w:t>
      </w:r>
    </w:p>
    <w:p w14:paraId="4DF54D0C" w14:textId="6685975D" w:rsidR="0063689A" w:rsidRDefault="0096719B" w:rsidP="004D103B">
      <w:r w:rsidRPr="0096719B">
        <w:t xml:space="preserve">Gibson, K., Abraham, Q., Asher, I., Black, R., Turner, N., </w:t>
      </w:r>
      <w:proofErr w:type="spellStart"/>
      <w:r w:rsidRPr="0096719B">
        <w:t>Waitoki</w:t>
      </w:r>
      <w:proofErr w:type="spellEnd"/>
      <w:r w:rsidRPr="0096719B">
        <w:t>, W., &amp; McMillan, N. (2017).</w:t>
      </w:r>
      <w:r w:rsidRPr="0096719B">
        <w:rPr>
          <w:rFonts w:ascii="Calibri" w:hAnsi="Calibri" w:cs="Calibri"/>
        </w:rPr>
        <w:t> </w:t>
      </w:r>
      <w:r w:rsidRPr="0096719B">
        <w:rPr>
          <w:i/>
          <w:iCs/>
        </w:rPr>
        <w:t>Child poverty and mental health: A literature review (Commissioned for New Zealand Psychological Society and Child Poverty Action Group)</w:t>
      </w:r>
      <w:r w:rsidRPr="0096719B">
        <w:t>.</w:t>
      </w:r>
      <w:r>
        <w:t xml:space="preserve"> Retrieved </w:t>
      </w:r>
      <w:r w:rsidR="004E7378">
        <w:t xml:space="preserve">8 August 2025 from </w:t>
      </w:r>
      <w:hyperlink r:id="rId42" w:history="1">
        <w:r w:rsidR="00B85F24" w:rsidRPr="007D51E9">
          <w:rPr>
            <w:rStyle w:val="Hyperlink"/>
          </w:rPr>
          <w:t>https://researchcommons.waikato.ac.nz/server/api/core/bitstreams/3442198f-cb4c-45df-8f87-aab3cb977590/content</w:t>
        </w:r>
      </w:hyperlink>
      <w:r w:rsidR="00B85F24">
        <w:t xml:space="preserve"> </w:t>
      </w:r>
    </w:p>
    <w:p w14:paraId="344A5800" w14:textId="233BF366" w:rsidR="004D103B" w:rsidRPr="00D80453" w:rsidRDefault="00EC1321" w:rsidP="004D103B">
      <w:r w:rsidRPr="00D80453">
        <w:t>Goodwill, J. R., Taylor, R. J., &amp; Watkins, D. C. (2021). Everyday discrimination, depressive symptoms, and suicide ideation among African American men.</w:t>
      </w:r>
      <w:r w:rsidRPr="00D80453">
        <w:rPr>
          <w:rFonts w:ascii="Calibri" w:hAnsi="Calibri" w:cs="Calibri"/>
        </w:rPr>
        <w:t> </w:t>
      </w:r>
      <w:r w:rsidRPr="00D80453">
        <w:rPr>
          <w:i/>
          <w:iCs/>
        </w:rPr>
        <w:t xml:space="preserve">Archives of </w:t>
      </w:r>
      <w:r w:rsidR="00172FEB" w:rsidRPr="00D80453">
        <w:rPr>
          <w:i/>
          <w:iCs/>
        </w:rPr>
        <w:t>Suicide Resear</w:t>
      </w:r>
      <w:r w:rsidRPr="00D80453">
        <w:rPr>
          <w:i/>
          <w:iCs/>
        </w:rPr>
        <w:t>ch</w:t>
      </w:r>
      <w:r w:rsidRPr="00D80453">
        <w:t>,</w:t>
      </w:r>
      <w:r w:rsidRPr="00D80453">
        <w:rPr>
          <w:rFonts w:ascii="Calibri" w:hAnsi="Calibri" w:cs="Calibri"/>
        </w:rPr>
        <w:t> </w:t>
      </w:r>
      <w:r w:rsidRPr="00D80453">
        <w:rPr>
          <w:i/>
          <w:iCs/>
        </w:rPr>
        <w:t>25</w:t>
      </w:r>
      <w:r w:rsidRPr="00D80453">
        <w:t>(1), 74-93.</w:t>
      </w:r>
      <w:r w:rsidR="004D103B" w:rsidRPr="00D80453">
        <w:t xml:space="preserve"> </w:t>
      </w:r>
      <w:r w:rsidR="00CA410B" w:rsidRPr="00D80453">
        <w:t>doi:</w:t>
      </w:r>
      <w:r w:rsidRPr="00D80453">
        <w:t>10.1080/13811118.2019.1660287</w:t>
      </w:r>
    </w:p>
    <w:p w14:paraId="231EDA28" w14:textId="11CF9840" w:rsidR="004D103B" w:rsidRPr="00D80453" w:rsidRDefault="000756FD" w:rsidP="004D103B">
      <w:r w:rsidRPr="00D80453">
        <w:t>Gray, H. M., Edson, T. C., Nelson, S. E., Grossman, A. B., &amp; LaPlante, D. A. (2021). Association between gambling and self-harm: a scoping review.</w:t>
      </w:r>
      <w:r w:rsidRPr="00D80453">
        <w:rPr>
          <w:rFonts w:ascii="Calibri" w:hAnsi="Calibri" w:cs="Calibri"/>
        </w:rPr>
        <w:t> </w:t>
      </w:r>
      <w:r w:rsidRPr="00D80453">
        <w:rPr>
          <w:i/>
          <w:iCs/>
        </w:rPr>
        <w:t>Addiction Research &amp; Theory</w:t>
      </w:r>
      <w:r w:rsidRPr="00D80453">
        <w:t>,</w:t>
      </w:r>
      <w:r w:rsidRPr="00D80453">
        <w:rPr>
          <w:rFonts w:ascii="Calibri" w:hAnsi="Calibri" w:cs="Calibri"/>
        </w:rPr>
        <w:t> </w:t>
      </w:r>
      <w:r w:rsidRPr="00D80453">
        <w:rPr>
          <w:i/>
          <w:iCs/>
        </w:rPr>
        <w:t>29</w:t>
      </w:r>
      <w:r w:rsidRPr="00D80453">
        <w:t>(3), 183-195.</w:t>
      </w:r>
      <w:r w:rsidR="00F10EE2" w:rsidRPr="00D80453">
        <w:t xml:space="preserve"> </w:t>
      </w:r>
      <w:r w:rsidR="00CA410B" w:rsidRPr="00D80453">
        <w:t>doi:</w:t>
      </w:r>
      <w:r w:rsidR="00F10EE2" w:rsidRPr="00D80453">
        <w:t>10.1080/16066359.2020.1784881</w:t>
      </w:r>
    </w:p>
    <w:p w14:paraId="7F3665FE" w14:textId="18526ADE" w:rsidR="00D51978" w:rsidRPr="00D80453" w:rsidRDefault="00C801C9" w:rsidP="005D027F">
      <w:r w:rsidRPr="00D80453">
        <w:lastRenderedPageBreak/>
        <w:t xml:space="preserve">Gulliver, P., Cryer, C., &amp; Davie, G. (2012). The New Zealand serious non-fatal self-harm indicators: </w:t>
      </w:r>
      <w:r w:rsidR="0084372E">
        <w:t>H</w:t>
      </w:r>
      <w:r w:rsidRPr="00D80453">
        <w:t xml:space="preserve">ow valid are they for monitoring </w:t>
      </w:r>
      <w:proofErr w:type="gramStart"/>
      <w:r w:rsidRPr="00D80453">
        <w:t>trends?.</w:t>
      </w:r>
      <w:proofErr w:type="gramEnd"/>
      <w:r w:rsidRPr="00D80453">
        <w:rPr>
          <w:rFonts w:ascii="Calibri" w:hAnsi="Calibri" w:cs="Calibri"/>
        </w:rPr>
        <w:t> </w:t>
      </w:r>
      <w:r w:rsidRPr="00D80453">
        <w:rPr>
          <w:i/>
          <w:iCs/>
        </w:rPr>
        <w:t xml:space="preserve">Injury </w:t>
      </w:r>
      <w:r w:rsidR="008956B9">
        <w:rPr>
          <w:i/>
          <w:iCs/>
        </w:rPr>
        <w:t>P</w:t>
      </w:r>
      <w:r w:rsidRPr="00D80453">
        <w:rPr>
          <w:i/>
          <w:iCs/>
        </w:rPr>
        <w:t>revention</w:t>
      </w:r>
      <w:r w:rsidRPr="00D80453">
        <w:t>,</w:t>
      </w:r>
      <w:r w:rsidRPr="00D80453">
        <w:rPr>
          <w:rFonts w:ascii="Calibri" w:hAnsi="Calibri" w:cs="Calibri"/>
        </w:rPr>
        <w:t> </w:t>
      </w:r>
      <w:r w:rsidRPr="00D80453">
        <w:rPr>
          <w:i/>
          <w:iCs/>
        </w:rPr>
        <w:t>18</w:t>
      </w:r>
      <w:r w:rsidRPr="00D80453">
        <w:t xml:space="preserve">(4), 246-252. </w:t>
      </w:r>
      <w:r w:rsidR="00916111" w:rsidRPr="00D80453">
        <w:t>doi:10.1136/injuryprev-2011-040081</w:t>
      </w:r>
    </w:p>
    <w:p w14:paraId="7BA9212D" w14:textId="35D07926" w:rsidR="00095CD5" w:rsidRPr="00D80453" w:rsidRDefault="00095CD5" w:rsidP="005D027F">
      <w:r w:rsidRPr="00D80453">
        <w:t xml:space="preserve">Haas, A. P., Eliason, M., Mays, V. M., Mathy, R. M., Cochran, S. D., </w:t>
      </w:r>
      <w:proofErr w:type="spellStart"/>
      <w:r w:rsidRPr="00D80453">
        <w:t>D'Augelli</w:t>
      </w:r>
      <w:proofErr w:type="spellEnd"/>
      <w:r w:rsidRPr="00D80453">
        <w:t>, A. R., ... &amp; Clayton, P. J. (2010). Suicide and suicide risk in lesbian, gay, bisexual, and transgender populations: Review and recommendations.</w:t>
      </w:r>
      <w:r w:rsidRPr="00D80453">
        <w:rPr>
          <w:rFonts w:ascii="Calibri" w:hAnsi="Calibri" w:cs="Calibri"/>
        </w:rPr>
        <w:t> </w:t>
      </w:r>
      <w:r w:rsidRPr="00D80453">
        <w:rPr>
          <w:i/>
          <w:iCs/>
        </w:rPr>
        <w:t>Journal of Homosexuality</w:t>
      </w:r>
      <w:r w:rsidRPr="00D80453">
        <w:t>,</w:t>
      </w:r>
      <w:r w:rsidRPr="00D80453">
        <w:rPr>
          <w:rFonts w:ascii="Calibri" w:hAnsi="Calibri" w:cs="Calibri"/>
        </w:rPr>
        <w:t> </w:t>
      </w:r>
      <w:r w:rsidRPr="00D80453">
        <w:rPr>
          <w:i/>
          <w:iCs/>
        </w:rPr>
        <w:t>58</w:t>
      </w:r>
      <w:r w:rsidRPr="00D80453">
        <w:t>(1), 10-51.</w:t>
      </w:r>
      <w:r w:rsidR="002718BD" w:rsidRPr="00D80453">
        <w:t xml:space="preserve"> doi:10.1080/00918369.2011.534038</w:t>
      </w:r>
    </w:p>
    <w:p w14:paraId="3C169B78" w14:textId="625B8CE8" w:rsidR="003153AE" w:rsidRPr="00D80453" w:rsidRDefault="003153AE" w:rsidP="003153AE">
      <w:r w:rsidRPr="00D80453">
        <w:t xml:space="preserve">Hawton, K., Bergen, H., Cooper, J., Turnbull, P., Waters, K., Ness, J., &amp; Kapur, N. (2015). Suicide following self-harm: </w:t>
      </w:r>
      <w:r w:rsidR="00BB08A5">
        <w:t>F</w:t>
      </w:r>
      <w:r w:rsidRPr="00D80453">
        <w:t>indings from the multicentre study of self-harm in England, 2000–2012.</w:t>
      </w:r>
      <w:r w:rsidRPr="00D80453">
        <w:rPr>
          <w:rFonts w:ascii="Calibri" w:hAnsi="Calibri" w:cs="Calibri"/>
        </w:rPr>
        <w:t> </w:t>
      </w:r>
      <w:r w:rsidRPr="00D80453">
        <w:rPr>
          <w:i/>
          <w:iCs/>
        </w:rPr>
        <w:t>Journal of Affective Disorders</w:t>
      </w:r>
      <w:r w:rsidRPr="00D80453">
        <w:t>,</w:t>
      </w:r>
      <w:r w:rsidRPr="00D80453">
        <w:rPr>
          <w:rFonts w:ascii="Calibri" w:hAnsi="Calibri" w:cs="Calibri"/>
        </w:rPr>
        <w:t> </w:t>
      </w:r>
      <w:r w:rsidRPr="00D80453">
        <w:rPr>
          <w:i/>
          <w:iCs/>
        </w:rPr>
        <w:t>175</w:t>
      </w:r>
      <w:r w:rsidRPr="00D80453">
        <w:t xml:space="preserve">, 147-151. </w:t>
      </w:r>
      <w:proofErr w:type="gramStart"/>
      <w:r w:rsidR="00CA410B" w:rsidRPr="00D80453">
        <w:t>doi:</w:t>
      </w:r>
      <w:r w:rsidRPr="00D80453">
        <w:t>10.1016/j.jad</w:t>
      </w:r>
      <w:proofErr w:type="gramEnd"/>
      <w:r w:rsidRPr="00D80453">
        <w:t>.2014.12.062</w:t>
      </w:r>
    </w:p>
    <w:p w14:paraId="0D340B57" w14:textId="5CA4D7A1" w:rsidR="00DB6CF5" w:rsidRPr="00D80453" w:rsidRDefault="00DB6CF5" w:rsidP="003153AE">
      <w:pPr>
        <w:rPr>
          <w:lang w:eastAsia="en-NZ"/>
        </w:rPr>
      </w:pPr>
      <w:r w:rsidRPr="00D80453">
        <w:rPr>
          <w:lang w:eastAsia="en-NZ"/>
        </w:rPr>
        <w:t xml:space="preserve">Hawton, K., </w:t>
      </w:r>
      <w:r w:rsidR="00CC5C7A" w:rsidRPr="00D80453">
        <w:rPr>
          <w:lang w:eastAsia="en-NZ"/>
        </w:rPr>
        <w:t xml:space="preserve">Casañas I </w:t>
      </w:r>
      <w:proofErr w:type="spellStart"/>
      <w:r w:rsidR="00CC5C7A" w:rsidRPr="00D80453">
        <w:rPr>
          <w:lang w:eastAsia="en-NZ"/>
        </w:rPr>
        <w:t>Comabell</w:t>
      </w:r>
      <w:proofErr w:type="spellEnd"/>
      <w:r w:rsidRPr="00D80453">
        <w:rPr>
          <w:lang w:eastAsia="en-NZ"/>
        </w:rPr>
        <w:t xml:space="preserve">, C., Haw, C., &amp; Saunders, K. (2013). Risk factors for suicide in individuals with depression: </w:t>
      </w:r>
      <w:r w:rsidR="00CC4A76">
        <w:rPr>
          <w:lang w:eastAsia="en-NZ"/>
        </w:rPr>
        <w:t>A</w:t>
      </w:r>
      <w:r w:rsidRPr="00D80453">
        <w:rPr>
          <w:lang w:eastAsia="en-NZ"/>
        </w:rPr>
        <w:t xml:space="preserve"> systematic review.</w:t>
      </w:r>
      <w:r w:rsidRPr="00D80453">
        <w:rPr>
          <w:rFonts w:ascii="Calibri" w:hAnsi="Calibri" w:cs="Calibri"/>
          <w:lang w:eastAsia="en-NZ"/>
        </w:rPr>
        <w:t> </w:t>
      </w:r>
      <w:r w:rsidRPr="00D80453">
        <w:rPr>
          <w:i/>
          <w:iCs/>
          <w:lang w:eastAsia="en-NZ"/>
        </w:rPr>
        <w:t>Journal of affective disorders</w:t>
      </w:r>
      <w:r w:rsidRPr="00D80453">
        <w:rPr>
          <w:lang w:eastAsia="en-NZ"/>
        </w:rPr>
        <w:t>,</w:t>
      </w:r>
      <w:r w:rsidRPr="00D80453">
        <w:rPr>
          <w:rFonts w:ascii="Calibri" w:hAnsi="Calibri" w:cs="Calibri"/>
          <w:lang w:eastAsia="en-NZ"/>
        </w:rPr>
        <w:t> </w:t>
      </w:r>
      <w:r w:rsidRPr="00D80453">
        <w:rPr>
          <w:i/>
          <w:iCs/>
          <w:lang w:eastAsia="en-NZ"/>
        </w:rPr>
        <w:t>147</w:t>
      </w:r>
      <w:r w:rsidRPr="00D80453">
        <w:rPr>
          <w:lang w:eastAsia="en-NZ"/>
        </w:rPr>
        <w:t xml:space="preserve">(1-3), 17-28. </w:t>
      </w:r>
      <w:proofErr w:type="gramStart"/>
      <w:r w:rsidRPr="00D80453">
        <w:rPr>
          <w:lang w:eastAsia="en-NZ"/>
        </w:rPr>
        <w:t>doi:10.1016/j.jad</w:t>
      </w:r>
      <w:proofErr w:type="gramEnd"/>
      <w:r w:rsidRPr="00D80453">
        <w:rPr>
          <w:lang w:eastAsia="en-NZ"/>
        </w:rPr>
        <w:t>.2013.01.004</w:t>
      </w:r>
    </w:p>
    <w:p w14:paraId="739734EE" w14:textId="4F82DBAA" w:rsidR="004D103B" w:rsidRPr="00D80453" w:rsidRDefault="004D103B" w:rsidP="004D103B">
      <w:r w:rsidRPr="00D80453">
        <w:t>Hawton</w:t>
      </w:r>
      <w:r w:rsidR="00B93BA1" w:rsidRPr="00D80453">
        <w:t>,</w:t>
      </w:r>
      <w:r w:rsidRPr="00D80453">
        <w:t xml:space="preserve"> K</w:t>
      </w:r>
      <w:r w:rsidR="00B93BA1" w:rsidRPr="00D80453">
        <w:t>.</w:t>
      </w:r>
      <w:r w:rsidRPr="00D80453">
        <w:t>, Saunders</w:t>
      </w:r>
      <w:r w:rsidR="00B93BA1" w:rsidRPr="00D80453">
        <w:t>,</w:t>
      </w:r>
      <w:r w:rsidRPr="00D80453">
        <w:t xml:space="preserve"> K</w:t>
      </w:r>
      <w:r w:rsidR="00B93BA1" w:rsidRPr="00D80453">
        <w:t>.</w:t>
      </w:r>
      <w:r w:rsidRPr="00D80453">
        <w:t>E</w:t>
      </w:r>
      <w:r w:rsidR="00B93BA1" w:rsidRPr="00D80453">
        <w:t>.</w:t>
      </w:r>
      <w:r w:rsidRPr="00D80453">
        <w:t>, O’Connor</w:t>
      </w:r>
      <w:r w:rsidR="00B93BA1" w:rsidRPr="00D80453">
        <w:t>,</w:t>
      </w:r>
      <w:r w:rsidRPr="00D80453">
        <w:t xml:space="preserve"> R</w:t>
      </w:r>
      <w:r w:rsidR="00B93BA1" w:rsidRPr="00D80453">
        <w:t>.</w:t>
      </w:r>
      <w:r w:rsidRPr="00D80453">
        <w:t xml:space="preserve">C. </w:t>
      </w:r>
      <w:r w:rsidR="00172FEB" w:rsidRPr="00D80453">
        <w:t xml:space="preserve">(2012). </w:t>
      </w:r>
      <w:r w:rsidRPr="00D80453">
        <w:t xml:space="preserve">Self-harm and suicide in adolescents. </w:t>
      </w:r>
      <w:r w:rsidRPr="00D80453">
        <w:rPr>
          <w:i/>
          <w:iCs/>
        </w:rPr>
        <w:t>Lancet</w:t>
      </w:r>
      <w:r w:rsidR="00B93BA1" w:rsidRPr="00D80453">
        <w:t>,</w:t>
      </w:r>
      <w:r w:rsidRPr="00D80453">
        <w:t xml:space="preserve"> 379 (9834):2373–82. </w:t>
      </w:r>
      <w:r w:rsidR="00CA410B" w:rsidRPr="00D80453">
        <w:t>doi:</w:t>
      </w:r>
      <w:r w:rsidRPr="00D80453">
        <w:t>10.1016/S0140-6736(12)60322-5</w:t>
      </w:r>
    </w:p>
    <w:p w14:paraId="3554FD79" w14:textId="04968619" w:rsidR="00410DC9" w:rsidRPr="00D80453" w:rsidRDefault="00410DC9" w:rsidP="00C46742">
      <w:r w:rsidRPr="00D80453">
        <w:t xml:space="preserve">Hedegaard, H., Schoenbaum, M., Claassen, C., Crosby, A., Holland, K., &amp; </w:t>
      </w:r>
      <w:proofErr w:type="spellStart"/>
      <w:r w:rsidRPr="00D80453">
        <w:t>Proescholdbell</w:t>
      </w:r>
      <w:proofErr w:type="spellEnd"/>
      <w:r w:rsidRPr="00D80453">
        <w:t>, S. (2018). Issues in developing a surveillance case definition for nonfatal suicide attempt and intentional self-harm using International Classification of Diseases, Tenth Revision, Clinical Modification (ICD-10-CM) coded data.</w:t>
      </w:r>
      <w:r w:rsidRPr="00D80453">
        <w:rPr>
          <w:rFonts w:ascii="Calibri" w:hAnsi="Calibri" w:cs="Calibri"/>
        </w:rPr>
        <w:t> </w:t>
      </w:r>
      <w:r w:rsidRPr="00D80453">
        <w:rPr>
          <w:i/>
          <w:iCs/>
        </w:rPr>
        <w:t xml:space="preserve">National </w:t>
      </w:r>
      <w:r w:rsidR="00B93BA1" w:rsidRPr="00D80453">
        <w:rPr>
          <w:i/>
          <w:iCs/>
        </w:rPr>
        <w:t>Health Statistics Reports</w:t>
      </w:r>
      <w:r w:rsidRPr="00D80453">
        <w:t>, (108), 1-19</w:t>
      </w:r>
      <w:r w:rsidRPr="00C93E87">
        <w:t>.</w:t>
      </w:r>
      <w:r w:rsidR="006148F8" w:rsidRPr="00C93E87">
        <w:t xml:space="preserve"> </w:t>
      </w:r>
      <w:hyperlink r:id="rId43" w:history="1">
        <w:r w:rsidR="006A4F95" w:rsidRPr="00C93E87">
          <w:rPr>
            <w:rStyle w:val="Hyperlink"/>
          </w:rPr>
          <w:t>https://cdc.gov/nchs/data/nhsr/nhsr108.pdf</w:t>
        </w:r>
      </w:hyperlink>
    </w:p>
    <w:p w14:paraId="503767FC" w14:textId="28B6DA27" w:rsidR="003D6FA4" w:rsidRPr="00D80453" w:rsidRDefault="00C24A07" w:rsidP="004D103B">
      <w:r w:rsidRPr="00D80453">
        <w:rPr>
          <w:lang w:val="de-DE"/>
        </w:rPr>
        <w:t xml:space="preserve">Hoffmann, J. A., Farrell, C. A., Monuteaux, M. C., Fleegler, E. W., &amp; Lee, L. K. (2020). </w:t>
      </w:r>
      <w:r w:rsidRPr="00D80453">
        <w:t xml:space="preserve">Association of </w:t>
      </w:r>
      <w:proofErr w:type="spellStart"/>
      <w:r w:rsidRPr="00D80453">
        <w:t>pediatric</w:t>
      </w:r>
      <w:proofErr w:type="spellEnd"/>
      <w:r w:rsidRPr="00D80453">
        <w:t xml:space="preserve"> suicide with county-level poverty in the United States, 2007-2016.</w:t>
      </w:r>
      <w:r w:rsidRPr="00D80453">
        <w:rPr>
          <w:rFonts w:ascii="Calibri" w:hAnsi="Calibri" w:cs="Calibri"/>
        </w:rPr>
        <w:t> </w:t>
      </w:r>
      <w:r w:rsidRPr="00D80453">
        <w:rPr>
          <w:i/>
          <w:iCs/>
        </w:rPr>
        <w:t xml:space="preserve">JAMA </w:t>
      </w:r>
      <w:proofErr w:type="spellStart"/>
      <w:r w:rsidR="00B93BA1" w:rsidRPr="00D80453">
        <w:rPr>
          <w:i/>
          <w:iCs/>
        </w:rPr>
        <w:t>P</w:t>
      </w:r>
      <w:r w:rsidRPr="00D80453">
        <w:rPr>
          <w:i/>
          <w:iCs/>
        </w:rPr>
        <w:t>ediatrics</w:t>
      </w:r>
      <w:proofErr w:type="spellEnd"/>
      <w:r w:rsidRPr="00D80453">
        <w:t>,</w:t>
      </w:r>
      <w:r w:rsidRPr="00D80453">
        <w:rPr>
          <w:rFonts w:ascii="Calibri" w:hAnsi="Calibri" w:cs="Calibri"/>
        </w:rPr>
        <w:t> </w:t>
      </w:r>
      <w:r w:rsidRPr="00D80453">
        <w:rPr>
          <w:i/>
          <w:iCs/>
        </w:rPr>
        <w:t>174</w:t>
      </w:r>
      <w:r w:rsidRPr="00D80453">
        <w:t>(3), 287-294.</w:t>
      </w:r>
      <w:r w:rsidR="00B532F2" w:rsidRPr="00D80453">
        <w:t xml:space="preserve"> doi:10.1001/jamapediatrics.2019.5678</w:t>
      </w:r>
    </w:p>
    <w:p w14:paraId="6615525A" w14:textId="09ED3E5E" w:rsidR="004D103B" w:rsidRPr="00D80453" w:rsidRDefault="004D103B" w:rsidP="004D103B">
      <w:r w:rsidRPr="00A75F14">
        <w:rPr>
          <w:lang w:val="de-DE"/>
        </w:rPr>
        <w:t>Hu</w:t>
      </w:r>
      <w:r w:rsidR="00B93BA1" w:rsidRPr="00A75F14">
        <w:rPr>
          <w:lang w:val="de-DE"/>
        </w:rPr>
        <w:t>,</w:t>
      </w:r>
      <w:r w:rsidRPr="00A75F14">
        <w:rPr>
          <w:lang w:val="de-DE"/>
        </w:rPr>
        <w:t xml:space="preserve"> N</w:t>
      </w:r>
      <w:r w:rsidR="00B93BA1" w:rsidRPr="00A75F14">
        <w:rPr>
          <w:lang w:val="de-DE"/>
        </w:rPr>
        <w:t>.</w:t>
      </w:r>
      <w:r w:rsidRPr="00A75F14">
        <w:rPr>
          <w:lang w:val="de-DE"/>
        </w:rPr>
        <w:t>, Taylor</w:t>
      </w:r>
      <w:r w:rsidR="00B93BA1" w:rsidRPr="00A75F14">
        <w:rPr>
          <w:lang w:val="de-DE"/>
        </w:rPr>
        <w:t>,</w:t>
      </w:r>
      <w:r w:rsidRPr="00A75F14">
        <w:rPr>
          <w:lang w:val="de-DE"/>
        </w:rPr>
        <w:t xml:space="preserve"> C</w:t>
      </w:r>
      <w:r w:rsidR="00B93BA1" w:rsidRPr="00A75F14">
        <w:rPr>
          <w:lang w:val="de-DE"/>
        </w:rPr>
        <w:t>.</w:t>
      </w:r>
      <w:r w:rsidRPr="00A75F14">
        <w:rPr>
          <w:lang w:val="de-DE"/>
        </w:rPr>
        <w:t>L</w:t>
      </w:r>
      <w:r w:rsidR="00B93BA1" w:rsidRPr="00A75F14">
        <w:rPr>
          <w:lang w:val="de-DE"/>
        </w:rPr>
        <w:t>.</w:t>
      </w:r>
      <w:r w:rsidRPr="00A75F14">
        <w:rPr>
          <w:lang w:val="de-DE"/>
        </w:rPr>
        <w:t>, Glauert</w:t>
      </w:r>
      <w:r w:rsidR="00B93BA1" w:rsidRPr="00A75F14">
        <w:rPr>
          <w:lang w:val="de-DE"/>
        </w:rPr>
        <w:t>,</w:t>
      </w:r>
      <w:r w:rsidRPr="00A75F14">
        <w:rPr>
          <w:lang w:val="de-DE"/>
        </w:rPr>
        <w:t xml:space="preserve"> R</w:t>
      </w:r>
      <w:r w:rsidR="00B93BA1" w:rsidRPr="00A75F14">
        <w:rPr>
          <w:lang w:val="de-DE"/>
        </w:rPr>
        <w:t>.</w:t>
      </w:r>
      <w:r w:rsidRPr="00A75F14">
        <w:rPr>
          <w:lang w:val="de-DE"/>
        </w:rPr>
        <w:t>A</w:t>
      </w:r>
      <w:r w:rsidR="00B93BA1" w:rsidRPr="00A75F14">
        <w:rPr>
          <w:lang w:val="de-DE"/>
        </w:rPr>
        <w:t>.</w:t>
      </w:r>
      <w:r w:rsidRPr="00A75F14">
        <w:rPr>
          <w:lang w:val="de-DE"/>
        </w:rPr>
        <w:t>, Li</w:t>
      </w:r>
      <w:r w:rsidR="00B93BA1" w:rsidRPr="00A75F14">
        <w:rPr>
          <w:lang w:val="de-DE"/>
        </w:rPr>
        <w:t>,</w:t>
      </w:r>
      <w:r w:rsidRPr="00A75F14">
        <w:rPr>
          <w:lang w:val="de-DE"/>
        </w:rPr>
        <w:t xml:space="preserve"> J</w:t>
      </w:r>
      <w:r w:rsidR="00B93BA1" w:rsidRPr="00A75F14">
        <w:rPr>
          <w:lang w:val="de-DE"/>
        </w:rPr>
        <w:t>.</w:t>
      </w:r>
      <w:r w:rsidRPr="00A75F14">
        <w:rPr>
          <w:lang w:val="de-DE"/>
        </w:rPr>
        <w:t xml:space="preserve"> (2019)</w:t>
      </w:r>
      <w:r w:rsidR="00B93BA1" w:rsidRPr="00A75F14">
        <w:rPr>
          <w:lang w:val="de-DE"/>
        </w:rPr>
        <w:t>.</w:t>
      </w:r>
      <w:r w:rsidRPr="00A75F14">
        <w:rPr>
          <w:lang w:val="de-DE"/>
        </w:rPr>
        <w:t xml:space="preserve"> </w:t>
      </w:r>
      <w:r w:rsidRPr="00D80453">
        <w:t xml:space="preserve">The pervasive effects of timing of parental mental health disorders on adolescent deliberate self-harm risk. </w:t>
      </w:r>
      <w:proofErr w:type="spellStart"/>
      <w:r w:rsidRPr="00D80453">
        <w:rPr>
          <w:i/>
          <w:iCs/>
        </w:rPr>
        <w:t>PLoS</w:t>
      </w:r>
      <w:proofErr w:type="spellEnd"/>
      <w:r w:rsidRPr="00D80453">
        <w:rPr>
          <w:i/>
          <w:iCs/>
        </w:rPr>
        <w:t xml:space="preserve"> ONE 14</w:t>
      </w:r>
      <w:r w:rsidRPr="00D80453">
        <w:t xml:space="preserve">(8): e0220704. </w:t>
      </w:r>
      <w:proofErr w:type="gramStart"/>
      <w:r w:rsidR="00CA410B" w:rsidRPr="00D80453">
        <w:t>doi:</w:t>
      </w:r>
      <w:r w:rsidRPr="00D80453">
        <w:t>10.1371/journal.pone</w:t>
      </w:r>
      <w:proofErr w:type="gramEnd"/>
      <w:r w:rsidRPr="00D80453">
        <w:t>.0220704</w:t>
      </w:r>
    </w:p>
    <w:p w14:paraId="07709CB0" w14:textId="5C3F77ED" w:rsidR="00FD1983" w:rsidRPr="00D80453" w:rsidRDefault="00FD1983" w:rsidP="00FD1983">
      <w:r w:rsidRPr="00D80453">
        <w:t xml:space="preserve">Hwang, S. W., Wilkins, R., Tjepkema, M., </w:t>
      </w:r>
      <w:proofErr w:type="spellStart"/>
      <w:r w:rsidRPr="00D80453">
        <w:t>O’Campo</w:t>
      </w:r>
      <w:proofErr w:type="spellEnd"/>
      <w:r w:rsidRPr="00D80453">
        <w:t>, P. J. and Dunn, J. R. (2009)</w:t>
      </w:r>
      <w:r w:rsidR="006273E8" w:rsidRPr="00D80453">
        <w:t>.</w:t>
      </w:r>
      <w:r w:rsidRPr="00D80453">
        <w:t xml:space="preserve"> Mortality among residents of shelters, rooming houses, and hotels in Canada: </w:t>
      </w:r>
      <w:r w:rsidR="007639B2" w:rsidRPr="00D80453">
        <w:t>11-year</w:t>
      </w:r>
      <w:r w:rsidRPr="00D80453">
        <w:t xml:space="preserve"> follow-up study</w:t>
      </w:r>
      <w:r w:rsidR="00072B1F">
        <w:t>.</w:t>
      </w:r>
      <w:r w:rsidRPr="00D80453">
        <w:t xml:space="preserve"> </w:t>
      </w:r>
      <w:r w:rsidRPr="00D80453">
        <w:rPr>
          <w:i/>
          <w:iCs/>
        </w:rPr>
        <w:t>BMJ</w:t>
      </w:r>
      <w:r w:rsidRPr="00D80453">
        <w:t>,</w:t>
      </w:r>
      <w:r w:rsidR="00D51978" w:rsidRPr="00D80453">
        <w:t xml:space="preserve"> </w:t>
      </w:r>
      <w:r w:rsidRPr="00D80453">
        <w:t>339</w:t>
      </w:r>
      <w:r w:rsidR="005F4DCD" w:rsidRPr="00D80453">
        <w:t>. doi:10.1136/</w:t>
      </w:r>
      <w:proofErr w:type="gramStart"/>
      <w:r w:rsidR="005F4DCD" w:rsidRPr="00D80453">
        <w:t>bmj.b</w:t>
      </w:r>
      <w:proofErr w:type="gramEnd"/>
      <w:r w:rsidR="005F4DCD" w:rsidRPr="00D80453">
        <w:t>4036</w:t>
      </w:r>
    </w:p>
    <w:p w14:paraId="32824B2C" w14:textId="0D588E59" w:rsidR="00146355" w:rsidRDefault="00146355" w:rsidP="005F6D27">
      <w:r w:rsidRPr="00D80453">
        <w:t>Independent Children’s Monitor</w:t>
      </w:r>
      <w:r w:rsidR="005060C1" w:rsidRPr="00D80453">
        <w:t xml:space="preserve"> (</w:t>
      </w:r>
      <w:r w:rsidRPr="00D80453">
        <w:t>2025</w:t>
      </w:r>
      <w:r w:rsidR="005060C1" w:rsidRPr="00D80453">
        <w:t>).</w:t>
      </w:r>
      <w:r w:rsidR="005011E2" w:rsidRPr="00D80453">
        <w:t xml:space="preserve"> </w:t>
      </w:r>
      <w:r w:rsidR="005011E2" w:rsidRPr="00D80453">
        <w:rPr>
          <w:i/>
          <w:iCs/>
        </w:rPr>
        <w:t xml:space="preserve">Outcomes for </w:t>
      </w:r>
      <w:proofErr w:type="spellStart"/>
      <w:r w:rsidR="005011E2" w:rsidRPr="00D80453">
        <w:rPr>
          <w:i/>
          <w:iCs/>
        </w:rPr>
        <w:t>tamariki</w:t>
      </w:r>
      <w:proofErr w:type="spellEnd"/>
      <w:r w:rsidR="005011E2" w:rsidRPr="00D80453">
        <w:rPr>
          <w:i/>
          <w:iCs/>
        </w:rPr>
        <w:t xml:space="preserve"> and rangatahi Māori and their whānau</w:t>
      </w:r>
      <w:r w:rsidR="006273E8" w:rsidRPr="00D80453">
        <w:rPr>
          <w:i/>
          <w:iCs/>
        </w:rPr>
        <w:t>.</w:t>
      </w:r>
      <w:r w:rsidR="005011E2" w:rsidRPr="00D80453">
        <w:rPr>
          <w:i/>
          <w:iCs/>
        </w:rPr>
        <w:t xml:space="preserve"> A report on the performance of the </w:t>
      </w:r>
      <w:proofErr w:type="spellStart"/>
      <w:r w:rsidR="005011E2" w:rsidRPr="00D80453">
        <w:rPr>
          <w:i/>
          <w:iCs/>
        </w:rPr>
        <w:t>oranga</w:t>
      </w:r>
      <w:proofErr w:type="spellEnd"/>
      <w:r w:rsidR="005011E2" w:rsidRPr="00D80453">
        <w:rPr>
          <w:i/>
          <w:iCs/>
        </w:rPr>
        <w:t xml:space="preserve"> </w:t>
      </w:r>
      <w:proofErr w:type="spellStart"/>
      <w:r w:rsidR="005011E2" w:rsidRPr="00D80453">
        <w:rPr>
          <w:i/>
          <w:iCs/>
        </w:rPr>
        <w:t>tamariki</w:t>
      </w:r>
      <w:proofErr w:type="spellEnd"/>
      <w:r w:rsidR="005011E2" w:rsidRPr="00D80453">
        <w:rPr>
          <w:i/>
          <w:iCs/>
        </w:rPr>
        <w:t xml:space="preserve"> system</w:t>
      </w:r>
      <w:r w:rsidR="005060C1" w:rsidRPr="00D80453">
        <w:t>.</w:t>
      </w:r>
      <w:r w:rsidR="005011E2" w:rsidRPr="00D80453">
        <w:t xml:space="preserve"> </w:t>
      </w:r>
      <w:r w:rsidR="005060C1" w:rsidRPr="00D80453">
        <w:t xml:space="preserve">Reporting period 1 July 2023 – 30 June 2024. Retrieved on 30 June 2025 from </w:t>
      </w:r>
      <w:hyperlink r:id="rId44" w:history="1">
        <w:r w:rsidR="006549D4" w:rsidRPr="00B80297">
          <w:rPr>
            <w:rStyle w:val="Hyperlink"/>
          </w:rPr>
          <w:t>https://aroturuki.govt.nz/assets/Reports/outcomes/Outcomes-for-Maori-23-24-WEB.pdf</w:t>
        </w:r>
      </w:hyperlink>
    </w:p>
    <w:p w14:paraId="7EACE776" w14:textId="5B5EBB71" w:rsidR="006549D4" w:rsidRPr="00D80453" w:rsidRDefault="006549D4" w:rsidP="005F6D27">
      <w:proofErr w:type="spellStart"/>
      <w:r w:rsidRPr="006549D4">
        <w:t>Irurzun</w:t>
      </w:r>
      <w:proofErr w:type="spellEnd"/>
      <w:r w:rsidRPr="006549D4">
        <w:t>-Lopez, M., Jeffreys, M., &amp; Cumming, J. (2021). The enrolment gap: who is not enrolling with primary health organizations in Aotearoa New Zealand and what are the implications? An exploration of 2015–2019 administrative data.</w:t>
      </w:r>
      <w:r w:rsidRPr="006549D4">
        <w:rPr>
          <w:rFonts w:ascii="Calibri" w:hAnsi="Calibri" w:cs="Calibri"/>
        </w:rPr>
        <w:t> </w:t>
      </w:r>
      <w:r w:rsidRPr="006549D4">
        <w:rPr>
          <w:i/>
          <w:iCs/>
        </w:rPr>
        <w:t xml:space="preserve">International </w:t>
      </w:r>
      <w:r w:rsidR="00072B1F" w:rsidRPr="006549D4">
        <w:rPr>
          <w:i/>
          <w:iCs/>
        </w:rPr>
        <w:t>Journal</w:t>
      </w:r>
      <w:r w:rsidRPr="006549D4">
        <w:rPr>
          <w:i/>
          <w:iCs/>
        </w:rPr>
        <w:t xml:space="preserve"> for </w:t>
      </w:r>
      <w:r w:rsidR="00072B1F" w:rsidRPr="006549D4">
        <w:rPr>
          <w:i/>
          <w:iCs/>
        </w:rPr>
        <w:t>Equity</w:t>
      </w:r>
      <w:r w:rsidRPr="006549D4">
        <w:rPr>
          <w:i/>
          <w:iCs/>
        </w:rPr>
        <w:t xml:space="preserve"> in </w:t>
      </w:r>
      <w:r w:rsidR="00072B1F" w:rsidRPr="006549D4">
        <w:rPr>
          <w:i/>
          <w:iCs/>
        </w:rPr>
        <w:t>Health</w:t>
      </w:r>
      <w:r w:rsidRPr="006549D4">
        <w:t>,</w:t>
      </w:r>
      <w:r w:rsidRPr="006549D4">
        <w:rPr>
          <w:rFonts w:ascii="Calibri" w:hAnsi="Calibri" w:cs="Calibri"/>
        </w:rPr>
        <w:t> </w:t>
      </w:r>
      <w:r w:rsidRPr="006549D4">
        <w:rPr>
          <w:i/>
          <w:iCs/>
        </w:rPr>
        <w:t>20</w:t>
      </w:r>
      <w:r w:rsidRPr="006549D4">
        <w:t>(1), 93.</w:t>
      </w:r>
      <w:r w:rsidR="00E564E2">
        <w:t xml:space="preserve"> doi:</w:t>
      </w:r>
      <w:r w:rsidR="00E564E2" w:rsidRPr="00E564E2">
        <w:t>10.1186/s12939-021-01423-4</w:t>
      </w:r>
    </w:p>
    <w:p w14:paraId="14A384D8" w14:textId="57C78BE7" w:rsidR="000A4174" w:rsidRPr="00D80453" w:rsidRDefault="00A379DF" w:rsidP="005F6D27">
      <w:r w:rsidRPr="00D80453">
        <w:lastRenderedPageBreak/>
        <w:t>Jones, R., Everson</w:t>
      </w:r>
      <w:r w:rsidRPr="00D80453">
        <w:rPr>
          <w:rFonts w:ascii="Cambria Math" w:hAnsi="Cambria Math" w:cs="Cambria Math"/>
        </w:rPr>
        <w:t>‐</w:t>
      </w:r>
      <w:r w:rsidRPr="00D80453">
        <w:t>Hock, E. S., Papaioannou, D., Guillaume, L., Goyder, E., Chilcott, J.,</w:t>
      </w:r>
      <w:r w:rsidR="00680F46" w:rsidRPr="00D80453">
        <w:t>.</w:t>
      </w:r>
      <w:r w:rsidRPr="00D80453">
        <w:t>.. &amp; Swann, C. (2011). Factors associated with outcomes for looked</w:t>
      </w:r>
      <w:r w:rsidRPr="00D80453">
        <w:rPr>
          <w:rFonts w:ascii="Cambria Math" w:hAnsi="Cambria Math" w:cs="Cambria Math"/>
        </w:rPr>
        <w:t>‐</w:t>
      </w:r>
      <w:r w:rsidRPr="00D80453">
        <w:t xml:space="preserve">after children and young people: </w:t>
      </w:r>
      <w:r w:rsidR="005368C5">
        <w:t>A</w:t>
      </w:r>
      <w:r w:rsidRPr="00D80453">
        <w:t xml:space="preserve"> correlates review of the literature.</w:t>
      </w:r>
      <w:r w:rsidRPr="00D80453">
        <w:rPr>
          <w:rFonts w:ascii="Calibri" w:hAnsi="Calibri" w:cs="Calibri"/>
        </w:rPr>
        <w:t> </w:t>
      </w:r>
      <w:r w:rsidRPr="00D80453">
        <w:rPr>
          <w:i/>
          <w:iCs/>
        </w:rPr>
        <w:t xml:space="preserve">Child: </w:t>
      </w:r>
      <w:r w:rsidR="006273E8" w:rsidRPr="00D80453">
        <w:rPr>
          <w:i/>
          <w:iCs/>
        </w:rPr>
        <w:t>Care, Health and Development</w:t>
      </w:r>
      <w:r w:rsidRPr="00D80453">
        <w:t>,</w:t>
      </w:r>
      <w:r w:rsidRPr="00D80453">
        <w:rPr>
          <w:rFonts w:ascii="Calibri" w:hAnsi="Calibri" w:cs="Calibri"/>
        </w:rPr>
        <w:t> </w:t>
      </w:r>
      <w:r w:rsidRPr="00D80453">
        <w:rPr>
          <w:i/>
          <w:iCs/>
        </w:rPr>
        <w:t>37</w:t>
      </w:r>
      <w:r w:rsidRPr="00D80453">
        <w:t>(5), 613-622.</w:t>
      </w:r>
      <w:r w:rsidR="00B11023" w:rsidRPr="00D80453">
        <w:t xml:space="preserve"> doi:10.1111/j.1365-2214.</w:t>
      </w:r>
      <w:proofErr w:type="gramStart"/>
      <w:r w:rsidR="00B11023" w:rsidRPr="00D80453">
        <w:t>2011.01226.x</w:t>
      </w:r>
      <w:proofErr w:type="gramEnd"/>
    </w:p>
    <w:p w14:paraId="75190FB3" w14:textId="44979EDA" w:rsidR="00AD196A" w:rsidRPr="00D80453" w:rsidRDefault="00527120" w:rsidP="005F6D27">
      <w:r w:rsidRPr="00D80453">
        <w:t xml:space="preserve">Kanwar, A., Malik, S., Prokop, L. J., Sim, L. A., Feldstein, D., Wang, Z., &amp; Murad, M. H. (2013). The association between anxiety disorders and suicidal </w:t>
      </w:r>
      <w:proofErr w:type="spellStart"/>
      <w:r w:rsidRPr="00D80453">
        <w:t>behaviors</w:t>
      </w:r>
      <w:proofErr w:type="spellEnd"/>
      <w:r w:rsidRPr="00D80453">
        <w:t>: A systematic review and meta</w:t>
      </w:r>
      <w:r w:rsidRPr="00D80453">
        <w:rPr>
          <w:rFonts w:ascii="Cambria Math" w:hAnsi="Cambria Math" w:cs="Cambria Math"/>
        </w:rPr>
        <w:t>‐</w:t>
      </w:r>
      <w:r w:rsidRPr="00D80453">
        <w:t>analysis.</w:t>
      </w:r>
      <w:r w:rsidRPr="00D80453">
        <w:rPr>
          <w:rFonts w:ascii="Calibri" w:hAnsi="Calibri" w:cs="Calibri"/>
        </w:rPr>
        <w:t> </w:t>
      </w:r>
      <w:r w:rsidRPr="00D80453">
        <w:rPr>
          <w:i/>
          <w:iCs/>
        </w:rPr>
        <w:t xml:space="preserve">Depression and </w:t>
      </w:r>
      <w:r w:rsidR="00072B1F">
        <w:rPr>
          <w:i/>
          <w:iCs/>
        </w:rPr>
        <w:t>A</w:t>
      </w:r>
      <w:r w:rsidRPr="00D80453">
        <w:rPr>
          <w:i/>
          <w:iCs/>
        </w:rPr>
        <w:t>nxiety</w:t>
      </w:r>
      <w:r w:rsidRPr="00D80453">
        <w:t>,</w:t>
      </w:r>
      <w:r w:rsidRPr="00D80453">
        <w:rPr>
          <w:rFonts w:ascii="Calibri" w:hAnsi="Calibri" w:cs="Calibri"/>
        </w:rPr>
        <w:t> </w:t>
      </w:r>
      <w:r w:rsidRPr="00D80453">
        <w:rPr>
          <w:i/>
          <w:iCs/>
        </w:rPr>
        <w:t>30</w:t>
      </w:r>
      <w:r w:rsidRPr="00D80453">
        <w:t xml:space="preserve">(10), 917-929. </w:t>
      </w:r>
      <w:r w:rsidR="00CA410B" w:rsidRPr="00D80453">
        <w:t>doi:</w:t>
      </w:r>
      <w:r w:rsidRPr="00D80453">
        <w:t>10.1002/da.22074</w:t>
      </w:r>
    </w:p>
    <w:p w14:paraId="199B1EE3" w14:textId="31A36CBD" w:rsidR="00A857E9" w:rsidRPr="00D80453" w:rsidRDefault="00006B60" w:rsidP="005F6D27">
      <w:r w:rsidRPr="009517A2">
        <w:rPr>
          <w:lang w:val="de-DE"/>
        </w:rPr>
        <w:t>Katz, L. Y., Au, W., Singal, D., Brownell, M., Roos, N., Martens, P. J.,</w:t>
      </w:r>
      <w:r w:rsidR="00680F46" w:rsidRPr="009517A2">
        <w:rPr>
          <w:lang w:val="de-DE"/>
        </w:rPr>
        <w:t>.</w:t>
      </w:r>
      <w:r w:rsidRPr="009517A2">
        <w:rPr>
          <w:lang w:val="de-DE"/>
        </w:rPr>
        <w:t xml:space="preserve">.. </w:t>
      </w:r>
      <w:r w:rsidRPr="00D80453">
        <w:t>&amp; Sareen, J. (2011). Suicide and suicide attempts in children and adolescents in the child welfare system.</w:t>
      </w:r>
      <w:r w:rsidRPr="00D80453">
        <w:rPr>
          <w:rFonts w:ascii="Calibri" w:hAnsi="Calibri" w:cs="Calibri"/>
        </w:rPr>
        <w:t> </w:t>
      </w:r>
      <w:r w:rsidRPr="00D80453">
        <w:rPr>
          <w:i/>
          <w:iCs/>
        </w:rPr>
        <w:t>CMAJ</w:t>
      </w:r>
      <w:r w:rsidRPr="00D80453">
        <w:t>,</w:t>
      </w:r>
      <w:r w:rsidRPr="00D80453">
        <w:rPr>
          <w:rFonts w:ascii="Calibri" w:hAnsi="Calibri" w:cs="Calibri"/>
        </w:rPr>
        <w:t> </w:t>
      </w:r>
      <w:r w:rsidRPr="00D80453">
        <w:rPr>
          <w:i/>
          <w:iCs/>
        </w:rPr>
        <w:t>183</w:t>
      </w:r>
      <w:r w:rsidRPr="00D80453">
        <w:t>(17), 1977-1981. doi</w:t>
      </w:r>
      <w:r w:rsidR="00AC695E" w:rsidRPr="00D80453">
        <w:t>:10.1503 /cmaj.110749</w:t>
      </w:r>
    </w:p>
    <w:p w14:paraId="1738261E" w14:textId="4DAC0E10" w:rsidR="00A45D5F" w:rsidRPr="00D80453" w:rsidRDefault="00A51BBE" w:rsidP="005F6D27">
      <w:pPr>
        <w:rPr>
          <w:lang w:val="de-DE"/>
        </w:rPr>
      </w:pPr>
      <w:r w:rsidRPr="00D80453">
        <w:t xml:space="preserve">Kessler, R. C., Andrews, G., </w:t>
      </w:r>
      <w:proofErr w:type="spellStart"/>
      <w:r w:rsidRPr="00D80453">
        <w:t>Colpe</w:t>
      </w:r>
      <w:proofErr w:type="spellEnd"/>
      <w:r w:rsidRPr="00D80453">
        <w:t>, L. J., Hiripi, E., Mroczek, D. K., Normand, S. L.,</w:t>
      </w:r>
      <w:r w:rsidR="00680F46" w:rsidRPr="00D80453">
        <w:t>.</w:t>
      </w:r>
      <w:r w:rsidRPr="00D80453">
        <w:t>.. &amp; Zaslavsky, A. M. (2002). Short screening scales to monitor population prevalences and trends in non-specific psychological distress.</w:t>
      </w:r>
      <w:r w:rsidRPr="00D80453">
        <w:rPr>
          <w:rFonts w:ascii="Calibri" w:hAnsi="Calibri" w:cs="Calibri"/>
        </w:rPr>
        <w:t> </w:t>
      </w:r>
      <w:r w:rsidRPr="00D80453">
        <w:rPr>
          <w:i/>
          <w:lang w:val="de-DE"/>
        </w:rPr>
        <w:t xml:space="preserve">Psychological </w:t>
      </w:r>
      <w:r w:rsidR="007F2001" w:rsidRPr="00D80453">
        <w:rPr>
          <w:i/>
          <w:lang w:val="de-DE"/>
        </w:rPr>
        <w:t>M</w:t>
      </w:r>
      <w:r w:rsidRPr="00D80453">
        <w:rPr>
          <w:i/>
          <w:lang w:val="de-DE"/>
        </w:rPr>
        <w:t>edicine</w:t>
      </w:r>
      <w:r w:rsidRPr="00D80453">
        <w:rPr>
          <w:lang w:val="de-DE"/>
        </w:rPr>
        <w:t>,</w:t>
      </w:r>
      <w:r w:rsidRPr="00D80453">
        <w:rPr>
          <w:rFonts w:ascii="Calibri" w:hAnsi="Calibri" w:cs="Calibri"/>
          <w:lang w:val="de-DE"/>
        </w:rPr>
        <w:t> </w:t>
      </w:r>
      <w:r w:rsidRPr="00D80453">
        <w:rPr>
          <w:i/>
          <w:lang w:val="de-DE"/>
        </w:rPr>
        <w:t>32</w:t>
      </w:r>
      <w:r w:rsidRPr="00D80453">
        <w:rPr>
          <w:lang w:val="de-DE"/>
        </w:rPr>
        <w:t>(6), 959-976. doi</w:t>
      </w:r>
      <w:r w:rsidR="00006B60" w:rsidRPr="00D80453">
        <w:rPr>
          <w:lang w:val="de-DE"/>
        </w:rPr>
        <w:t>:10.1017</w:t>
      </w:r>
      <w:r w:rsidR="002C15C5">
        <w:rPr>
          <w:lang w:val="de-DE"/>
        </w:rPr>
        <w:t>/</w:t>
      </w:r>
      <w:r w:rsidR="00006B60" w:rsidRPr="00D80453">
        <w:rPr>
          <w:lang w:val="de-DE"/>
        </w:rPr>
        <w:t>S0033291702006074</w:t>
      </w:r>
    </w:p>
    <w:p w14:paraId="1EA45537" w14:textId="5A8D05C4" w:rsidR="005F6D27" w:rsidRPr="00D80453" w:rsidRDefault="00211047" w:rsidP="005F6D27">
      <w:r w:rsidRPr="00D80453">
        <w:rPr>
          <w:lang w:val="de-DE"/>
        </w:rPr>
        <w:t xml:space="preserve">Kristensen, J. H., Pallesen, S., Bauer, J., Leino, T., Griffiths, M. D., &amp; Erevik, E. K. (2024). </w:t>
      </w:r>
      <w:r w:rsidRPr="00D80453">
        <w:t>Suicidality among individuals with gambling problems: A meta-analytic literature review.</w:t>
      </w:r>
      <w:r w:rsidRPr="00D80453">
        <w:rPr>
          <w:rFonts w:ascii="Calibri" w:hAnsi="Calibri" w:cs="Calibri"/>
        </w:rPr>
        <w:t> </w:t>
      </w:r>
      <w:r w:rsidRPr="00D80453">
        <w:rPr>
          <w:i/>
          <w:iCs/>
        </w:rPr>
        <w:t xml:space="preserve">Psychological </w:t>
      </w:r>
      <w:r w:rsidR="00072B1F">
        <w:rPr>
          <w:i/>
          <w:iCs/>
        </w:rPr>
        <w:t>B</w:t>
      </w:r>
      <w:r w:rsidRPr="00D80453">
        <w:rPr>
          <w:i/>
          <w:iCs/>
        </w:rPr>
        <w:t>ulletin</w:t>
      </w:r>
      <w:r w:rsidRPr="00D80453">
        <w:t>,</w:t>
      </w:r>
      <w:r w:rsidRPr="00D80453">
        <w:rPr>
          <w:rFonts w:ascii="Calibri" w:hAnsi="Calibri" w:cs="Calibri"/>
        </w:rPr>
        <w:t> </w:t>
      </w:r>
      <w:r w:rsidRPr="00D80453">
        <w:rPr>
          <w:i/>
          <w:iCs/>
        </w:rPr>
        <w:t>150</w:t>
      </w:r>
      <w:r w:rsidRPr="00D80453">
        <w:t xml:space="preserve">(1), 82. </w:t>
      </w:r>
      <w:r w:rsidR="00CA410B" w:rsidRPr="00D80453">
        <w:t>doi:</w:t>
      </w:r>
      <w:r w:rsidR="00D93C1E" w:rsidRPr="00D80453">
        <w:t>10.1037/bul0000411</w:t>
      </w:r>
    </w:p>
    <w:p w14:paraId="6D0C0AE8" w14:textId="219A1CEF" w:rsidR="00541547" w:rsidRPr="00D80453" w:rsidRDefault="00491AE9" w:rsidP="00541547">
      <w:r w:rsidRPr="00D80453">
        <w:t>Kushal, S. A., Amin, Y. M., Reza, S., &amp; Shawon, M. S. R. (2021). Parent-adolescent relationships and their associations with adolescent suicidal behaviours: Secondary analysis of data from 52 countries using the Global School-based Health Survey.</w:t>
      </w:r>
      <w:r w:rsidRPr="00D80453">
        <w:rPr>
          <w:rFonts w:ascii="Calibri" w:hAnsi="Calibri" w:cs="Calibri"/>
        </w:rPr>
        <w:t> </w:t>
      </w:r>
      <w:proofErr w:type="spellStart"/>
      <w:r w:rsidRPr="00D80453">
        <w:rPr>
          <w:i/>
          <w:iCs/>
        </w:rPr>
        <w:t>EClinicalMedicine</w:t>
      </w:r>
      <w:proofErr w:type="spellEnd"/>
      <w:r w:rsidRPr="00D80453">
        <w:t>,</w:t>
      </w:r>
      <w:r w:rsidRPr="00D80453">
        <w:rPr>
          <w:rFonts w:ascii="Calibri" w:hAnsi="Calibri" w:cs="Calibri"/>
        </w:rPr>
        <w:t> </w:t>
      </w:r>
      <w:r w:rsidRPr="00D80453">
        <w:rPr>
          <w:i/>
          <w:iCs/>
        </w:rPr>
        <w:t>31</w:t>
      </w:r>
      <w:r w:rsidRPr="00D80453">
        <w:t>.</w:t>
      </w:r>
      <w:r w:rsidR="00D51978" w:rsidRPr="00D80453">
        <w:t xml:space="preserve"> </w:t>
      </w:r>
      <w:proofErr w:type="gramStart"/>
      <w:r w:rsidR="00CA410B" w:rsidRPr="00D80453">
        <w:t>doi:</w:t>
      </w:r>
      <w:r w:rsidR="006C3429" w:rsidRPr="00D80453">
        <w:t>10.1016/j.eclinm</w:t>
      </w:r>
      <w:proofErr w:type="gramEnd"/>
      <w:r w:rsidR="006C3429" w:rsidRPr="00D80453">
        <w:t>.2020.100691</w:t>
      </w:r>
    </w:p>
    <w:p w14:paraId="664CD295" w14:textId="3C162A7B" w:rsidR="0003136D" w:rsidRPr="00D80453" w:rsidRDefault="00A5307F" w:rsidP="00541547">
      <w:r w:rsidRPr="00D80453">
        <w:t>Larkin, C., Griffin, E., Corcoran, P., McAuliffe, C., Perry, I. J., &amp; Arensman, E. (2017). Alcohol involvement in suicide and self-harm.</w:t>
      </w:r>
      <w:r w:rsidRPr="00D80453">
        <w:rPr>
          <w:rFonts w:ascii="Calibri" w:hAnsi="Calibri" w:cs="Calibri"/>
        </w:rPr>
        <w:t> </w:t>
      </w:r>
      <w:r w:rsidRPr="00D80453">
        <w:rPr>
          <w:i/>
          <w:iCs/>
        </w:rPr>
        <w:t>Crisis</w:t>
      </w:r>
      <w:r w:rsidRPr="00D80453">
        <w:t xml:space="preserve">. </w:t>
      </w:r>
      <w:r w:rsidR="00CA410B" w:rsidRPr="00D80453">
        <w:t>doi:</w:t>
      </w:r>
      <w:r w:rsidR="00F92477" w:rsidRPr="00D80453">
        <w:t>10.1027/0227-5910/a000488</w:t>
      </w:r>
    </w:p>
    <w:p w14:paraId="14C446D2" w14:textId="6D7E5B3C" w:rsidR="00BE7E02" w:rsidRPr="00D80453" w:rsidRDefault="00F44908" w:rsidP="00541547">
      <w:r w:rsidRPr="00065A39">
        <w:t xml:space="preserve">Ledden, S., Moran, P., Osborn, D., &amp; Pitman, A. (2022). </w:t>
      </w:r>
      <w:r w:rsidRPr="00D80453">
        <w:t>Alcohol use and its association with suicide attempt, suicidal thoughts and non-suicidal self-harm in two successive, nationally representative English household samples.</w:t>
      </w:r>
      <w:r w:rsidRPr="00D80453">
        <w:rPr>
          <w:rFonts w:ascii="Calibri" w:hAnsi="Calibri" w:cs="Calibri"/>
        </w:rPr>
        <w:t> </w:t>
      </w:r>
      <w:proofErr w:type="spellStart"/>
      <w:r w:rsidRPr="00D80453">
        <w:rPr>
          <w:i/>
          <w:iCs/>
        </w:rPr>
        <w:t>BJPsych</w:t>
      </w:r>
      <w:proofErr w:type="spellEnd"/>
      <w:r w:rsidRPr="00D80453">
        <w:rPr>
          <w:i/>
          <w:iCs/>
        </w:rPr>
        <w:t xml:space="preserve"> </w:t>
      </w:r>
      <w:r w:rsidR="00730DF0" w:rsidRPr="00D80453">
        <w:rPr>
          <w:i/>
          <w:iCs/>
        </w:rPr>
        <w:t>O</w:t>
      </w:r>
      <w:r w:rsidRPr="00D80453">
        <w:rPr>
          <w:i/>
          <w:iCs/>
        </w:rPr>
        <w:t>pen</w:t>
      </w:r>
      <w:r w:rsidRPr="00D80453">
        <w:t>,</w:t>
      </w:r>
      <w:r w:rsidRPr="00D80453">
        <w:rPr>
          <w:rFonts w:ascii="Calibri" w:hAnsi="Calibri" w:cs="Calibri"/>
        </w:rPr>
        <w:t> </w:t>
      </w:r>
      <w:r w:rsidRPr="00D80453">
        <w:rPr>
          <w:i/>
          <w:iCs/>
        </w:rPr>
        <w:t>8</w:t>
      </w:r>
      <w:r w:rsidRPr="00D80453">
        <w:t>(6), e192.</w:t>
      </w:r>
      <w:r w:rsidR="00A5307F" w:rsidRPr="00D80453">
        <w:t xml:space="preserve"> doi:10.1192/bjo.2022.594</w:t>
      </w:r>
    </w:p>
    <w:p w14:paraId="10553BB3" w14:textId="2C30151B" w:rsidR="005B580D" w:rsidRPr="00D80453" w:rsidRDefault="00C16059" w:rsidP="00A35F5A">
      <w:r w:rsidRPr="00D80453">
        <w:t>Li</w:t>
      </w:r>
      <w:r w:rsidR="00730DF0" w:rsidRPr="00D80453">
        <w:t>,</w:t>
      </w:r>
      <w:r w:rsidRPr="00D80453">
        <w:t xml:space="preserve"> Z</w:t>
      </w:r>
      <w:r w:rsidR="00730DF0" w:rsidRPr="00D80453">
        <w:t>.</w:t>
      </w:r>
      <w:r w:rsidRPr="00D80453">
        <w:t>, Page</w:t>
      </w:r>
      <w:r w:rsidR="00730DF0" w:rsidRPr="00D80453">
        <w:t>,</w:t>
      </w:r>
      <w:r w:rsidRPr="00D80453">
        <w:t xml:space="preserve"> A</w:t>
      </w:r>
      <w:r w:rsidR="00730DF0" w:rsidRPr="00D80453">
        <w:t>.</w:t>
      </w:r>
      <w:r w:rsidRPr="00D80453">
        <w:t>, Martin</w:t>
      </w:r>
      <w:r w:rsidR="00730DF0" w:rsidRPr="00D80453">
        <w:t>,</w:t>
      </w:r>
      <w:r w:rsidRPr="00D80453">
        <w:t xml:space="preserve"> G</w:t>
      </w:r>
      <w:r w:rsidR="00730DF0" w:rsidRPr="00D80453">
        <w:t>.</w:t>
      </w:r>
      <w:r w:rsidRPr="00D80453">
        <w:t>, Taylor</w:t>
      </w:r>
      <w:r w:rsidR="00730DF0" w:rsidRPr="00D80453">
        <w:t>,</w:t>
      </w:r>
      <w:r w:rsidRPr="00D80453">
        <w:t xml:space="preserve"> R. </w:t>
      </w:r>
      <w:r w:rsidR="00730DF0" w:rsidRPr="00D80453">
        <w:t xml:space="preserve">(2011). </w:t>
      </w:r>
      <w:r w:rsidRPr="00D80453">
        <w:t xml:space="preserve">Attributable risk of psychiatric and socio-economic factors for suicide from individual level, population-based studies: </w:t>
      </w:r>
      <w:r w:rsidR="009F0B81">
        <w:t>A</w:t>
      </w:r>
      <w:r w:rsidRPr="00D80453">
        <w:t xml:space="preserve"> systematic review. </w:t>
      </w:r>
      <w:r w:rsidRPr="00D80453">
        <w:rPr>
          <w:i/>
          <w:iCs/>
        </w:rPr>
        <w:t>Soc Sci Med</w:t>
      </w:r>
      <w:r w:rsidR="00E2427E" w:rsidRPr="00D80453">
        <w:t xml:space="preserve">, </w:t>
      </w:r>
      <w:r w:rsidRPr="00D80453">
        <w:rPr>
          <w:i/>
          <w:iCs/>
        </w:rPr>
        <w:t>72</w:t>
      </w:r>
      <w:r w:rsidRPr="00D80453">
        <w:t xml:space="preserve">(4):608–16. </w:t>
      </w:r>
      <w:proofErr w:type="gramStart"/>
      <w:r w:rsidRPr="00D80453">
        <w:t>doi:10.1016/j.socscimed</w:t>
      </w:r>
      <w:proofErr w:type="gramEnd"/>
      <w:r w:rsidRPr="00D80453">
        <w:t>.2010.11.008</w:t>
      </w:r>
    </w:p>
    <w:p w14:paraId="46FE41FD" w14:textId="2E7590F5" w:rsidR="00A229F3" w:rsidRDefault="00E51FAF" w:rsidP="00A35F5A">
      <w:r w:rsidRPr="00E51FAF">
        <w:t xml:space="preserve">Lilley, R., Davie, G., Dicker, B., Reid, P., </w:t>
      </w:r>
      <w:proofErr w:type="spellStart"/>
      <w:r w:rsidRPr="00E51FAF">
        <w:t>Ameratunga</w:t>
      </w:r>
      <w:proofErr w:type="spellEnd"/>
      <w:r w:rsidRPr="00E51FAF">
        <w:t>, S., Branas, C., ... &amp; Kool, B. (2024). Rural and ethnic disparities in out-of-hospital care and transport pathways after road traffic trauma in New Zealand.</w:t>
      </w:r>
      <w:r w:rsidRPr="00E51FAF">
        <w:rPr>
          <w:rFonts w:ascii="Calibri" w:hAnsi="Calibri" w:cs="Calibri"/>
        </w:rPr>
        <w:t> </w:t>
      </w:r>
      <w:r w:rsidRPr="00E51FAF">
        <w:rPr>
          <w:i/>
          <w:iCs/>
        </w:rPr>
        <w:t xml:space="preserve">Western </w:t>
      </w:r>
      <w:r>
        <w:rPr>
          <w:i/>
          <w:iCs/>
        </w:rPr>
        <w:t>J</w:t>
      </w:r>
      <w:r w:rsidRPr="00E51FAF">
        <w:rPr>
          <w:i/>
          <w:iCs/>
        </w:rPr>
        <w:t xml:space="preserve">ournal of </w:t>
      </w:r>
      <w:r>
        <w:rPr>
          <w:i/>
          <w:iCs/>
        </w:rPr>
        <w:t>E</w:t>
      </w:r>
      <w:r w:rsidRPr="00E51FAF">
        <w:rPr>
          <w:i/>
          <w:iCs/>
        </w:rPr>
        <w:t xml:space="preserve">mergency </w:t>
      </w:r>
      <w:r>
        <w:rPr>
          <w:i/>
          <w:iCs/>
        </w:rPr>
        <w:t>M</w:t>
      </w:r>
      <w:r w:rsidRPr="00E51FAF">
        <w:rPr>
          <w:i/>
          <w:iCs/>
        </w:rPr>
        <w:t>edicine</w:t>
      </w:r>
      <w:r w:rsidRPr="00E51FAF">
        <w:t>,</w:t>
      </w:r>
      <w:r w:rsidRPr="00E51FAF">
        <w:rPr>
          <w:rFonts w:ascii="Calibri" w:hAnsi="Calibri" w:cs="Calibri"/>
        </w:rPr>
        <w:t> </w:t>
      </w:r>
      <w:r w:rsidRPr="00E51FAF">
        <w:rPr>
          <w:i/>
          <w:iCs/>
        </w:rPr>
        <w:t>25</w:t>
      </w:r>
      <w:r w:rsidRPr="00E51FAF">
        <w:t>(4)</w:t>
      </w:r>
      <w:r w:rsidR="00EF4C15">
        <w:t>.</w:t>
      </w:r>
      <w:r w:rsidRPr="00E51FAF">
        <w:t xml:space="preserve"> </w:t>
      </w:r>
      <w:proofErr w:type="spellStart"/>
      <w:r w:rsidRPr="00E51FAF">
        <w:t>d</w:t>
      </w:r>
      <w:r w:rsidR="00EF4C15">
        <w:t>oi:</w:t>
      </w:r>
      <w:r w:rsidRPr="00E51FAF">
        <w:t>org</w:t>
      </w:r>
      <w:proofErr w:type="spellEnd"/>
      <w:r w:rsidRPr="00E51FAF">
        <w:t>/10.5811/westjem.18366</w:t>
      </w:r>
    </w:p>
    <w:p w14:paraId="03B02B1E" w14:textId="74603964" w:rsidR="00BE7E02" w:rsidRPr="00D80453" w:rsidRDefault="00A247D2" w:rsidP="00541547">
      <w:proofErr w:type="spellStart"/>
      <w:r w:rsidRPr="00D80453">
        <w:t>Lodebo</w:t>
      </w:r>
      <w:proofErr w:type="spellEnd"/>
      <w:r w:rsidRPr="00D80453">
        <w:t xml:space="preserve">, B. T., Möller, J., Larsson, J. O., &amp; Engström, K. (2017). Socioeconomic position and self-harm among adolescents: </w:t>
      </w:r>
      <w:r w:rsidR="009F0B81">
        <w:t>A</w:t>
      </w:r>
      <w:r w:rsidRPr="00D80453">
        <w:t xml:space="preserve"> population-based cohort study in Stockholm, Sweden.</w:t>
      </w:r>
      <w:r w:rsidRPr="00D80453">
        <w:rPr>
          <w:rFonts w:ascii="Calibri" w:hAnsi="Calibri" w:cs="Calibri"/>
        </w:rPr>
        <w:t> </w:t>
      </w:r>
      <w:r w:rsidRPr="00D80453">
        <w:rPr>
          <w:i/>
          <w:iCs/>
        </w:rPr>
        <w:t xml:space="preserve">Child and </w:t>
      </w:r>
      <w:r w:rsidR="00375DA0" w:rsidRPr="00D80453">
        <w:rPr>
          <w:i/>
          <w:iCs/>
        </w:rPr>
        <w:t>Adolescent Psychiatry and Mental Health</w:t>
      </w:r>
      <w:r w:rsidRPr="00D80453">
        <w:t>,</w:t>
      </w:r>
      <w:r w:rsidRPr="00D80453">
        <w:rPr>
          <w:rFonts w:ascii="Calibri" w:hAnsi="Calibri" w:cs="Calibri"/>
        </w:rPr>
        <w:t> </w:t>
      </w:r>
      <w:r w:rsidRPr="00D80453">
        <w:rPr>
          <w:i/>
          <w:iCs/>
        </w:rPr>
        <w:t>11</w:t>
      </w:r>
      <w:r w:rsidRPr="00D80453">
        <w:t xml:space="preserve">, 1-9. </w:t>
      </w:r>
      <w:r w:rsidR="009F0B81">
        <w:t>d</w:t>
      </w:r>
      <w:r w:rsidR="00CA410B" w:rsidRPr="00D80453">
        <w:t>oi:</w:t>
      </w:r>
      <w:r w:rsidR="00296397" w:rsidRPr="00D80453">
        <w:t>10.1186/s13034-017-0184-1</w:t>
      </w:r>
    </w:p>
    <w:p w14:paraId="14470815" w14:textId="387A206C" w:rsidR="006746FE" w:rsidRPr="00D80453" w:rsidRDefault="006746FE" w:rsidP="00541547">
      <w:r w:rsidRPr="00F62661">
        <w:lastRenderedPageBreak/>
        <w:t xml:space="preserve">Löwe, B., Decker, O., Müller, S., </w:t>
      </w:r>
      <w:proofErr w:type="spellStart"/>
      <w:r w:rsidRPr="00F62661">
        <w:t>Brähler</w:t>
      </w:r>
      <w:proofErr w:type="spellEnd"/>
      <w:r w:rsidRPr="00F62661">
        <w:t xml:space="preserve">, E., Schellberg, D., Herzog, W., &amp; Herzberg, P. Y. (2008). </w:t>
      </w:r>
      <w:r w:rsidRPr="00D80453">
        <w:t>Validation and standardization of the Generalized Anxiety Disorder Screener (GAD-7) in the general population.</w:t>
      </w:r>
      <w:r w:rsidRPr="00D80453">
        <w:rPr>
          <w:rFonts w:ascii="Calibri" w:hAnsi="Calibri" w:cs="Calibri"/>
        </w:rPr>
        <w:t> </w:t>
      </w:r>
      <w:r w:rsidRPr="00D80453">
        <w:rPr>
          <w:i/>
          <w:iCs/>
        </w:rPr>
        <w:t xml:space="preserve">Medical </w:t>
      </w:r>
      <w:r w:rsidR="001F770C">
        <w:rPr>
          <w:i/>
          <w:iCs/>
        </w:rPr>
        <w:t>C</w:t>
      </w:r>
      <w:r w:rsidRPr="00D80453">
        <w:rPr>
          <w:i/>
          <w:iCs/>
        </w:rPr>
        <w:t>are</w:t>
      </w:r>
      <w:r w:rsidRPr="00D80453">
        <w:t>,</w:t>
      </w:r>
      <w:r w:rsidRPr="00D80453">
        <w:rPr>
          <w:rFonts w:ascii="Calibri" w:hAnsi="Calibri" w:cs="Calibri"/>
        </w:rPr>
        <w:t> </w:t>
      </w:r>
      <w:r w:rsidRPr="00D80453">
        <w:rPr>
          <w:i/>
          <w:iCs/>
        </w:rPr>
        <w:t>46</w:t>
      </w:r>
      <w:r w:rsidRPr="00D80453">
        <w:t>(3), 266-274.</w:t>
      </w:r>
      <w:r w:rsidR="00256CF2" w:rsidRPr="00D80453">
        <w:t xml:space="preserve"> </w:t>
      </w:r>
      <w:r w:rsidR="00CA410B" w:rsidRPr="00D80453">
        <w:t>doi:</w:t>
      </w:r>
      <w:r w:rsidR="00256CF2" w:rsidRPr="00D80453">
        <w:t>10.1097/mlr.0b013e318160d093</w:t>
      </w:r>
    </w:p>
    <w:p w14:paraId="7043D39A" w14:textId="44F2326C" w:rsidR="00857CDA" w:rsidRPr="00D80453" w:rsidRDefault="0034189B" w:rsidP="00541547">
      <w:pPr>
        <w:rPr>
          <w:lang w:val="de-DE"/>
        </w:rPr>
      </w:pPr>
      <w:r w:rsidRPr="00D80453">
        <w:t xml:space="preserve">Lubman, D. I., Heilbronn, C., </w:t>
      </w:r>
      <w:proofErr w:type="spellStart"/>
      <w:r w:rsidRPr="00D80453">
        <w:t>Ogeil</w:t>
      </w:r>
      <w:proofErr w:type="spellEnd"/>
      <w:r w:rsidRPr="00D80453">
        <w:t>, R. P., Killian, J. J., Matthews, S., Smith, K.,</w:t>
      </w:r>
      <w:r w:rsidR="00680F46" w:rsidRPr="00D80453">
        <w:t>.</w:t>
      </w:r>
      <w:r w:rsidRPr="00D80453">
        <w:t>.. &amp; Scott, D. (2020). National Ambulance Surveillance System: A novel method using coded Australian ambulance clinical records to monitor self-harm and mental health-related morbidity.</w:t>
      </w:r>
      <w:r w:rsidRPr="00D80453">
        <w:rPr>
          <w:rFonts w:ascii="Calibri" w:hAnsi="Calibri" w:cs="Calibri"/>
        </w:rPr>
        <w:t> </w:t>
      </w:r>
      <w:r w:rsidRPr="00D80453">
        <w:rPr>
          <w:i/>
          <w:lang w:val="de-DE"/>
        </w:rPr>
        <w:t xml:space="preserve">PloS </w:t>
      </w:r>
      <w:r w:rsidR="00375DA0" w:rsidRPr="00D80453">
        <w:rPr>
          <w:i/>
          <w:lang w:val="de-DE"/>
        </w:rPr>
        <w:t>O</w:t>
      </w:r>
      <w:r w:rsidRPr="00D80453">
        <w:rPr>
          <w:i/>
          <w:lang w:val="de-DE"/>
        </w:rPr>
        <w:t>ne</w:t>
      </w:r>
      <w:r w:rsidRPr="00D80453">
        <w:rPr>
          <w:lang w:val="de-DE"/>
        </w:rPr>
        <w:t>,</w:t>
      </w:r>
      <w:r w:rsidRPr="00D80453">
        <w:rPr>
          <w:rFonts w:ascii="Calibri" w:hAnsi="Calibri" w:cs="Calibri"/>
          <w:lang w:val="de-DE"/>
        </w:rPr>
        <w:t> </w:t>
      </w:r>
      <w:r w:rsidRPr="00D80453">
        <w:rPr>
          <w:i/>
          <w:lang w:val="de-DE"/>
        </w:rPr>
        <w:t>15</w:t>
      </w:r>
      <w:r w:rsidRPr="00D80453">
        <w:rPr>
          <w:lang w:val="de-DE"/>
        </w:rPr>
        <w:t xml:space="preserve">(7), e0236344. </w:t>
      </w:r>
      <w:r w:rsidR="00CA410B" w:rsidRPr="00D80453">
        <w:rPr>
          <w:lang w:val="de-DE"/>
        </w:rPr>
        <w:t>doi:</w:t>
      </w:r>
      <w:r w:rsidRPr="00D80453">
        <w:rPr>
          <w:lang w:val="de-DE"/>
        </w:rPr>
        <w:t>10.1371/journal.pone.0236344</w:t>
      </w:r>
    </w:p>
    <w:p w14:paraId="6417A48F" w14:textId="0469A18B" w:rsidR="00857CDA" w:rsidRPr="00D80453" w:rsidRDefault="00784A77" w:rsidP="00541547">
      <w:r w:rsidRPr="00D80453">
        <w:rPr>
          <w:lang w:val="de-DE"/>
        </w:rPr>
        <w:t xml:space="preserve">Lunde, K. B., Mehlum, L., Melle, I., &amp; Qin, P. (2021). </w:t>
      </w:r>
      <w:r w:rsidRPr="00D80453">
        <w:t>Deliberate self-harm and associated risk factors in young adults: the importance of education attainment and sick leave.</w:t>
      </w:r>
      <w:r w:rsidRPr="00D80453">
        <w:rPr>
          <w:rFonts w:ascii="Calibri" w:hAnsi="Calibri" w:cs="Calibri"/>
        </w:rPr>
        <w:t> </w:t>
      </w:r>
      <w:r w:rsidRPr="00D80453">
        <w:rPr>
          <w:i/>
          <w:iCs/>
        </w:rPr>
        <w:t xml:space="preserve">Social </w:t>
      </w:r>
      <w:r w:rsidR="00B94EFC" w:rsidRPr="00D80453">
        <w:rPr>
          <w:i/>
          <w:iCs/>
        </w:rPr>
        <w:t>Psychiatry and Psychiatric Epidemiology</w:t>
      </w:r>
      <w:r w:rsidRPr="00D80453">
        <w:t>,</w:t>
      </w:r>
      <w:r w:rsidRPr="00D80453">
        <w:rPr>
          <w:rFonts w:ascii="Calibri" w:hAnsi="Calibri" w:cs="Calibri"/>
        </w:rPr>
        <w:t> </w:t>
      </w:r>
      <w:r w:rsidRPr="00D80453">
        <w:rPr>
          <w:i/>
          <w:iCs/>
        </w:rPr>
        <w:t>56</w:t>
      </w:r>
      <w:r w:rsidRPr="00D80453">
        <w:t xml:space="preserve">, 153-164. </w:t>
      </w:r>
      <w:r w:rsidR="00CA410B" w:rsidRPr="00D80453">
        <w:t>doi:</w:t>
      </w:r>
      <w:r w:rsidRPr="00D80453">
        <w:t>10.1007/s00127-020-01893-x</w:t>
      </w:r>
    </w:p>
    <w:p w14:paraId="1A1FAF0A" w14:textId="73661A51" w:rsidR="00B46F98" w:rsidRPr="00D80453" w:rsidRDefault="00B46F98" w:rsidP="00B46F98">
      <w:r w:rsidRPr="00D80453">
        <w:t>MacIsaac, M. B., Bugeja, L. C., &amp; Jelinek, G. A. (2017). The association between exposure to interpersonal violence and suicide among women: a systematic review.</w:t>
      </w:r>
      <w:r w:rsidRPr="00D80453">
        <w:rPr>
          <w:rFonts w:ascii="Calibri" w:hAnsi="Calibri" w:cs="Calibri"/>
        </w:rPr>
        <w:t> </w:t>
      </w:r>
      <w:r w:rsidRPr="00D80453">
        <w:rPr>
          <w:i/>
          <w:iCs/>
        </w:rPr>
        <w:t xml:space="preserve">Australian and New Zealand </w:t>
      </w:r>
      <w:r w:rsidR="001F770C" w:rsidRPr="00D80453">
        <w:rPr>
          <w:i/>
          <w:iCs/>
        </w:rPr>
        <w:t>Journal</w:t>
      </w:r>
      <w:r w:rsidRPr="00D80453">
        <w:rPr>
          <w:i/>
          <w:iCs/>
        </w:rPr>
        <w:t xml:space="preserve"> of </w:t>
      </w:r>
      <w:r w:rsidR="001F770C" w:rsidRPr="00D80453">
        <w:rPr>
          <w:i/>
          <w:iCs/>
        </w:rPr>
        <w:t>Public Health</w:t>
      </w:r>
      <w:r w:rsidRPr="00D80453">
        <w:t>,</w:t>
      </w:r>
      <w:r w:rsidRPr="00D80453">
        <w:rPr>
          <w:rFonts w:ascii="Calibri" w:hAnsi="Calibri" w:cs="Calibri"/>
        </w:rPr>
        <w:t> </w:t>
      </w:r>
      <w:r w:rsidRPr="00D80453">
        <w:rPr>
          <w:i/>
          <w:iCs/>
        </w:rPr>
        <w:t>41</w:t>
      </w:r>
      <w:r w:rsidRPr="00D80453">
        <w:t>(1), 61-69. doi:10.1111/1753-6405.12594</w:t>
      </w:r>
    </w:p>
    <w:p w14:paraId="723E337A" w14:textId="004DEC1E" w:rsidR="004E4EC3" w:rsidRPr="00D80453" w:rsidRDefault="00DC6A7F" w:rsidP="00541547">
      <w:r w:rsidRPr="00D80453">
        <w:t>McEvoy, D., Brannigan, R., Cooke, L., Butler, E., Walsh, C., Arensman, E., &amp; Clarke, M. (2023). Risk and protective factors for self-harm in adolescents and young adults: An umbrella review of systematic reviews.</w:t>
      </w:r>
      <w:r w:rsidRPr="00D80453">
        <w:rPr>
          <w:rFonts w:ascii="Calibri" w:hAnsi="Calibri" w:cs="Calibri"/>
        </w:rPr>
        <w:t> </w:t>
      </w:r>
      <w:r w:rsidRPr="00D80453">
        <w:rPr>
          <w:i/>
          <w:iCs/>
        </w:rPr>
        <w:t xml:space="preserve">Journal of </w:t>
      </w:r>
      <w:r w:rsidR="00B94EFC" w:rsidRPr="00D80453">
        <w:rPr>
          <w:i/>
          <w:iCs/>
        </w:rPr>
        <w:t>Psychiatric Research</w:t>
      </w:r>
      <w:r w:rsidRPr="00D80453">
        <w:t>,</w:t>
      </w:r>
      <w:r w:rsidRPr="00D80453">
        <w:rPr>
          <w:rFonts w:ascii="Calibri" w:hAnsi="Calibri" w:cs="Calibri"/>
        </w:rPr>
        <w:t> </w:t>
      </w:r>
      <w:r w:rsidRPr="00D80453">
        <w:rPr>
          <w:i/>
          <w:iCs/>
        </w:rPr>
        <w:t>168</w:t>
      </w:r>
      <w:r w:rsidRPr="00D80453">
        <w:t xml:space="preserve">, 353-380. </w:t>
      </w:r>
      <w:proofErr w:type="gramStart"/>
      <w:r w:rsidR="00CA410B" w:rsidRPr="00D80453">
        <w:t>doi:</w:t>
      </w:r>
      <w:r w:rsidR="001D0DB6" w:rsidRPr="00D80453">
        <w:t>10.1016/j.jpsychires</w:t>
      </w:r>
      <w:proofErr w:type="gramEnd"/>
      <w:r w:rsidR="001D0DB6" w:rsidRPr="00D80453">
        <w:t>.2023.10.017</w:t>
      </w:r>
    </w:p>
    <w:p w14:paraId="21F1AD04" w14:textId="668D0D63" w:rsidR="00C069ED" w:rsidRPr="00D80453" w:rsidRDefault="00C069ED" w:rsidP="00541547">
      <w:r w:rsidRPr="00D80453">
        <w:t>McLaughlin, J., O'Carroll, R. E., &amp; O'Connor, R. C. (2012). Intimate partner abuse and suicidality: A systematic review.</w:t>
      </w:r>
      <w:r w:rsidRPr="00D80453">
        <w:rPr>
          <w:rFonts w:ascii="Calibri" w:hAnsi="Calibri" w:cs="Calibri"/>
        </w:rPr>
        <w:t> </w:t>
      </w:r>
      <w:r w:rsidRPr="00D80453">
        <w:rPr>
          <w:i/>
          <w:iCs/>
        </w:rPr>
        <w:t xml:space="preserve">Clinical </w:t>
      </w:r>
      <w:r w:rsidR="000C7FAB" w:rsidRPr="00D80453">
        <w:rPr>
          <w:i/>
          <w:iCs/>
        </w:rPr>
        <w:t>P</w:t>
      </w:r>
      <w:r w:rsidRPr="00D80453">
        <w:rPr>
          <w:i/>
          <w:iCs/>
        </w:rPr>
        <w:t xml:space="preserve">sychology </w:t>
      </w:r>
      <w:r w:rsidR="000C7FAB" w:rsidRPr="00D80453">
        <w:rPr>
          <w:i/>
          <w:iCs/>
        </w:rPr>
        <w:t>Re</w:t>
      </w:r>
      <w:r w:rsidRPr="00D80453">
        <w:rPr>
          <w:i/>
          <w:iCs/>
        </w:rPr>
        <w:t>view</w:t>
      </w:r>
      <w:r w:rsidRPr="00D80453">
        <w:t>,</w:t>
      </w:r>
      <w:r w:rsidRPr="00D80453">
        <w:rPr>
          <w:rFonts w:ascii="Calibri" w:hAnsi="Calibri" w:cs="Calibri"/>
        </w:rPr>
        <w:t> </w:t>
      </w:r>
      <w:r w:rsidRPr="00D80453">
        <w:rPr>
          <w:i/>
          <w:iCs/>
        </w:rPr>
        <w:t>32</w:t>
      </w:r>
      <w:r w:rsidRPr="00D80453">
        <w:t>(8), 677-689.</w:t>
      </w:r>
      <w:r w:rsidR="004A5CBD" w:rsidRPr="00D80453">
        <w:t xml:space="preserve"> </w:t>
      </w:r>
      <w:proofErr w:type="gramStart"/>
      <w:r w:rsidR="00CA410B" w:rsidRPr="00D80453">
        <w:t>doi:</w:t>
      </w:r>
      <w:r w:rsidR="004A5CBD" w:rsidRPr="00D80453">
        <w:t>10.1016/j.cpr</w:t>
      </w:r>
      <w:proofErr w:type="gramEnd"/>
      <w:r w:rsidR="004A5CBD" w:rsidRPr="00D80453">
        <w:t>.2012.08.002</w:t>
      </w:r>
    </w:p>
    <w:p w14:paraId="4AB864F5" w14:textId="0E802F7D" w:rsidR="005917BC" w:rsidRPr="00D80453" w:rsidRDefault="00D53A9D" w:rsidP="00541547">
      <w:r w:rsidRPr="00D80453">
        <w:t xml:space="preserve">McManus, S., Walby, S., Barbosa, E. C., Appleby, L., </w:t>
      </w:r>
      <w:proofErr w:type="spellStart"/>
      <w:r w:rsidRPr="00D80453">
        <w:t>Brugha</w:t>
      </w:r>
      <w:proofErr w:type="spellEnd"/>
      <w:r w:rsidRPr="00D80453">
        <w:t xml:space="preserve">, T., Bebbington, P. E., ... &amp; Knipe, D. (2022). Intimate partner violence, suicidality, and self-harm: </w:t>
      </w:r>
      <w:r w:rsidR="00BC0E51">
        <w:t>A</w:t>
      </w:r>
      <w:r w:rsidRPr="00D80453">
        <w:t xml:space="preserve"> probability sample survey of the general population in England.</w:t>
      </w:r>
      <w:r w:rsidRPr="00D80453">
        <w:rPr>
          <w:rFonts w:ascii="Calibri" w:hAnsi="Calibri" w:cs="Calibri"/>
        </w:rPr>
        <w:t> </w:t>
      </w:r>
      <w:r w:rsidRPr="00D80453">
        <w:rPr>
          <w:i/>
          <w:iCs/>
        </w:rPr>
        <w:t>The Lancet Psychiatry</w:t>
      </w:r>
      <w:r w:rsidRPr="00D80453">
        <w:t>,</w:t>
      </w:r>
      <w:r w:rsidRPr="00D80453">
        <w:rPr>
          <w:rFonts w:ascii="Calibri" w:hAnsi="Calibri" w:cs="Calibri"/>
        </w:rPr>
        <w:t> </w:t>
      </w:r>
      <w:r w:rsidRPr="00D80453">
        <w:rPr>
          <w:i/>
          <w:iCs/>
        </w:rPr>
        <w:t>9</w:t>
      </w:r>
      <w:r w:rsidRPr="00D80453">
        <w:t>(7), 574-583. d</w:t>
      </w:r>
      <w:r w:rsidR="005917BC" w:rsidRPr="00D80453">
        <w:t>oi:10.1016/</w:t>
      </w:r>
      <w:r w:rsidR="0052520C" w:rsidRPr="00D80453">
        <w:t>S2215-0366(22)00151-1</w:t>
      </w:r>
    </w:p>
    <w:p w14:paraId="010D4FD7" w14:textId="72EE71D8" w:rsidR="001E5D5E" w:rsidRDefault="001E5D5E" w:rsidP="00541547">
      <w:r>
        <w:t xml:space="preserve">Mental Health and Wellbeing Commission (MHWC). (2022). </w:t>
      </w:r>
      <w:r w:rsidR="002004EB" w:rsidRPr="002004EB">
        <w:rPr>
          <w:i/>
          <w:iCs/>
        </w:rPr>
        <w:t xml:space="preserve">He Ara Oranga </w:t>
      </w:r>
      <w:r w:rsidR="00FB6A0A">
        <w:rPr>
          <w:i/>
          <w:iCs/>
        </w:rPr>
        <w:t xml:space="preserve">Wellbeing Outcomes </w:t>
      </w:r>
      <w:r w:rsidR="002004EB" w:rsidRPr="002004EB">
        <w:rPr>
          <w:i/>
          <w:iCs/>
        </w:rPr>
        <w:t>Framework</w:t>
      </w:r>
      <w:r w:rsidR="000361EA">
        <w:rPr>
          <w:i/>
          <w:iCs/>
        </w:rPr>
        <w:t xml:space="preserve"> - Summary</w:t>
      </w:r>
      <w:r w:rsidR="002004EB">
        <w:t xml:space="preserve">. Retrieved 6 August 2025 from </w:t>
      </w:r>
      <w:hyperlink r:id="rId45" w:history="1">
        <w:r w:rsidR="00985D9B" w:rsidRPr="007D51E9">
          <w:rPr>
            <w:rStyle w:val="Hyperlink"/>
          </w:rPr>
          <w:t>https://www.mhwc.govt.nz/assets/He-Ara-Oranga-Framework/2022/HAO-Summary-English_FINAL.pdf</w:t>
        </w:r>
      </w:hyperlink>
      <w:r w:rsidR="00985D9B">
        <w:t xml:space="preserve"> </w:t>
      </w:r>
    </w:p>
    <w:p w14:paraId="17D5741F" w14:textId="0EB554F6" w:rsidR="00445BD5" w:rsidRPr="00D80453" w:rsidRDefault="00445BD5" w:rsidP="00541547">
      <w:r w:rsidRPr="00D80453">
        <w:t>Milner</w:t>
      </w:r>
      <w:r w:rsidR="00743441" w:rsidRPr="00D80453">
        <w:t>,</w:t>
      </w:r>
      <w:r w:rsidRPr="00D80453">
        <w:t xml:space="preserve"> A</w:t>
      </w:r>
      <w:r w:rsidR="00743441" w:rsidRPr="00D80453">
        <w:t>.</w:t>
      </w:r>
      <w:r w:rsidRPr="00D80453">
        <w:t>, Page</w:t>
      </w:r>
      <w:r w:rsidR="00743441" w:rsidRPr="00D80453">
        <w:t>,</w:t>
      </w:r>
      <w:r w:rsidRPr="00D80453">
        <w:t xml:space="preserve"> A</w:t>
      </w:r>
      <w:r w:rsidR="00743441" w:rsidRPr="00D80453">
        <w:t>.</w:t>
      </w:r>
      <w:r w:rsidRPr="00D80453">
        <w:t>, LaMontagne</w:t>
      </w:r>
      <w:r w:rsidR="00743441" w:rsidRPr="00D80453">
        <w:t>,</w:t>
      </w:r>
      <w:r w:rsidRPr="00D80453">
        <w:t xml:space="preserve"> A</w:t>
      </w:r>
      <w:r w:rsidR="00743441" w:rsidRPr="00D80453">
        <w:t>.</w:t>
      </w:r>
      <w:r w:rsidRPr="00D80453">
        <w:t>D</w:t>
      </w:r>
      <w:r w:rsidR="00743441" w:rsidRPr="00D80453">
        <w:t>.</w:t>
      </w:r>
      <w:r w:rsidRPr="00D80453">
        <w:t xml:space="preserve"> (2013)</w:t>
      </w:r>
      <w:r w:rsidR="00743441" w:rsidRPr="00D80453">
        <w:t>.</w:t>
      </w:r>
      <w:r w:rsidRPr="00D80453">
        <w:t xml:space="preserve"> Long-</w:t>
      </w:r>
      <w:r w:rsidR="00122A44" w:rsidRPr="00D80453">
        <w:t>term unemployment</w:t>
      </w:r>
      <w:r w:rsidRPr="00D80453">
        <w:t xml:space="preserve"> and </w:t>
      </w:r>
      <w:r w:rsidR="00122A44" w:rsidRPr="00D80453">
        <w:t>suicide</w:t>
      </w:r>
      <w:r w:rsidRPr="00D80453">
        <w:t xml:space="preserve">: A </w:t>
      </w:r>
      <w:r w:rsidR="00122A44" w:rsidRPr="00D80453">
        <w:t>systematic review</w:t>
      </w:r>
      <w:r w:rsidRPr="00D80453">
        <w:t xml:space="preserve"> and </w:t>
      </w:r>
      <w:r w:rsidR="00122A44" w:rsidRPr="00D80453">
        <w:t>meta-analysis</w:t>
      </w:r>
      <w:r w:rsidRPr="00D80453">
        <w:t xml:space="preserve">. </w:t>
      </w:r>
      <w:proofErr w:type="spellStart"/>
      <w:r w:rsidRPr="00D80453">
        <w:rPr>
          <w:i/>
          <w:iCs/>
        </w:rPr>
        <w:t>PLoS</w:t>
      </w:r>
      <w:proofErr w:type="spellEnd"/>
      <w:r w:rsidRPr="00D80453">
        <w:rPr>
          <w:i/>
          <w:iCs/>
        </w:rPr>
        <w:t xml:space="preserve"> ONE</w:t>
      </w:r>
      <w:r w:rsidRPr="00D80453">
        <w:t xml:space="preserve"> 8(1): e51333. </w:t>
      </w:r>
      <w:proofErr w:type="gramStart"/>
      <w:r w:rsidRPr="00D80453">
        <w:t>doi:10.1371/journal.pone</w:t>
      </w:r>
      <w:proofErr w:type="gramEnd"/>
      <w:r w:rsidRPr="00D80453">
        <w:t>.0051333</w:t>
      </w:r>
    </w:p>
    <w:p w14:paraId="320B205A" w14:textId="25C083B8" w:rsidR="0094035D" w:rsidRDefault="0094035D" w:rsidP="00541547">
      <w:r>
        <w:t>Ministry of Education</w:t>
      </w:r>
      <w:r w:rsidR="00451DDC">
        <w:t>.</w:t>
      </w:r>
      <w:r>
        <w:t xml:space="preserve"> (2023). </w:t>
      </w:r>
      <w:r w:rsidR="00DA6C0D" w:rsidRPr="00DA6C0D">
        <w:rPr>
          <w:i/>
          <w:iCs/>
        </w:rPr>
        <w:t xml:space="preserve">Early </w:t>
      </w:r>
      <w:r w:rsidR="00777E20" w:rsidRPr="00DA6C0D">
        <w:rPr>
          <w:i/>
          <w:iCs/>
        </w:rPr>
        <w:t>leaving exemptions</w:t>
      </w:r>
      <w:r w:rsidR="00DA6C0D">
        <w:t xml:space="preserve">. Retrieved 4 August 2025 from </w:t>
      </w:r>
      <w:hyperlink r:id="rId46" w:history="1">
        <w:r w:rsidR="00985D9B" w:rsidRPr="007D51E9">
          <w:rPr>
            <w:rStyle w:val="Hyperlink"/>
          </w:rPr>
          <w:t>https://www.educationcounts.govt.nz/__data/assets/pdf_file/0006/208419/Indicator-Report-Early-Leaving-Exemptions-2023.pdf</w:t>
        </w:r>
      </w:hyperlink>
      <w:r w:rsidR="00985D9B">
        <w:t xml:space="preserve"> </w:t>
      </w:r>
    </w:p>
    <w:p w14:paraId="58C62C9A" w14:textId="409E0B6D" w:rsidR="00833C81" w:rsidRDefault="00833C81" w:rsidP="00541547">
      <w:r>
        <w:t xml:space="preserve">Ministry of Education. (2025) </w:t>
      </w:r>
      <w:r w:rsidR="00451DDC" w:rsidRPr="00451DDC">
        <w:rPr>
          <w:i/>
          <w:iCs/>
        </w:rPr>
        <w:t xml:space="preserve">Students </w:t>
      </w:r>
      <w:r w:rsidR="00777E20" w:rsidRPr="00451DDC">
        <w:rPr>
          <w:i/>
          <w:iCs/>
        </w:rPr>
        <w:t>attending school regularly</w:t>
      </w:r>
      <w:r w:rsidR="00451DDC" w:rsidRPr="00451DDC">
        <w:rPr>
          <w:i/>
          <w:iCs/>
        </w:rPr>
        <w:t xml:space="preserve"> – Term 1 2025</w:t>
      </w:r>
      <w:r w:rsidR="00451DDC">
        <w:t xml:space="preserve">. Retrieved 4 August 2025 from </w:t>
      </w:r>
      <w:hyperlink r:id="rId47" w:history="1">
        <w:r w:rsidR="00985D9B" w:rsidRPr="007D51E9">
          <w:rPr>
            <w:rStyle w:val="Hyperlink"/>
          </w:rPr>
          <w:t>https://www.educationcounts.govt.nz/__data/assets/pdf_file/0014/250205/Term-1-2025-Attendance-report.pdf</w:t>
        </w:r>
      </w:hyperlink>
      <w:r w:rsidR="00985D9B">
        <w:t xml:space="preserve"> </w:t>
      </w:r>
    </w:p>
    <w:p w14:paraId="7C4FC6F2" w14:textId="74B5E5F6" w:rsidR="002113FC" w:rsidRPr="00D80453" w:rsidRDefault="00692B76" w:rsidP="00541547">
      <w:r w:rsidRPr="00D80453">
        <w:t>M</w:t>
      </w:r>
      <w:r w:rsidR="002113FC" w:rsidRPr="00D80453">
        <w:t>inistry of Health</w:t>
      </w:r>
      <w:r w:rsidR="001D432F" w:rsidRPr="00D80453">
        <w:t>.</w:t>
      </w:r>
      <w:r w:rsidR="002113FC" w:rsidRPr="00D80453">
        <w:t xml:space="preserve"> (2024). </w:t>
      </w:r>
      <w:r w:rsidR="002113FC" w:rsidRPr="00D80453">
        <w:rPr>
          <w:i/>
          <w:iCs/>
        </w:rPr>
        <w:t>New Zealand Health Survey Annual Data Explorer</w:t>
      </w:r>
      <w:r w:rsidR="002113FC" w:rsidRPr="00D80453">
        <w:t xml:space="preserve">. Retrieved 30 June 2025 from </w:t>
      </w:r>
      <w:hyperlink r:id="rId48" w:anchor="!/home" w:history="1">
        <w:r w:rsidR="00985D9B" w:rsidRPr="007D51E9">
          <w:rPr>
            <w:rStyle w:val="Hyperlink"/>
          </w:rPr>
          <w:t>https://minhealthnz.shinyapps.io/nz-health-survey-2023-24-annual-data-explorer/_w_5490d5df1204452b870d245a926d3b9e/#!/home</w:t>
        </w:r>
      </w:hyperlink>
      <w:r w:rsidR="00985D9B">
        <w:t xml:space="preserve"> </w:t>
      </w:r>
    </w:p>
    <w:p w14:paraId="71320E95" w14:textId="53F1AB72" w:rsidR="00B80FE4" w:rsidRPr="00D80453" w:rsidRDefault="00B80FE4" w:rsidP="005D027F">
      <w:r w:rsidRPr="00D80453">
        <w:t xml:space="preserve">Ministry of Health. (2025). </w:t>
      </w:r>
      <w:r w:rsidRPr="00925B83">
        <w:rPr>
          <w:i/>
        </w:rPr>
        <w:t>Suicide Prevention Action Plan 2025–2029</w:t>
      </w:r>
      <w:r w:rsidRPr="00D80453">
        <w:t xml:space="preserve">. Retrieved </w:t>
      </w:r>
      <w:r w:rsidR="006C65F1" w:rsidRPr="00D80453">
        <w:t xml:space="preserve">30 June 2025 from </w:t>
      </w:r>
      <w:hyperlink r:id="rId49" w:history="1">
        <w:r w:rsidR="00F10CD6" w:rsidRPr="00F10CD6">
          <w:rPr>
            <w:rStyle w:val="Hyperlink"/>
          </w:rPr>
          <w:t>health.govt.nz/system/files/2025-09/suicide-prevention-action-plan-2025-2029-v2.pdf</w:t>
        </w:r>
      </w:hyperlink>
    </w:p>
    <w:p w14:paraId="0795C629" w14:textId="72FEB5AB" w:rsidR="005D027F" w:rsidRPr="00D80453" w:rsidRDefault="005D027F" w:rsidP="005D027F">
      <w:r w:rsidRPr="00D80453">
        <w:t>Ministry of Housing and Urban Development</w:t>
      </w:r>
      <w:r w:rsidR="001D432F" w:rsidRPr="00D80453">
        <w:t>.</w:t>
      </w:r>
      <w:r w:rsidR="00D51978" w:rsidRPr="00D80453">
        <w:t xml:space="preserve"> </w:t>
      </w:r>
      <w:r w:rsidRPr="00D80453">
        <w:t>(2025)</w:t>
      </w:r>
      <w:r w:rsidR="001D432F" w:rsidRPr="00D80453">
        <w:t>.</w:t>
      </w:r>
      <w:r w:rsidRPr="00D80453">
        <w:t xml:space="preserve"> </w:t>
      </w:r>
      <w:r w:rsidRPr="00D80453">
        <w:rPr>
          <w:i/>
          <w:iCs/>
        </w:rPr>
        <w:t xml:space="preserve">Aide </w:t>
      </w:r>
      <w:proofErr w:type="spellStart"/>
      <w:r w:rsidRPr="00D80453">
        <w:rPr>
          <w:i/>
          <w:iCs/>
        </w:rPr>
        <w:t>mémoire</w:t>
      </w:r>
      <w:proofErr w:type="spellEnd"/>
      <w:r w:rsidRPr="00D80453">
        <w:rPr>
          <w:i/>
          <w:iCs/>
        </w:rPr>
        <w:t>. Homelessness Insights</w:t>
      </w:r>
      <w:r w:rsidRPr="00D80453">
        <w:t xml:space="preserve"> - December 2024</w:t>
      </w:r>
      <w:r w:rsidR="00B26E7A" w:rsidRPr="00D80453">
        <w:t xml:space="preserve">. </w:t>
      </w:r>
      <w:r w:rsidRPr="00D80453">
        <w:t xml:space="preserve">Retrieved 30 June 2025 from </w:t>
      </w:r>
      <w:hyperlink r:id="rId50" w:history="1">
        <w:r w:rsidR="00985D9B" w:rsidRPr="007D51E9">
          <w:rPr>
            <w:rStyle w:val="Hyperlink"/>
          </w:rPr>
          <w:t>https://www.hud.govt.nz/assets/Uploads/Documents/Proactive-Releases/April-2025/HUD2025-006285-Response_Redacted.pdf</w:t>
        </w:r>
      </w:hyperlink>
      <w:r w:rsidR="00985D9B">
        <w:t xml:space="preserve"> </w:t>
      </w:r>
    </w:p>
    <w:p w14:paraId="227282BC" w14:textId="1B6D0BE8" w:rsidR="007E609F" w:rsidRPr="00D80453" w:rsidRDefault="007E609F" w:rsidP="007E609F">
      <w:r w:rsidRPr="00D80453">
        <w:t xml:space="preserve">National Institute for Health and Care Excellence. (2022). </w:t>
      </w:r>
      <w:r w:rsidRPr="00D80453">
        <w:rPr>
          <w:i/>
          <w:iCs/>
        </w:rPr>
        <w:t>Self-harm: assessment, management and preventing recurrence</w:t>
      </w:r>
      <w:r w:rsidR="00680F46" w:rsidRPr="00D80453">
        <w:t>.</w:t>
      </w:r>
      <w:r w:rsidRPr="00D80453">
        <w:t xml:space="preserve"> Retrieved 30 June 2025 from </w:t>
      </w:r>
      <w:hyperlink r:id="rId51" w:history="1">
        <w:r w:rsidR="00985D9B" w:rsidRPr="007D51E9">
          <w:rPr>
            <w:rStyle w:val="Hyperlink"/>
          </w:rPr>
          <w:t>https://www.nice.org.uk/guidance/ng225/resources/selfharm-assessment-management-and-preventing-recurrence-pdf-66143837346757</w:t>
        </w:r>
      </w:hyperlink>
      <w:r w:rsidR="00985D9B">
        <w:t xml:space="preserve"> </w:t>
      </w:r>
    </w:p>
    <w:p w14:paraId="19E0C84B" w14:textId="3517E0B8" w:rsidR="00847B5E" w:rsidRPr="00D80453" w:rsidRDefault="00DF1967" w:rsidP="00541547">
      <w:r w:rsidRPr="00D80453">
        <w:t xml:space="preserve">Ness, J., Hawton, K., Bergen, H., Cooper, J., Steeg, S., Kapur, </w:t>
      </w:r>
      <w:proofErr w:type="gramStart"/>
      <w:r w:rsidRPr="00D80453">
        <w:t>N.,</w:t>
      </w:r>
      <w:r w:rsidR="00680F46" w:rsidRPr="00D80453">
        <w:t>.</w:t>
      </w:r>
      <w:r w:rsidRPr="00D80453">
        <w:t>..</w:t>
      </w:r>
      <w:proofErr w:type="gramEnd"/>
      <w:r w:rsidRPr="00D80453">
        <w:t xml:space="preserve"> &amp; Waters, K. (2015). Alcohol use and misuse, self-harm and subsequent mortality: </w:t>
      </w:r>
      <w:r w:rsidR="00BC0E51">
        <w:t>A</w:t>
      </w:r>
      <w:r w:rsidRPr="00D80453">
        <w:t>n epidemiological and longitudinal study from the multicentre study of self-harm in England.</w:t>
      </w:r>
      <w:r w:rsidRPr="00D80453">
        <w:rPr>
          <w:rFonts w:ascii="Calibri" w:hAnsi="Calibri" w:cs="Calibri"/>
        </w:rPr>
        <w:t> </w:t>
      </w:r>
      <w:r w:rsidRPr="00D80453">
        <w:rPr>
          <w:i/>
          <w:iCs/>
        </w:rPr>
        <w:t>Emergency Medicine Journal</w:t>
      </w:r>
      <w:r w:rsidRPr="00D80453">
        <w:t>,</w:t>
      </w:r>
      <w:r w:rsidRPr="00D80453">
        <w:rPr>
          <w:rFonts w:ascii="Calibri" w:hAnsi="Calibri" w:cs="Calibri"/>
        </w:rPr>
        <w:t> </w:t>
      </w:r>
      <w:r w:rsidRPr="00D80453">
        <w:rPr>
          <w:i/>
          <w:iCs/>
        </w:rPr>
        <w:t>32</w:t>
      </w:r>
      <w:r w:rsidRPr="00D80453">
        <w:t xml:space="preserve">(10), 793-799. </w:t>
      </w:r>
      <w:r w:rsidR="00B40473" w:rsidRPr="00D80453">
        <w:t>doi:10.1136/emermed2013-202753</w:t>
      </w:r>
    </w:p>
    <w:p w14:paraId="309A548F" w14:textId="1177D4C6" w:rsidR="005B580D" w:rsidRPr="00D80453" w:rsidRDefault="006860DC" w:rsidP="00FD1983">
      <w:pPr>
        <w:rPr>
          <w:lang w:eastAsia="en-NZ"/>
        </w:rPr>
      </w:pPr>
      <w:r w:rsidRPr="00D80453">
        <w:rPr>
          <w:lang w:eastAsia="en-NZ"/>
        </w:rPr>
        <w:t>Ng, Q. X., Yong, B. Z. J., Ho, C. Y. X., Lim, D. Y., &amp; Yeo, W. S. (2018). Early life sexual abuse is associated with increased suicide attempts: An update meta-analysis.</w:t>
      </w:r>
      <w:r w:rsidRPr="00D80453">
        <w:rPr>
          <w:rFonts w:ascii="Calibri" w:hAnsi="Calibri" w:cs="Calibri"/>
          <w:lang w:eastAsia="en-NZ"/>
        </w:rPr>
        <w:t> </w:t>
      </w:r>
      <w:r w:rsidRPr="00D80453">
        <w:rPr>
          <w:i/>
          <w:iCs/>
          <w:lang w:eastAsia="en-NZ"/>
        </w:rPr>
        <w:t xml:space="preserve">Journal of </w:t>
      </w:r>
      <w:r w:rsidR="003B7B3D" w:rsidRPr="00D80453">
        <w:rPr>
          <w:i/>
          <w:iCs/>
          <w:lang w:eastAsia="en-NZ"/>
        </w:rPr>
        <w:t>P</w:t>
      </w:r>
      <w:r w:rsidRPr="00D80453">
        <w:rPr>
          <w:i/>
          <w:iCs/>
          <w:lang w:eastAsia="en-NZ"/>
        </w:rPr>
        <w:t xml:space="preserve">sychiatric </w:t>
      </w:r>
      <w:r w:rsidR="003B7B3D" w:rsidRPr="00D80453">
        <w:rPr>
          <w:i/>
          <w:iCs/>
          <w:lang w:eastAsia="en-NZ"/>
        </w:rPr>
        <w:t>R</w:t>
      </w:r>
      <w:r w:rsidRPr="00D80453">
        <w:rPr>
          <w:i/>
          <w:iCs/>
          <w:lang w:eastAsia="en-NZ"/>
        </w:rPr>
        <w:t>esearch</w:t>
      </w:r>
      <w:r w:rsidRPr="00D80453">
        <w:rPr>
          <w:lang w:eastAsia="en-NZ"/>
        </w:rPr>
        <w:t>,</w:t>
      </w:r>
      <w:r w:rsidRPr="00D80453">
        <w:rPr>
          <w:rFonts w:ascii="Calibri" w:hAnsi="Calibri" w:cs="Calibri"/>
          <w:lang w:eastAsia="en-NZ"/>
        </w:rPr>
        <w:t> </w:t>
      </w:r>
      <w:r w:rsidRPr="00D80453">
        <w:rPr>
          <w:i/>
          <w:iCs/>
          <w:lang w:eastAsia="en-NZ"/>
        </w:rPr>
        <w:t>99</w:t>
      </w:r>
      <w:r w:rsidRPr="00D80453">
        <w:rPr>
          <w:lang w:eastAsia="en-NZ"/>
        </w:rPr>
        <w:t>, 129-141.</w:t>
      </w:r>
      <w:r w:rsidR="003B7B3D" w:rsidRPr="00D80453">
        <w:rPr>
          <w:lang w:eastAsia="en-NZ"/>
        </w:rPr>
        <w:t xml:space="preserve"> </w:t>
      </w:r>
      <w:proofErr w:type="gramStart"/>
      <w:r w:rsidR="003B7B3D" w:rsidRPr="00D80453">
        <w:rPr>
          <w:lang w:eastAsia="en-NZ"/>
        </w:rPr>
        <w:t>doi:10.1016/j.jpsychires</w:t>
      </w:r>
      <w:proofErr w:type="gramEnd"/>
      <w:r w:rsidR="003B7B3D" w:rsidRPr="00D80453">
        <w:rPr>
          <w:lang w:eastAsia="en-NZ"/>
        </w:rPr>
        <w:t>.2018.02.001</w:t>
      </w:r>
    </w:p>
    <w:p w14:paraId="7642E053" w14:textId="03155D47" w:rsidR="00806C40" w:rsidRPr="00D80453" w:rsidRDefault="00F84D0C" w:rsidP="00FD1983">
      <w:r w:rsidRPr="00D80453">
        <w:t xml:space="preserve">Ngā Pou </w:t>
      </w:r>
      <w:proofErr w:type="spellStart"/>
      <w:r w:rsidRPr="00D80453">
        <w:t>Arawhenua</w:t>
      </w:r>
      <w:proofErr w:type="spellEnd"/>
      <w:r w:rsidRPr="00D80453">
        <w:t xml:space="preserve">, Child and Youth Mortality Review Committee, </w:t>
      </w:r>
      <w:r w:rsidR="00500C2E" w:rsidRPr="00D80453">
        <w:t xml:space="preserve">Suicide Mortality Review Committee. (2020). </w:t>
      </w:r>
      <w:r w:rsidR="00500C2E" w:rsidRPr="00D80453">
        <w:rPr>
          <w:i/>
          <w:iCs/>
        </w:rPr>
        <w:t xml:space="preserve">Te Mauri The Life Force I Rangatahi suicide report I Te </w:t>
      </w:r>
      <w:proofErr w:type="spellStart"/>
      <w:r w:rsidR="00500C2E" w:rsidRPr="00D80453">
        <w:rPr>
          <w:i/>
          <w:iCs/>
        </w:rPr>
        <w:t>pūrongo</w:t>
      </w:r>
      <w:proofErr w:type="spellEnd"/>
      <w:r w:rsidR="00500C2E" w:rsidRPr="00D80453">
        <w:rPr>
          <w:i/>
          <w:iCs/>
        </w:rPr>
        <w:t xml:space="preserve"> </w:t>
      </w:r>
      <w:proofErr w:type="spellStart"/>
      <w:r w:rsidR="00500C2E" w:rsidRPr="00D80453">
        <w:rPr>
          <w:i/>
          <w:iCs/>
        </w:rPr>
        <w:t>mō</w:t>
      </w:r>
      <w:proofErr w:type="spellEnd"/>
      <w:r w:rsidR="00500C2E" w:rsidRPr="00D80453">
        <w:rPr>
          <w:i/>
          <w:iCs/>
        </w:rPr>
        <w:t xml:space="preserve"> </w:t>
      </w:r>
      <w:proofErr w:type="spellStart"/>
      <w:r w:rsidR="00500C2E" w:rsidRPr="00D80453">
        <w:rPr>
          <w:i/>
          <w:iCs/>
        </w:rPr>
        <w:t>te</w:t>
      </w:r>
      <w:proofErr w:type="spellEnd"/>
      <w:r w:rsidR="00500C2E" w:rsidRPr="00D80453">
        <w:rPr>
          <w:i/>
          <w:iCs/>
        </w:rPr>
        <w:t xml:space="preserve"> mate </w:t>
      </w:r>
      <w:proofErr w:type="spellStart"/>
      <w:r w:rsidR="00500C2E" w:rsidRPr="00D80453">
        <w:rPr>
          <w:i/>
          <w:iCs/>
        </w:rPr>
        <w:t>whakamomori</w:t>
      </w:r>
      <w:proofErr w:type="spellEnd"/>
      <w:r w:rsidR="00500C2E" w:rsidRPr="00D80453">
        <w:rPr>
          <w:i/>
          <w:iCs/>
        </w:rPr>
        <w:t xml:space="preserve"> o </w:t>
      </w:r>
      <w:proofErr w:type="spellStart"/>
      <w:r w:rsidR="00500C2E" w:rsidRPr="00D80453">
        <w:rPr>
          <w:i/>
          <w:iCs/>
        </w:rPr>
        <w:t>te</w:t>
      </w:r>
      <w:proofErr w:type="spellEnd"/>
      <w:r w:rsidR="00500C2E" w:rsidRPr="00D80453">
        <w:rPr>
          <w:i/>
          <w:iCs/>
        </w:rPr>
        <w:t xml:space="preserve"> rangatahi</w:t>
      </w:r>
      <w:r w:rsidR="00577A06" w:rsidRPr="00D80453">
        <w:t>. Health Quality and Safety Commission</w:t>
      </w:r>
      <w:r w:rsidR="0078632E" w:rsidRPr="00D80453">
        <w:t xml:space="preserve">. Retrieved 29 July 2025 from </w:t>
      </w:r>
      <w:hyperlink r:id="rId52" w:history="1">
        <w:r w:rsidR="00985D9B" w:rsidRPr="007D51E9">
          <w:rPr>
            <w:rStyle w:val="Hyperlink"/>
          </w:rPr>
          <w:t>https://www.hqsc.govt.nz/assets/Our-work/Mortality-review-committee/SuMRC/Publications-resources/TeMauriTheLifeForce_final.pdf</w:t>
        </w:r>
      </w:hyperlink>
      <w:r w:rsidR="00985D9B">
        <w:t xml:space="preserve"> </w:t>
      </w:r>
    </w:p>
    <w:p w14:paraId="0C91DED3" w14:textId="64C737BE" w:rsidR="00FF1105" w:rsidRPr="00D80453" w:rsidRDefault="00FF1105" w:rsidP="00FD1983">
      <w:r w:rsidRPr="00F62661">
        <w:rPr>
          <w:lang w:val="de-DE"/>
        </w:rPr>
        <w:t>Nilsson, S.</w:t>
      </w:r>
      <w:r w:rsidR="00AD28A4" w:rsidRPr="00F62661">
        <w:rPr>
          <w:lang w:val="de-DE"/>
        </w:rPr>
        <w:t>F.</w:t>
      </w:r>
      <w:r w:rsidRPr="00F62661">
        <w:rPr>
          <w:lang w:val="de-DE"/>
        </w:rPr>
        <w:t xml:space="preserve">, Hjorthøj, C. R., Erlangsen, A., &amp; Nordentoft, M. (2014). </w:t>
      </w:r>
      <w:r w:rsidRPr="00D80453">
        <w:t xml:space="preserve">Suicide and unintentional injury mortality among homeless people: </w:t>
      </w:r>
      <w:r w:rsidR="00BC0E51">
        <w:t>A</w:t>
      </w:r>
      <w:r w:rsidRPr="00D80453">
        <w:t xml:space="preserve"> Danish nationwide register-based cohort study.</w:t>
      </w:r>
      <w:r w:rsidRPr="00D80453">
        <w:rPr>
          <w:rFonts w:ascii="Calibri" w:hAnsi="Calibri" w:cs="Calibri"/>
        </w:rPr>
        <w:t> </w:t>
      </w:r>
      <w:r w:rsidRPr="00D80453">
        <w:rPr>
          <w:i/>
          <w:iCs/>
        </w:rPr>
        <w:t>The European Journal of Public Health</w:t>
      </w:r>
      <w:r w:rsidRPr="00D80453">
        <w:t>,</w:t>
      </w:r>
      <w:r w:rsidRPr="00D80453">
        <w:rPr>
          <w:rFonts w:ascii="Calibri" w:hAnsi="Calibri" w:cs="Calibri"/>
        </w:rPr>
        <w:t> </w:t>
      </w:r>
      <w:r w:rsidRPr="00D80453">
        <w:rPr>
          <w:i/>
          <w:iCs/>
        </w:rPr>
        <w:t>24</w:t>
      </w:r>
      <w:r w:rsidRPr="00D80453">
        <w:t>(1), 50-56.</w:t>
      </w:r>
      <w:r w:rsidR="003B27F1" w:rsidRPr="00D80453">
        <w:t xml:space="preserve"> doi:10.1093/</w:t>
      </w:r>
      <w:proofErr w:type="spellStart"/>
      <w:r w:rsidR="003B27F1" w:rsidRPr="00D80453">
        <w:t>eurpub</w:t>
      </w:r>
      <w:proofErr w:type="spellEnd"/>
      <w:r w:rsidR="003B27F1" w:rsidRPr="00D80453">
        <w:t>/ckt025</w:t>
      </w:r>
    </w:p>
    <w:p w14:paraId="12520991" w14:textId="77777777" w:rsidR="007A2DD1" w:rsidRPr="00D80453" w:rsidRDefault="007A2DD1" w:rsidP="00541547">
      <w:r w:rsidRPr="00D80453">
        <w:t xml:space="preserve">Page, A., Lewis, G., Kidger, J., Heron, J., </w:t>
      </w:r>
      <w:proofErr w:type="spellStart"/>
      <w:r w:rsidRPr="00D80453">
        <w:t>Chittleborough</w:t>
      </w:r>
      <w:proofErr w:type="spellEnd"/>
      <w:r w:rsidRPr="00D80453">
        <w:t>, C., Evans, J., &amp; Gunnell, D. (2014). Parental socio-economic position during childhood as a determinant of self-harm in adolescence.</w:t>
      </w:r>
      <w:r w:rsidRPr="00D80453">
        <w:rPr>
          <w:rFonts w:ascii="Calibri" w:hAnsi="Calibri" w:cs="Calibri"/>
        </w:rPr>
        <w:t> </w:t>
      </w:r>
      <w:r w:rsidRPr="00D80453">
        <w:rPr>
          <w:i/>
          <w:iCs/>
        </w:rPr>
        <w:t>Social Psychiatry and Psychiatric Epidemiology</w:t>
      </w:r>
      <w:r w:rsidRPr="00D80453">
        <w:t>,</w:t>
      </w:r>
      <w:r w:rsidRPr="00D80453">
        <w:rPr>
          <w:rFonts w:ascii="Calibri" w:hAnsi="Calibri" w:cs="Calibri"/>
        </w:rPr>
        <w:t> </w:t>
      </w:r>
      <w:r w:rsidRPr="00D80453">
        <w:rPr>
          <w:i/>
          <w:iCs/>
        </w:rPr>
        <w:t>49</w:t>
      </w:r>
      <w:r w:rsidRPr="00D80453">
        <w:t>, 193-203. doi:10.1007/s00127-013-0722-y</w:t>
      </w:r>
    </w:p>
    <w:p w14:paraId="3CDBF4E7" w14:textId="07E9F161" w:rsidR="00E95B7E" w:rsidRDefault="00E95B7E" w:rsidP="00FD1983">
      <w:proofErr w:type="spellStart"/>
      <w:r w:rsidRPr="00E95B7E">
        <w:lastRenderedPageBreak/>
        <w:t>Pirkis</w:t>
      </w:r>
      <w:proofErr w:type="spellEnd"/>
      <w:r w:rsidRPr="00E95B7E">
        <w:t xml:space="preserve">, J., </w:t>
      </w:r>
      <w:proofErr w:type="spellStart"/>
      <w:r w:rsidRPr="00E95B7E">
        <w:t>Bantjes</w:t>
      </w:r>
      <w:proofErr w:type="spellEnd"/>
      <w:r w:rsidRPr="00E95B7E">
        <w:t xml:space="preserve">, J., </w:t>
      </w:r>
      <w:proofErr w:type="spellStart"/>
      <w:r w:rsidRPr="00E95B7E">
        <w:t>Dandona</w:t>
      </w:r>
      <w:proofErr w:type="spellEnd"/>
      <w:r w:rsidRPr="00E95B7E">
        <w:t>, R., Knipe, D., Pitman, A., Robinson, J., ... &amp; Hawton, K. (2024). Addressing key risk factors for suicide at a societal level.</w:t>
      </w:r>
      <w:r w:rsidRPr="00E95B7E">
        <w:rPr>
          <w:rFonts w:ascii="Calibri" w:hAnsi="Calibri" w:cs="Calibri"/>
        </w:rPr>
        <w:t> </w:t>
      </w:r>
      <w:r w:rsidRPr="00E95B7E">
        <w:rPr>
          <w:i/>
          <w:iCs/>
        </w:rPr>
        <w:t>The Lancet Public Health</w:t>
      </w:r>
      <w:r w:rsidRPr="00E95B7E">
        <w:t>,</w:t>
      </w:r>
      <w:r w:rsidRPr="00E95B7E">
        <w:rPr>
          <w:rFonts w:ascii="Calibri" w:hAnsi="Calibri" w:cs="Calibri"/>
        </w:rPr>
        <w:t> </w:t>
      </w:r>
      <w:r w:rsidRPr="00E95B7E">
        <w:rPr>
          <w:i/>
          <w:iCs/>
        </w:rPr>
        <w:t>9</w:t>
      </w:r>
      <w:r w:rsidRPr="00E95B7E">
        <w:t>(10), e816-e824.</w:t>
      </w:r>
      <w:r w:rsidR="00EC6C9D">
        <w:t xml:space="preserve"> </w:t>
      </w:r>
      <w:proofErr w:type="spellStart"/>
      <w:r w:rsidR="00EC6C9D">
        <w:t>doi:</w:t>
      </w:r>
      <w:r w:rsidR="00EC6C9D" w:rsidRPr="00EC6C9D">
        <w:t>org</w:t>
      </w:r>
      <w:proofErr w:type="spellEnd"/>
      <w:r w:rsidR="00EC6C9D" w:rsidRPr="00EC6C9D">
        <w:t>/10.1016/</w:t>
      </w:r>
      <w:r w:rsidR="00D25C56" w:rsidRPr="00D25C56">
        <w:t>S2468-2667(24)00158-0</w:t>
      </w:r>
    </w:p>
    <w:p w14:paraId="2D4CAFE3" w14:textId="7E2DC498" w:rsidR="00944631" w:rsidRPr="00D80453" w:rsidRDefault="00944631" w:rsidP="00FD1983">
      <w:proofErr w:type="spellStart"/>
      <w:r w:rsidRPr="00D80453">
        <w:t>Pisinger</w:t>
      </w:r>
      <w:proofErr w:type="spellEnd"/>
      <w:r w:rsidRPr="00D80453">
        <w:t xml:space="preserve">, V. S. C., Hawton, K., &amp; Tolstrup, J. S. (2018). Self-injury and suicide </w:t>
      </w:r>
      <w:proofErr w:type="spellStart"/>
      <w:r w:rsidRPr="00D80453">
        <w:t>behavior</w:t>
      </w:r>
      <w:proofErr w:type="spellEnd"/>
      <w:r w:rsidRPr="00D80453">
        <w:t xml:space="preserve"> among young people with perceived parental alcohol problems in Denmark: a school-based survey. </w:t>
      </w:r>
      <w:r w:rsidRPr="00D80453">
        <w:rPr>
          <w:i/>
          <w:iCs/>
        </w:rPr>
        <w:t>European Child &amp; Adolescent Psychiatry, 27</w:t>
      </w:r>
      <w:r w:rsidRPr="00D80453">
        <w:t xml:space="preserve">(2), 201-208. </w:t>
      </w:r>
      <w:r w:rsidR="00CA410B" w:rsidRPr="00D80453">
        <w:t>doi:</w:t>
      </w:r>
      <w:r w:rsidRPr="00D80453">
        <w:t>10.1007/s00787-017-1031-x</w:t>
      </w:r>
    </w:p>
    <w:p w14:paraId="60DE219F" w14:textId="017682C1" w:rsidR="004D3F33" w:rsidRPr="00D80453" w:rsidRDefault="009647EE" w:rsidP="00FD1983">
      <w:r w:rsidRPr="00D80453">
        <w:t>Prochaska, J. J., Sung, H. Y., Max, W., Shi, Y., &amp; Ong, M. (2012). Validity study of the K6 scale as a measure of moderate mental distress based on mental health treatment need and utilization.</w:t>
      </w:r>
      <w:r w:rsidRPr="00D80453">
        <w:rPr>
          <w:rFonts w:ascii="Calibri" w:hAnsi="Calibri" w:cs="Calibri"/>
        </w:rPr>
        <w:t> </w:t>
      </w:r>
      <w:r w:rsidRPr="00D80453">
        <w:rPr>
          <w:i/>
          <w:iCs/>
        </w:rPr>
        <w:t xml:space="preserve">International </w:t>
      </w:r>
      <w:r w:rsidR="006A5BA1" w:rsidRPr="00D80453">
        <w:rPr>
          <w:i/>
          <w:iCs/>
        </w:rPr>
        <w:t>Journal of Methods in Psychiatric Research</w:t>
      </w:r>
      <w:r w:rsidRPr="00D80453">
        <w:t>,</w:t>
      </w:r>
      <w:r w:rsidRPr="00D80453">
        <w:rPr>
          <w:rFonts w:ascii="Calibri" w:hAnsi="Calibri" w:cs="Calibri"/>
        </w:rPr>
        <w:t> </w:t>
      </w:r>
      <w:r w:rsidRPr="00D80453">
        <w:rPr>
          <w:i/>
          <w:iCs/>
        </w:rPr>
        <w:t>21</w:t>
      </w:r>
      <w:r w:rsidRPr="00D80453">
        <w:t>(2), 88-97</w:t>
      </w:r>
      <w:r w:rsidR="00B26E7A" w:rsidRPr="00D80453">
        <w:t xml:space="preserve">. </w:t>
      </w:r>
      <w:r w:rsidR="00CA410B" w:rsidRPr="00D80453">
        <w:t>doi:</w:t>
      </w:r>
      <w:r w:rsidR="00351453" w:rsidRPr="00D80453">
        <w:t>10.1002/mpr.1349</w:t>
      </w:r>
    </w:p>
    <w:p w14:paraId="148075F1" w14:textId="4A029BA8" w:rsidR="00B06C37" w:rsidRDefault="00B06C37" w:rsidP="00FD1983">
      <w:r w:rsidRPr="00B06C37">
        <w:t>Qin, P., Syeda, S., Canetto, S. S., Arya, V., Liu, B., Menon, V., ... &amp; Gunnell, D. (2022). Midlife suicide: A systematic review and meta-analysis of socioeconomic, psychiatric and physical health risk factors.</w:t>
      </w:r>
      <w:r w:rsidRPr="00B06C37">
        <w:rPr>
          <w:rFonts w:ascii="Calibri" w:hAnsi="Calibri" w:cs="Calibri"/>
        </w:rPr>
        <w:t> </w:t>
      </w:r>
      <w:r w:rsidRPr="00B06C37">
        <w:rPr>
          <w:i/>
          <w:iCs/>
        </w:rPr>
        <w:t xml:space="preserve">Journal of </w:t>
      </w:r>
      <w:r w:rsidR="00472ED5">
        <w:rPr>
          <w:i/>
          <w:iCs/>
        </w:rPr>
        <w:t>P</w:t>
      </w:r>
      <w:r w:rsidRPr="00B06C37">
        <w:rPr>
          <w:i/>
          <w:iCs/>
        </w:rPr>
        <w:t xml:space="preserve">sychiatric </w:t>
      </w:r>
      <w:r w:rsidR="00472ED5">
        <w:rPr>
          <w:i/>
          <w:iCs/>
        </w:rPr>
        <w:t>R</w:t>
      </w:r>
      <w:r w:rsidRPr="00B06C37">
        <w:rPr>
          <w:i/>
          <w:iCs/>
        </w:rPr>
        <w:t>esearch</w:t>
      </w:r>
      <w:r w:rsidRPr="00B06C37">
        <w:t>,</w:t>
      </w:r>
      <w:r w:rsidRPr="00B06C37">
        <w:rPr>
          <w:rFonts w:ascii="Calibri" w:hAnsi="Calibri" w:cs="Calibri"/>
        </w:rPr>
        <w:t> </w:t>
      </w:r>
      <w:r w:rsidRPr="00B06C37">
        <w:rPr>
          <w:i/>
          <w:iCs/>
        </w:rPr>
        <w:t>154</w:t>
      </w:r>
      <w:r w:rsidRPr="00B06C37">
        <w:t>, 233-241.</w:t>
      </w:r>
      <w:r w:rsidR="001E7F77">
        <w:t xml:space="preserve"> </w:t>
      </w:r>
      <w:proofErr w:type="gramStart"/>
      <w:r w:rsidR="001E7F77">
        <w:t>doi:</w:t>
      </w:r>
      <w:r w:rsidR="001E7F77" w:rsidRPr="001E7F77">
        <w:t>10.1016/j.jpsychires</w:t>
      </w:r>
      <w:proofErr w:type="gramEnd"/>
      <w:r w:rsidR="001E7F77" w:rsidRPr="001E7F77">
        <w:t>.2022.07.037</w:t>
      </w:r>
    </w:p>
    <w:p w14:paraId="0E717773" w14:textId="47F13906" w:rsidR="003244C7" w:rsidRPr="00D80453" w:rsidRDefault="003244C7" w:rsidP="003244C7">
      <w:pPr>
        <w:rPr>
          <w:lang w:eastAsia="en-NZ"/>
        </w:rPr>
      </w:pPr>
      <w:r w:rsidRPr="00D80453">
        <w:rPr>
          <w:lang w:eastAsia="en-NZ"/>
        </w:rPr>
        <w:t>Ribeiro, J. D., Huang, X., Fox, K. R., &amp; Franklin, J. C. (2018). Depression and hopelessness as risk factors for suicide ideation, attempts and death: meta-analysis of longitudinal studies.</w:t>
      </w:r>
      <w:r w:rsidRPr="00D80453">
        <w:rPr>
          <w:rFonts w:ascii="Calibri" w:hAnsi="Calibri" w:cs="Calibri"/>
          <w:lang w:eastAsia="en-NZ"/>
        </w:rPr>
        <w:t> </w:t>
      </w:r>
      <w:r w:rsidRPr="00D80453">
        <w:rPr>
          <w:i/>
          <w:iCs/>
          <w:lang w:eastAsia="en-NZ"/>
        </w:rPr>
        <w:t>The British Journal of Psychiatry</w:t>
      </w:r>
      <w:r w:rsidRPr="00D80453">
        <w:rPr>
          <w:lang w:eastAsia="en-NZ"/>
        </w:rPr>
        <w:t>,</w:t>
      </w:r>
      <w:r w:rsidRPr="00D80453">
        <w:rPr>
          <w:rFonts w:ascii="Calibri" w:hAnsi="Calibri" w:cs="Calibri"/>
          <w:lang w:eastAsia="en-NZ"/>
        </w:rPr>
        <w:t> </w:t>
      </w:r>
      <w:r w:rsidRPr="00D80453">
        <w:rPr>
          <w:i/>
          <w:iCs/>
          <w:lang w:eastAsia="en-NZ"/>
        </w:rPr>
        <w:t>212</w:t>
      </w:r>
      <w:r w:rsidRPr="00D80453">
        <w:rPr>
          <w:lang w:eastAsia="en-NZ"/>
        </w:rPr>
        <w:t>(5), 279-286. doi:10.1192/bjp.2018.27</w:t>
      </w:r>
    </w:p>
    <w:p w14:paraId="5A0CEC13" w14:textId="0C759C7A" w:rsidR="005F6D27" w:rsidRPr="00D80453" w:rsidRDefault="009951FA" w:rsidP="005F6D27">
      <w:r w:rsidRPr="00D80453">
        <w:t>Rintoul, A., Dwyer, J., Millar, C., Bugeja, L., &amp; Nguyen, H. (2023). Gambling-related suicide in Victoria, Australia: a population-based cross-sectional study.</w:t>
      </w:r>
      <w:r w:rsidRPr="00D80453">
        <w:rPr>
          <w:rFonts w:ascii="Calibri" w:hAnsi="Calibri" w:cs="Calibri"/>
        </w:rPr>
        <w:t> </w:t>
      </w:r>
      <w:r w:rsidRPr="00D80453">
        <w:rPr>
          <w:i/>
          <w:iCs/>
        </w:rPr>
        <w:t>The Lancet Regional Health–Western Pacific</w:t>
      </w:r>
      <w:r w:rsidRPr="00D80453">
        <w:t>,</w:t>
      </w:r>
      <w:r w:rsidRPr="00D80453">
        <w:rPr>
          <w:rFonts w:ascii="Calibri" w:hAnsi="Calibri" w:cs="Calibri"/>
        </w:rPr>
        <w:t> </w:t>
      </w:r>
      <w:r w:rsidRPr="00D80453">
        <w:rPr>
          <w:i/>
          <w:iCs/>
        </w:rPr>
        <w:t>41</w:t>
      </w:r>
      <w:r w:rsidRPr="00D80453">
        <w:t xml:space="preserve">. </w:t>
      </w:r>
      <w:proofErr w:type="gramStart"/>
      <w:r w:rsidR="00CA410B" w:rsidRPr="00D80453">
        <w:t>doi:</w:t>
      </w:r>
      <w:r w:rsidR="002A3CB5" w:rsidRPr="00D80453">
        <w:t>10.1016/j.lanwpc</w:t>
      </w:r>
      <w:proofErr w:type="gramEnd"/>
      <w:r w:rsidR="002A3CB5" w:rsidRPr="00D80453">
        <w:t>.2023.100903</w:t>
      </w:r>
    </w:p>
    <w:p w14:paraId="6AFFF454" w14:textId="64A770B2" w:rsidR="00A54FB6" w:rsidRPr="00D80453" w:rsidRDefault="00A54FB6" w:rsidP="00650BC2">
      <w:proofErr w:type="spellStart"/>
      <w:r w:rsidRPr="00D80453">
        <w:t>Sinyor</w:t>
      </w:r>
      <w:proofErr w:type="spellEnd"/>
      <w:r w:rsidRPr="00D80453">
        <w:t xml:space="preserve">, M., </w:t>
      </w:r>
      <w:proofErr w:type="spellStart"/>
      <w:r w:rsidRPr="00D80453">
        <w:t>Kozloffa</w:t>
      </w:r>
      <w:proofErr w:type="spellEnd"/>
      <w:r w:rsidRPr="00D80453">
        <w:t>, N., Reis, C., Schaffer, A. and Kozloff, N. (2017)</w:t>
      </w:r>
      <w:r w:rsidR="00472ED5">
        <w:t>.</w:t>
      </w:r>
      <w:r w:rsidRPr="00D80453">
        <w:t xml:space="preserve"> An observational study of suicide death in homeless and precariously housed people in Toronto</w:t>
      </w:r>
      <w:r w:rsidR="00472ED5">
        <w:t>.</w:t>
      </w:r>
      <w:r w:rsidRPr="00D80453">
        <w:t xml:space="preserve"> </w:t>
      </w:r>
      <w:r w:rsidRPr="00D80453">
        <w:rPr>
          <w:i/>
          <w:iCs/>
        </w:rPr>
        <w:t>Canadian Journal of Psychiatry</w:t>
      </w:r>
      <w:r w:rsidRPr="00D80453">
        <w:t xml:space="preserve">, </w:t>
      </w:r>
      <w:proofErr w:type="gramStart"/>
      <w:r w:rsidRPr="00D80453">
        <w:rPr>
          <w:i/>
          <w:iCs/>
        </w:rPr>
        <w:t>62</w:t>
      </w:r>
      <w:r w:rsidRPr="00D80453">
        <w:t>,</w:t>
      </w:r>
      <w:r w:rsidR="00847523" w:rsidRPr="00D80453">
        <w:t>(</w:t>
      </w:r>
      <w:proofErr w:type="gramEnd"/>
      <w:r w:rsidR="00847523" w:rsidRPr="00D80453">
        <w:t xml:space="preserve">7), </w:t>
      </w:r>
      <w:r w:rsidRPr="00D80453">
        <w:t>501-505.</w:t>
      </w:r>
      <w:r w:rsidR="00940A3D" w:rsidRPr="00D80453">
        <w:t xml:space="preserve"> </w:t>
      </w:r>
      <w:r w:rsidR="00CA410B" w:rsidRPr="00D80453">
        <w:t>doi:</w:t>
      </w:r>
      <w:r w:rsidR="00940A3D" w:rsidRPr="00D80453">
        <w:t>10.1177/0706743717705354</w:t>
      </w:r>
    </w:p>
    <w:p w14:paraId="086E79C5" w14:textId="5D60F606" w:rsidR="009D1367" w:rsidRPr="00D80453" w:rsidRDefault="003C4A68" w:rsidP="00650BC2">
      <w:r w:rsidRPr="00D80453">
        <w:t>Stats NZ</w:t>
      </w:r>
      <w:r w:rsidR="009A4465" w:rsidRPr="00D80453">
        <w:t>.</w:t>
      </w:r>
      <w:r w:rsidRPr="00D80453">
        <w:t xml:space="preserve"> (4 December 2024) </w:t>
      </w:r>
      <w:r w:rsidR="00C16D55" w:rsidRPr="00472ED5">
        <w:rPr>
          <w:i/>
        </w:rPr>
        <w:t>2023 Census severe housing deprivation (homelessness) estimates</w:t>
      </w:r>
      <w:r w:rsidR="009D1367" w:rsidRPr="00D80453">
        <w:t>.</w:t>
      </w:r>
      <w:r w:rsidR="009A4465" w:rsidRPr="00D80453">
        <w:t xml:space="preserve"> Retrieved 30 June 2025 from</w:t>
      </w:r>
      <w:r w:rsidR="00587E55" w:rsidRPr="00D80453">
        <w:rPr>
          <w:rFonts w:ascii="Calibri" w:hAnsi="Calibri" w:cs="Calibri"/>
        </w:rPr>
        <w:t xml:space="preserve"> </w:t>
      </w:r>
      <w:hyperlink r:id="rId53" w:anchor=":~:text=At%20the%20time%20of%20the,severely%20housing%20deprived%20in%202018" w:history="1">
        <w:r w:rsidR="00FD0542" w:rsidRPr="00D80453">
          <w:rPr>
            <w:rStyle w:val="Hyperlink"/>
          </w:rPr>
          <w:t>https://www.stats.govt.nz/information-releases/2023-census-severe-housing-deprivation-homelessness-estimates/</w:t>
        </w:r>
      </w:hyperlink>
    </w:p>
    <w:p w14:paraId="4F3ADC56" w14:textId="5F44CE12" w:rsidR="006A4EA4" w:rsidRPr="00D80453" w:rsidRDefault="006A4EA4" w:rsidP="00650BC2">
      <w:r w:rsidRPr="00D80453">
        <w:t xml:space="preserve">Suicide Mortality Review Committee. </w:t>
      </w:r>
      <w:r w:rsidR="009A4465" w:rsidRPr="00D80453">
        <w:t>(</w:t>
      </w:r>
      <w:r w:rsidRPr="00D80453">
        <w:t>2019</w:t>
      </w:r>
      <w:r w:rsidR="009A4465" w:rsidRPr="00D80453">
        <w:t>)</w:t>
      </w:r>
      <w:r w:rsidRPr="00D80453">
        <w:t xml:space="preserve">. </w:t>
      </w:r>
      <w:r w:rsidRPr="00D80453">
        <w:rPr>
          <w:i/>
          <w:iCs/>
        </w:rPr>
        <w:t>Understanding death by suicide in the Asian population of Aotearoa New Zealand</w:t>
      </w:r>
      <w:r w:rsidRPr="00D80453">
        <w:t>. Wellington: Health Quality &amp; Safety Commission.</w:t>
      </w:r>
      <w:r w:rsidR="00553E07" w:rsidRPr="00D80453">
        <w:t xml:space="preserve"> Retrieved 30 June 2025 from </w:t>
      </w:r>
      <w:hyperlink r:id="rId54" w:history="1">
        <w:r w:rsidR="002F6231" w:rsidRPr="007D51E9">
          <w:rPr>
            <w:rStyle w:val="Hyperlink"/>
          </w:rPr>
          <w:t>https://www.hqsc.govt.nz/assets/Our-work/Mortality-review-committee/SuMRC/Publications-resources/Understanding-deaths-by-suicide-Asian-population.pdf</w:t>
        </w:r>
      </w:hyperlink>
      <w:r w:rsidR="002F6231">
        <w:t xml:space="preserve"> </w:t>
      </w:r>
    </w:p>
    <w:p w14:paraId="7F9A2CDD" w14:textId="19BB2034" w:rsidR="00541547" w:rsidRPr="00D80453" w:rsidRDefault="0095285F" w:rsidP="00541547">
      <w:proofErr w:type="spellStart"/>
      <w:r w:rsidRPr="00D80453">
        <w:t>Talamaivao</w:t>
      </w:r>
      <w:proofErr w:type="spellEnd"/>
      <w:r w:rsidRPr="00D80453">
        <w:t>, N., Harris, R., Cormack, D., Paine, S. J., &amp; King, P. (2020). Racism and health in Aotearoa New Zealand: a systematic review of quantitative studies.</w:t>
      </w:r>
      <w:r w:rsidRPr="00D80453">
        <w:rPr>
          <w:rFonts w:ascii="Calibri" w:hAnsi="Calibri" w:cs="Calibri"/>
        </w:rPr>
        <w:t> </w:t>
      </w:r>
      <w:r w:rsidRPr="00D80453">
        <w:rPr>
          <w:i/>
          <w:iCs/>
        </w:rPr>
        <w:t>NZ Med J</w:t>
      </w:r>
      <w:r w:rsidRPr="00D80453">
        <w:t>,</w:t>
      </w:r>
      <w:r w:rsidRPr="00D80453">
        <w:rPr>
          <w:rFonts w:ascii="Calibri" w:hAnsi="Calibri" w:cs="Calibri"/>
        </w:rPr>
        <w:t> </w:t>
      </w:r>
      <w:r w:rsidRPr="00D80453">
        <w:rPr>
          <w:i/>
          <w:iCs/>
        </w:rPr>
        <w:t>133</w:t>
      </w:r>
      <w:r w:rsidRPr="00D80453">
        <w:t>(1521), 55-68.</w:t>
      </w:r>
      <w:r w:rsidR="009D2842" w:rsidRPr="00D80453">
        <w:t xml:space="preserve"> </w:t>
      </w:r>
      <w:r w:rsidR="003118E3" w:rsidRPr="00D80453">
        <w:t>Retrieved 30 June 2025</w:t>
      </w:r>
      <w:r w:rsidR="003118E3">
        <w:t xml:space="preserve"> from </w:t>
      </w:r>
      <w:hyperlink r:id="rId55" w:history="1">
        <w:r w:rsidR="0082017D">
          <w:rPr>
            <w:rStyle w:val="Hyperlink"/>
          </w:rPr>
          <w:t>https://nzmj.org.nz/</w:t>
        </w:r>
      </w:hyperlink>
    </w:p>
    <w:p w14:paraId="787675C8" w14:textId="02A9382D" w:rsidR="00771063" w:rsidRPr="00D80453" w:rsidRDefault="005C3F06" w:rsidP="00650BC2">
      <w:proofErr w:type="spellStart"/>
      <w:r w:rsidRPr="00D80453">
        <w:t>Talmatzky</w:t>
      </w:r>
      <w:proofErr w:type="spellEnd"/>
      <w:r w:rsidRPr="00D80453">
        <w:t xml:space="preserve">, M., Nohr, L., </w:t>
      </w:r>
      <w:proofErr w:type="spellStart"/>
      <w:r w:rsidRPr="00D80453">
        <w:t>Knaevelsrud</w:t>
      </w:r>
      <w:proofErr w:type="spellEnd"/>
      <w:r w:rsidRPr="00D80453">
        <w:t>, C., &amp; Niemeyer, H. (2023). Exploring the association between housing insecurity and mental health among renters: A systematic review.</w:t>
      </w:r>
      <w:r w:rsidRPr="00D80453">
        <w:rPr>
          <w:rFonts w:ascii="Calibri" w:hAnsi="Calibri" w:cs="Calibri"/>
        </w:rPr>
        <w:t> </w:t>
      </w:r>
      <w:proofErr w:type="spellStart"/>
      <w:r w:rsidRPr="00D80453">
        <w:rPr>
          <w:i/>
          <w:iCs/>
        </w:rPr>
        <w:t>medRxiv</w:t>
      </w:r>
      <w:proofErr w:type="spellEnd"/>
      <w:r w:rsidRPr="00D80453">
        <w:t xml:space="preserve">, 2023-11. </w:t>
      </w:r>
      <w:r w:rsidR="00CA410B" w:rsidRPr="00D80453">
        <w:t>doi:</w:t>
      </w:r>
      <w:r w:rsidRPr="00D80453">
        <w:t>10.1101/2023.11.01.23297773</w:t>
      </w:r>
    </w:p>
    <w:p w14:paraId="3FB395F1" w14:textId="6B76E319" w:rsidR="00E85671" w:rsidRDefault="00601819" w:rsidP="00FD1983">
      <w:r w:rsidRPr="00D80453">
        <w:lastRenderedPageBreak/>
        <w:t xml:space="preserve">Tanji, F., </w:t>
      </w:r>
      <w:proofErr w:type="spellStart"/>
      <w:r w:rsidRPr="00D80453">
        <w:t>Tomata</w:t>
      </w:r>
      <w:proofErr w:type="spellEnd"/>
      <w:r w:rsidRPr="00D80453">
        <w:t>, Y., Zhang, S., Otsuka, T., &amp; Tsuji, I. (2018). Psychological distress and completed suicide in Japan: A comparison of the impact of moderate and severe psychological distress.</w:t>
      </w:r>
      <w:r w:rsidRPr="00D80453">
        <w:rPr>
          <w:rFonts w:ascii="Calibri" w:hAnsi="Calibri" w:cs="Calibri"/>
        </w:rPr>
        <w:t> </w:t>
      </w:r>
      <w:r w:rsidRPr="00D80453">
        <w:rPr>
          <w:i/>
          <w:iCs/>
        </w:rPr>
        <w:t xml:space="preserve">Preventive </w:t>
      </w:r>
      <w:r w:rsidR="0047459C" w:rsidRPr="00D80453">
        <w:rPr>
          <w:i/>
          <w:iCs/>
        </w:rPr>
        <w:t>M</w:t>
      </w:r>
      <w:r w:rsidRPr="00D80453">
        <w:rPr>
          <w:i/>
          <w:iCs/>
        </w:rPr>
        <w:t>edicine</w:t>
      </w:r>
      <w:r w:rsidRPr="00D80453">
        <w:t>,</w:t>
      </w:r>
      <w:r w:rsidRPr="00D80453">
        <w:rPr>
          <w:rFonts w:ascii="Calibri" w:hAnsi="Calibri" w:cs="Calibri"/>
        </w:rPr>
        <w:t> </w:t>
      </w:r>
      <w:r w:rsidRPr="00D80453">
        <w:rPr>
          <w:i/>
          <w:iCs/>
        </w:rPr>
        <w:t>116</w:t>
      </w:r>
      <w:r w:rsidRPr="00D80453">
        <w:t xml:space="preserve">, 99-103. </w:t>
      </w:r>
      <w:proofErr w:type="gramStart"/>
      <w:r w:rsidR="00CA410B" w:rsidRPr="00D80453">
        <w:t>doi:</w:t>
      </w:r>
      <w:r w:rsidRPr="00D80453">
        <w:t>10.1016/j.ypmed</w:t>
      </w:r>
      <w:proofErr w:type="gramEnd"/>
      <w:r w:rsidRPr="00D80453">
        <w:t>.2018.09.007</w:t>
      </w:r>
    </w:p>
    <w:p w14:paraId="4F32FEA2" w14:textId="4398DC78" w:rsidR="00A862EE" w:rsidRPr="00D80453" w:rsidRDefault="00A862EE" w:rsidP="00FD1983">
      <w:r w:rsidRPr="00065A39">
        <w:t xml:space="preserve">Theodore, R., Bowden, N., </w:t>
      </w:r>
      <w:proofErr w:type="spellStart"/>
      <w:r w:rsidRPr="00065A39">
        <w:t>Kokaua</w:t>
      </w:r>
      <w:proofErr w:type="spellEnd"/>
      <w:r w:rsidRPr="00065A39">
        <w:t xml:space="preserve">, J., Ruhe, T., Hobbs, M., Hetrick, S., ... </w:t>
      </w:r>
      <w:r w:rsidRPr="00A862EE">
        <w:t>&amp; Boden, J. (2022). Mental health inequities for Māori youth: a population-level study of mental health service data.</w:t>
      </w:r>
      <w:r w:rsidRPr="00A862EE">
        <w:rPr>
          <w:rFonts w:ascii="Calibri" w:hAnsi="Calibri" w:cs="Calibri"/>
        </w:rPr>
        <w:t> </w:t>
      </w:r>
      <w:r w:rsidRPr="00A862EE">
        <w:rPr>
          <w:i/>
          <w:iCs/>
        </w:rPr>
        <w:t>NZ Med J</w:t>
      </w:r>
      <w:r w:rsidRPr="00A862EE">
        <w:t>,</w:t>
      </w:r>
      <w:r w:rsidRPr="00A862EE">
        <w:rPr>
          <w:rFonts w:ascii="Calibri" w:hAnsi="Calibri" w:cs="Calibri"/>
        </w:rPr>
        <w:t> </w:t>
      </w:r>
      <w:r w:rsidRPr="00A862EE">
        <w:rPr>
          <w:i/>
          <w:iCs/>
        </w:rPr>
        <w:t>135</w:t>
      </w:r>
      <w:r w:rsidRPr="00A862EE">
        <w:t>(1567), 79-90.</w:t>
      </w:r>
      <w:r w:rsidR="00A9083A">
        <w:t xml:space="preserve"> </w:t>
      </w:r>
      <w:hyperlink r:id="rId56" w:history="1">
        <w:r w:rsidR="00A9083A" w:rsidRPr="00154655">
          <w:rPr>
            <w:rStyle w:val="Hyperlink"/>
          </w:rPr>
          <w:t>https://journal.nzma.org.nz/</w:t>
        </w:r>
      </w:hyperlink>
    </w:p>
    <w:p w14:paraId="3FA29DFF" w14:textId="0C258069" w:rsidR="00541547" w:rsidRPr="00D80453" w:rsidRDefault="00C72173" w:rsidP="00541547">
      <w:r w:rsidRPr="00D80453">
        <w:t xml:space="preserve">Troya, M. I., Babatunde, O., </w:t>
      </w:r>
      <w:proofErr w:type="spellStart"/>
      <w:r w:rsidRPr="00D80453">
        <w:t>Polidano</w:t>
      </w:r>
      <w:proofErr w:type="spellEnd"/>
      <w:r w:rsidRPr="00D80453">
        <w:t xml:space="preserve">, K., Bartlam, B., McCloskey, E., </w:t>
      </w:r>
      <w:proofErr w:type="spellStart"/>
      <w:r w:rsidRPr="00D80453">
        <w:t>Dikomitis</w:t>
      </w:r>
      <w:proofErr w:type="spellEnd"/>
      <w:r w:rsidRPr="00D80453">
        <w:t>, L., &amp; Chew-Graham, C. A. (2019). Self-harm in older adults: systematic review.</w:t>
      </w:r>
      <w:r w:rsidRPr="00D80453">
        <w:rPr>
          <w:rFonts w:ascii="Calibri" w:hAnsi="Calibri" w:cs="Calibri"/>
        </w:rPr>
        <w:t> </w:t>
      </w:r>
      <w:r w:rsidRPr="00D80453">
        <w:rPr>
          <w:i/>
          <w:iCs/>
        </w:rPr>
        <w:t>The British Journal of Psychiatry</w:t>
      </w:r>
      <w:r w:rsidRPr="00D80453">
        <w:t>,</w:t>
      </w:r>
      <w:r w:rsidRPr="00D80453">
        <w:rPr>
          <w:rFonts w:ascii="Calibri" w:hAnsi="Calibri" w:cs="Calibri"/>
        </w:rPr>
        <w:t> </w:t>
      </w:r>
      <w:r w:rsidRPr="00D80453">
        <w:rPr>
          <w:i/>
          <w:iCs/>
        </w:rPr>
        <w:t>214</w:t>
      </w:r>
      <w:r w:rsidRPr="00D80453">
        <w:t>(4), 186-200. doi:10.1192/bjp.2019.11</w:t>
      </w:r>
    </w:p>
    <w:p w14:paraId="17DC0365" w14:textId="3A5CBFEB" w:rsidR="008006DA" w:rsidRPr="00D80453" w:rsidRDefault="007741EE" w:rsidP="005F6D27">
      <w:r w:rsidRPr="00F62661">
        <w:rPr>
          <w:lang w:val="de-DE"/>
        </w:rPr>
        <w:t xml:space="preserve">Turecki, G., &amp; Brent, D. A. (2016). </w:t>
      </w:r>
      <w:r w:rsidRPr="00D80453">
        <w:t>Suicide and suicidal behaviour.</w:t>
      </w:r>
      <w:r w:rsidRPr="00D80453">
        <w:rPr>
          <w:rFonts w:ascii="Calibri" w:hAnsi="Calibri" w:cs="Calibri"/>
        </w:rPr>
        <w:t> </w:t>
      </w:r>
      <w:r w:rsidRPr="00D80453">
        <w:rPr>
          <w:i/>
          <w:iCs/>
        </w:rPr>
        <w:t>The Lancet</w:t>
      </w:r>
      <w:r w:rsidRPr="00D80453">
        <w:t>,</w:t>
      </w:r>
      <w:r w:rsidRPr="00D80453">
        <w:rPr>
          <w:rFonts w:ascii="Calibri" w:hAnsi="Calibri" w:cs="Calibri"/>
        </w:rPr>
        <w:t> </w:t>
      </w:r>
      <w:r w:rsidRPr="00D80453">
        <w:rPr>
          <w:i/>
          <w:iCs/>
        </w:rPr>
        <w:t>387</w:t>
      </w:r>
      <w:r w:rsidRPr="00D80453">
        <w:t xml:space="preserve">(10024), 1227-1239. </w:t>
      </w:r>
      <w:r w:rsidR="008006DA" w:rsidRPr="00D80453">
        <w:t>doi:10.1016/S0140-6736(15)00234-2</w:t>
      </w:r>
    </w:p>
    <w:p w14:paraId="04875B69" w14:textId="75B00BF1" w:rsidR="00573BD3" w:rsidRPr="00D80453" w:rsidRDefault="00561EC6" w:rsidP="005F6D27">
      <w:r w:rsidRPr="00F62661">
        <w:rPr>
          <w:lang w:val="de-DE"/>
        </w:rPr>
        <w:t xml:space="preserve">Vinnerljung, B., Hjern, A., &amp; Lindblad, F. (2006). </w:t>
      </w:r>
      <w:r w:rsidRPr="00D80453">
        <w:t>Suicide attempts and severe psychiatric morbidity among former child welfare clients–a national cohort study.</w:t>
      </w:r>
      <w:r w:rsidRPr="00D80453">
        <w:rPr>
          <w:rFonts w:ascii="Calibri" w:hAnsi="Calibri" w:cs="Calibri"/>
        </w:rPr>
        <w:t> </w:t>
      </w:r>
      <w:r w:rsidRPr="00D80453">
        <w:rPr>
          <w:i/>
          <w:iCs/>
        </w:rPr>
        <w:t xml:space="preserve">Journal of </w:t>
      </w:r>
      <w:r w:rsidR="00582D0F" w:rsidRPr="00D80453">
        <w:rPr>
          <w:i/>
          <w:iCs/>
        </w:rPr>
        <w:t>Child Psychology</w:t>
      </w:r>
      <w:r w:rsidRPr="00D80453">
        <w:rPr>
          <w:i/>
          <w:iCs/>
        </w:rPr>
        <w:t xml:space="preserve"> and </w:t>
      </w:r>
      <w:r w:rsidR="00582D0F" w:rsidRPr="00D80453">
        <w:rPr>
          <w:i/>
          <w:iCs/>
        </w:rPr>
        <w:t>Psychiatry</w:t>
      </w:r>
      <w:r w:rsidRPr="00D80453">
        <w:t>,</w:t>
      </w:r>
      <w:r w:rsidRPr="00D80453">
        <w:rPr>
          <w:rFonts w:ascii="Calibri" w:hAnsi="Calibri" w:cs="Calibri"/>
        </w:rPr>
        <w:t> </w:t>
      </w:r>
      <w:r w:rsidRPr="00D80453">
        <w:rPr>
          <w:i/>
          <w:iCs/>
        </w:rPr>
        <w:t>47</w:t>
      </w:r>
      <w:r w:rsidRPr="00D80453">
        <w:t xml:space="preserve">(7), 723-733. </w:t>
      </w:r>
      <w:r w:rsidR="00CA410B" w:rsidRPr="00D80453">
        <w:t>doi:</w:t>
      </w:r>
      <w:r w:rsidRPr="00D80453">
        <w:t>10.1111/j.1469-7610.</w:t>
      </w:r>
      <w:proofErr w:type="gramStart"/>
      <w:r w:rsidRPr="00D80453">
        <w:t>2005.01530.x</w:t>
      </w:r>
      <w:proofErr w:type="gramEnd"/>
    </w:p>
    <w:p w14:paraId="52213677" w14:textId="0789A7E3" w:rsidR="00F35ED9" w:rsidRPr="00D80453" w:rsidRDefault="007B13A4" w:rsidP="005F6D27">
      <w:r w:rsidRPr="00065A39">
        <w:t xml:space="preserve">Walby, F. A., Myhre, M. Ø., &amp; Kildahl, A. T. (2018). </w:t>
      </w:r>
      <w:r w:rsidRPr="00D80453">
        <w:t xml:space="preserve">Contact with mental health services prior to suicide: </w:t>
      </w:r>
      <w:r w:rsidR="00C8486A">
        <w:t>A</w:t>
      </w:r>
      <w:r w:rsidRPr="00D80453">
        <w:t xml:space="preserve"> systematic review and meta-analysis.</w:t>
      </w:r>
      <w:r w:rsidRPr="00D80453">
        <w:rPr>
          <w:rFonts w:ascii="Calibri" w:hAnsi="Calibri" w:cs="Calibri"/>
        </w:rPr>
        <w:t> </w:t>
      </w:r>
      <w:r w:rsidRPr="00D80453">
        <w:rPr>
          <w:i/>
          <w:iCs/>
        </w:rPr>
        <w:t xml:space="preserve">Psychiatric </w:t>
      </w:r>
      <w:r w:rsidR="00004ABE" w:rsidRPr="00D80453">
        <w:rPr>
          <w:i/>
          <w:iCs/>
        </w:rPr>
        <w:t>S</w:t>
      </w:r>
      <w:r w:rsidRPr="00D80453">
        <w:rPr>
          <w:i/>
          <w:iCs/>
        </w:rPr>
        <w:t>ervices</w:t>
      </w:r>
      <w:r w:rsidRPr="00D80453">
        <w:t>,</w:t>
      </w:r>
      <w:r w:rsidRPr="00D80453">
        <w:rPr>
          <w:rFonts w:ascii="Calibri" w:hAnsi="Calibri" w:cs="Calibri"/>
        </w:rPr>
        <w:t> </w:t>
      </w:r>
      <w:r w:rsidRPr="00D80453">
        <w:rPr>
          <w:i/>
          <w:iCs/>
        </w:rPr>
        <w:t>69</w:t>
      </w:r>
      <w:r w:rsidRPr="00D80453">
        <w:t xml:space="preserve">(7), 751-759. </w:t>
      </w:r>
      <w:proofErr w:type="gramStart"/>
      <w:r w:rsidRPr="00D80453">
        <w:t>doi:10.1176/appi.ps</w:t>
      </w:r>
      <w:proofErr w:type="gramEnd"/>
      <w:r w:rsidRPr="00D80453">
        <w:t>.201700475</w:t>
      </w:r>
    </w:p>
    <w:p w14:paraId="5FE8CC8A" w14:textId="53230E74" w:rsidR="005F6D27" w:rsidRPr="00D80453" w:rsidRDefault="0042403D" w:rsidP="005F6D27">
      <w:r w:rsidRPr="00D80453">
        <w:t>Wardle, H., Dymond, S., John, A., &amp; McManus, S. (2019). Problem gambling and suicidal thoughts, suicide attempts and non-suicidal self-harm in England: evidence from the Adult Psychiatric Morbidity Survey 2007.</w:t>
      </w:r>
      <w:r w:rsidRPr="00D80453">
        <w:rPr>
          <w:rFonts w:ascii="Calibri" w:hAnsi="Calibri" w:cs="Calibri"/>
        </w:rPr>
        <w:t> </w:t>
      </w:r>
      <w:r w:rsidRPr="00D80453">
        <w:rPr>
          <w:i/>
          <w:iCs/>
        </w:rPr>
        <w:t>Birmingham: Gambling Commission</w:t>
      </w:r>
      <w:r w:rsidRPr="00D80453">
        <w:t xml:space="preserve">. </w:t>
      </w:r>
      <w:r w:rsidR="00004ABE" w:rsidRPr="00D80453">
        <w:t xml:space="preserve">Retrieved 30 June 2025 from </w:t>
      </w:r>
      <w:hyperlink r:id="rId57" w:history="1">
        <w:r w:rsidR="0067041C" w:rsidRPr="007D51E9">
          <w:rPr>
            <w:rStyle w:val="Hyperlink"/>
          </w:rPr>
          <w:t>https://gambleaware.org/media/hyvlra41/report-1-problem-gambling-and-suicidal-thoughts-suicide-attempts-and-non-suicidal-self-harm-in-england.pdf</w:t>
        </w:r>
      </w:hyperlink>
      <w:r w:rsidR="0067041C">
        <w:t xml:space="preserve">  </w:t>
      </w:r>
    </w:p>
    <w:p w14:paraId="760BB398" w14:textId="1300DDA0" w:rsidR="00320CBE" w:rsidRDefault="00073E07" w:rsidP="00C15F8B">
      <w:r w:rsidRPr="00073E07">
        <w:t>Witt</w:t>
      </w:r>
      <w:r>
        <w:t>,</w:t>
      </w:r>
      <w:r w:rsidRPr="00073E07">
        <w:t xml:space="preserve"> K</w:t>
      </w:r>
      <w:r>
        <w:t>.</w:t>
      </w:r>
      <w:r w:rsidRPr="00073E07">
        <w:t>, Daly</w:t>
      </w:r>
      <w:r>
        <w:t>,</w:t>
      </w:r>
      <w:r w:rsidRPr="00073E07">
        <w:t xml:space="preserve"> C</w:t>
      </w:r>
      <w:r>
        <w:t>.</w:t>
      </w:r>
      <w:r w:rsidRPr="00073E07">
        <w:t>, Arensman</w:t>
      </w:r>
      <w:r>
        <w:t>,</w:t>
      </w:r>
      <w:r w:rsidRPr="00073E07">
        <w:t xml:space="preserve"> E</w:t>
      </w:r>
      <w:r>
        <w:t>.</w:t>
      </w:r>
      <w:r w:rsidRPr="00073E07">
        <w:t xml:space="preserve">, </w:t>
      </w:r>
      <w:proofErr w:type="spellStart"/>
      <w:r w:rsidRPr="00073E07">
        <w:t>Pirkis</w:t>
      </w:r>
      <w:proofErr w:type="spellEnd"/>
      <w:r>
        <w:t>,</w:t>
      </w:r>
      <w:r w:rsidRPr="00073E07">
        <w:t xml:space="preserve"> J</w:t>
      </w:r>
      <w:r>
        <w:t>.</w:t>
      </w:r>
      <w:r w:rsidRPr="00073E07">
        <w:t>, Lubman</w:t>
      </w:r>
      <w:r>
        <w:t>,</w:t>
      </w:r>
      <w:r w:rsidRPr="00073E07">
        <w:t xml:space="preserve"> D. </w:t>
      </w:r>
      <w:r w:rsidR="00B85BB7">
        <w:t xml:space="preserve">(2019). </w:t>
      </w:r>
      <w:r w:rsidRPr="00073E07">
        <w:t xml:space="preserve">Patterns of self-harm methods over time and the association with methods used at repeat episodes of non-fatal self-harm and suicide: A systematic review. </w:t>
      </w:r>
      <w:r w:rsidRPr="00B85BB7">
        <w:rPr>
          <w:i/>
          <w:iCs/>
        </w:rPr>
        <w:t xml:space="preserve">J Affect </w:t>
      </w:r>
      <w:proofErr w:type="spellStart"/>
      <w:r w:rsidRPr="00B85BB7">
        <w:rPr>
          <w:i/>
          <w:iCs/>
        </w:rPr>
        <w:t>Disord</w:t>
      </w:r>
      <w:proofErr w:type="spellEnd"/>
      <w:r w:rsidRPr="00073E07">
        <w:t xml:space="preserve">. </w:t>
      </w:r>
      <w:proofErr w:type="gramStart"/>
      <w:r w:rsidRPr="00073E07">
        <w:t>15;245:250</w:t>
      </w:r>
      <w:proofErr w:type="gramEnd"/>
      <w:r w:rsidRPr="00073E07">
        <w:t>–64</w:t>
      </w:r>
      <w:r w:rsidR="00B85BB7">
        <w:t xml:space="preserve">. </w:t>
      </w:r>
      <w:proofErr w:type="gramStart"/>
      <w:r w:rsidR="00B85BB7">
        <w:t>doi:</w:t>
      </w:r>
      <w:r w:rsidR="00B85BB7" w:rsidRPr="00B85BB7">
        <w:t>10.1016/j.jad</w:t>
      </w:r>
      <w:proofErr w:type="gramEnd"/>
      <w:r w:rsidR="00B85BB7" w:rsidRPr="00B85BB7">
        <w:t>.2018.11.001</w:t>
      </w:r>
    </w:p>
    <w:p w14:paraId="351C6F80" w14:textId="10AC7277" w:rsidR="00C15F8B" w:rsidRPr="00D80453" w:rsidRDefault="00C15F8B" w:rsidP="00C15F8B">
      <w:r w:rsidRPr="00D80453">
        <w:t xml:space="preserve">World Health Organization. (2014). </w:t>
      </w:r>
      <w:r w:rsidRPr="00834276">
        <w:rPr>
          <w:i/>
          <w:iCs/>
        </w:rPr>
        <w:t xml:space="preserve">Preventing suicide: </w:t>
      </w:r>
      <w:r w:rsidR="00C8486A">
        <w:rPr>
          <w:i/>
          <w:iCs/>
        </w:rPr>
        <w:t>A</w:t>
      </w:r>
      <w:r w:rsidRPr="00834276">
        <w:rPr>
          <w:i/>
          <w:iCs/>
        </w:rPr>
        <w:t xml:space="preserve"> global imperative</w:t>
      </w:r>
      <w:r w:rsidRPr="00D80453">
        <w:t xml:space="preserve">. Retrieved 30 June 2025 from </w:t>
      </w:r>
      <w:hyperlink r:id="rId58" w:history="1">
        <w:r w:rsidR="00580A9D" w:rsidRPr="007D51E9">
          <w:rPr>
            <w:rStyle w:val="Hyperlink"/>
          </w:rPr>
          <w:t>http://apps.who.int/iris/bitstream/10665/131056/1/9789241564779_eng.pdf?ua=1</w:t>
        </w:r>
      </w:hyperlink>
      <w:r w:rsidR="00580A9D">
        <w:t xml:space="preserve">  </w:t>
      </w:r>
    </w:p>
    <w:p w14:paraId="3DCC8855" w14:textId="1DEF2DF4" w:rsidR="00C15F8B" w:rsidRPr="00D80453" w:rsidRDefault="00C15F8B" w:rsidP="00C15F8B">
      <w:r w:rsidRPr="00D80453">
        <w:t>World Health Organization. (2016).</w:t>
      </w:r>
      <w:r w:rsidRPr="00D80453">
        <w:rPr>
          <w:rFonts w:ascii="Calibri" w:hAnsi="Calibri" w:cs="Calibri"/>
        </w:rPr>
        <w:t> </w:t>
      </w:r>
      <w:r w:rsidRPr="00D80453">
        <w:rPr>
          <w:i/>
          <w:iCs/>
        </w:rPr>
        <w:t>International statistical classification of diseases and related health problems</w:t>
      </w:r>
      <w:r w:rsidRPr="00D80453">
        <w:rPr>
          <w:rFonts w:ascii="Calibri" w:hAnsi="Calibri" w:cs="Calibri"/>
        </w:rPr>
        <w:t> </w:t>
      </w:r>
      <w:r w:rsidRPr="00D80453">
        <w:t>(10th ed.).</w:t>
      </w:r>
      <w:r w:rsidR="009C22BE">
        <w:t xml:space="preserve"> </w:t>
      </w:r>
      <w:r w:rsidRPr="00D80453">
        <w:t>Retrieved 20 June 2025 from</w:t>
      </w:r>
      <w:r w:rsidRPr="00D80453">
        <w:rPr>
          <w:rFonts w:ascii="Calibri" w:hAnsi="Calibri" w:cs="Calibri"/>
        </w:rPr>
        <w:t> </w:t>
      </w:r>
      <w:hyperlink r:id="rId59" w:tgtFrame="_blank" w:history="1">
        <w:r w:rsidRPr="00D80453">
          <w:rPr>
            <w:rStyle w:val="Hyperlink"/>
          </w:rPr>
          <w:t>https://icd.who.int/browse10/2016/en</w:t>
        </w:r>
      </w:hyperlink>
      <w:r w:rsidRPr="00D80453">
        <w:t>.</w:t>
      </w:r>
      <w:r w:rsidRPr="00D80453">
        <w:rPr>
          <w:rFonts w:ascii="Calibri" w:hAnsi="Calibri" w:cs="Calibri"/>
        </w:rPr>
        <w:t xml:space="preserve"> </w:t>
      </w:r>
    </w:p>
    <w:p w14:paraId="607FF13F" w14:textId="2C9874E2" w:rsidR="00CB08AE" w:rsidRPr="00D80453" w:rsidRDefault="00F72D61" w:rsidP="00A819BD">
      <w:r w:rsidRPr="00D80453">
        <w:t>World Health Organization. (2025).</w:t>
      </w:r>
      <w:r w:rsidRPr="00D80453">
        <w:rPr>
          <w:rFonts w:ascii="Calibri" w:hAnsi="Calibri" w:cs="Calibri"/>
        </w:rPr>
        <w:t> </w:t>
      </w:r>
      <w:r w:rsidR="00A311A2" w:rsidRPr="00A311A2">
        <w:rPr>
          <w:i/>
          <w:iCs/>
        </w:rPr>
        <w:t xml:space="preserve">World </w:t>
      </w:r>
      <w:r w:rsidR="006A3CFD" w:rsidRPr="00A311A2">
        <w:rPr>
          <w:i/>
          <w:iCs/>
        </w:rPr>
        <w:t>report</w:t>
      </w:r>
      <w:r w:rsidR="00A311A2" w:rsidRPr="00A311A2">
        <w:rPr>
          <w:i/>
          <w:iCs/>
        </w:rPr>
        <w:t xml:space="preserve"> on </w:t>
      </w:r>
      <w:r w:rsidR="006A3CFD" w:rsidRPr="00A311A2">
        <w:rPr>
          <w:i/>
          <w:iCs/>
        </w:rPr>
        <w:t>social determinants</w:t>
      </w:r>
      <w:r w:rsidRPr="00A311A2">
        <w:rPr>
          <w:i/>
          <w:iCs/>
        </w:rPr>
        <w:t xml:space="preserve"> of </w:t>
      </w:r>
      <w:r w:rsidR="006A3CFD" w:rsidRPr="00A311A2">
        <w:rPr>
          <w:i/>
          <w:iCs/>
        </w:rPr>
        <w:t>health equity</w:t>
      </w:r>
      <w:r w:rsidRPr="00D80453">
        <w:t xml:space="preserve">. Retrieved </w:t>
      </w:r>
      <w:r w:rsidR="001021F5">
        <w:t>2 August</w:t>
      </w:r>
      <w:r w:rsidR="00CF0DF1">
        <w:t xml:space="preserve"> </w:t>
      </w:r>
      <w:r w:rsidRPr="00D80453">
        <w:t xml:space="preserve">2025 from </w:t>
      </w:r>
      <w:hyperlink r:id="rId60" w:history="1">
        <w:r w:rsidR="00CF04AA" w:rsidRPr="00CF04AA">
          <w:rPr>
            <w:rStyle w:val="Hyperlink"/>
          </w:rPr>
          <w:t>https://www.who.int/teams/social-determinants-of-health/equity-and-health/world-report-on-social-determinants-of-health-equity</w:t>
        </w:r>
      </w:hyperlink>
      <w:r w:rsidR="00580A9D">
        <w:t xml:space="preserve"> </w:t>
      </w:r>
    </w:p>
    <w:p w14:paraId="0D48E720" w14:textId="5CF200E5" w:rsidR="004148CE" w:rsidRPr="00D80453" w:rsidRDefault="00533F39" w:rsidP="00A819BD">
      <w:r>
        <w:lastRenderedPageBreak/>
        <w:t>Yildiz</w:t>
      </w:r>
      <w:r w:rsidR="004148CE" w:rsidRPr="00D80453">
        <w:t>, E. (2018). Suicide in sexual minority populations: A systematic review of evidence-based studies.</w:t>
      </w:r>
      <w:r w:rsidR="004148CE" w:rsidRPr="00D80453">
        <w:rPr>
          <w:rFonts w:ascii="Calibri" w:hAnsi="Calibri" w:cs="Calibri"/>
        </w:rPr>
        <w:t> </w:t>
      </w:r>
      <w:r w:rsidR="004148CE" w:rsidRPr="00D80453">
        <w:rPr>
          <w:i/>
          <w:iCs/>
        </w:rPr>
        <w:t>Archives of Psychiatric Nursing</w:t>
      </w:r>
      <w:r w:rsidR="004148CE" w:rsidRPr="00D80453">
        <w:t>,</w:t>
      </w:r>
      <w:r w:rsidR="004148CE" w:rsidRPr="00D80453">
        <w:rPr>
          <w:rFonts w:ascii="Calibri" w:hAnsi="Calibri" w:cs="Calibri"/>
        </w:rPr>
        <w:t> </w:t>
      </w:r>
      <w:r w:rsidR="004148CE" w:rsidRPr="00D80453">
        <w:rPr>
          <w:i/>
          <w:iCs/>
        </w:rPr>
        <w:t>32</w:t>
      </w:r>
      <w:r w:rsidR="004148CE" w:rsidRPr="00D80453">
        <w:t>(4), 650-659.</w:t>
      </w:r>
      <w:r w:rsidR="005F6E2C" w:rsidRPr="00D80453">
        <w:t xml:space="preserve"> </w:t>
      </w:r>
      <w:proofErr w:type="gramStart"/>
      <w:r w:rsidR="005F6E2C" w:rsidRPr="00D80453">
        <w:t>doi:10.1016/j.apnu</w:t>
      </w:r>
      <w:proofErr w:type="gramEnd"/>
      <w:r w:rsidR="005F6E2C" w:rsidRPr="00D80453">
        <w:t>.2018.03.003</w:t>
      </w:r>
    </w:p>
    <w:p w14:paraId="0DEB68E5" w14:textId="4C87FD55" w:rsidR="005B580D" w:rsidRDefault="00FB4043" w:rsidP="00A819BD">
      <w:pPr>
        <w:rPr>
          <w:lang w:eastAsia="en-NZ"/>
        </w:rPr>
      </w:pPr>
      <w:proofErr w:type="spellStart"/>
      <w:r w:rsidRPr="00D80453">
        <w:rPr>
          <w:lang w:eastAsia="en-NZ"/>
        </w:rPr>
        <w:t>Zatti</w:t>
      </w:r>
      <w:proofErr w:type="spellEnd"/>
      <w:r w:rsidRPr="00D80453">
        <w:rPr>
          <w:lang w:eastAsia="en-NZ"/>
        </w:rPr>
        <w:t xml:space="preserve">, C., Rosa, V., Barros, A., Valdivia, L., </w:t>
      </w:r>
      <w:proofErr w:type="spellStart"/>
      <w:r w:rsidRPr="00D80453">
        <w:rPr>
          <w:lang w:eastAsia="en-NZ"/>
        </w:rPr>
        <w:t>Calegaro</w:t>
      </w:r>
      <w:proofErr w:type="spellEnd"/>
      <w:r w:rsidRPr="00D80453">
        <w:rPr>
          <w:lang w:eastAsia="en-NZ"/>
        </w:rPr>
        <w:t>, V. C., Freitas, L. H., ... &amp; Schuch, F. B. (2017). Childhood trauma and suicide attempt: A meta-analysis of longitudinal studies from the last decade.</w:t>
      </w:r>
      <w:r w:rsidRPr="00D80453">
        <w:rPr>
          <w:rFonts w:ascii="Calibri" w:hAnsi="Calibri" w:cs="Calibri"/>
          <w:lang w:eastAsia="en-NZ"/>
        </w:rPr>
        <w:t> </w:t>
      </w:r>
      <w:r w:rsidRPr="00D80453">
        <w:rPr>
          <w:i/>
          <w:iCs/>
          <w:lang w:eastAsia="en-NZ"/>
        </w:rPr>
        <w:t>Psychiatry Research</w:t>
      </w:r>
      <w:r w:rsidRPr="00D80453">
        <w:rPr>
          <w:lang w:eastAsia="en-NZ"/>
        </w:rPr>
        <w:t>,</w:t>
      </w:r>
      <w:r w:rsidRPr="00D80453">
        <w:rPr>
          <w:rFonts w:ascii="Calibri" w:hAnsi="Calibri" w:cs="Calibri"/>
          <w:lang w:eastAsia="en-NZ"/>
        </w:rPr>
        <w:t> </w:t>
      </w:r>
      <w:r w:rsidRPr="00D80453">
        <w:rPr>
          <w:i/>
          <w:iCs/>
          <w:lang w:eastAsia="en-NZ"/>
        </w:rPr>
        <w:t>256</w:t>
      </w:r>
      <w:r w:rsidRPr="00D80453">
        <w:rPr>
          <w:lang w:eastAsia="en-NZ"/>
        </w:rPr>
        <w:t xml:space="preserve">, 353-358. </w:t>
      </w:r>
      <w:proofErr w:type="gramStart"/>
      <w:r w:rsidRPr="00D80453">
        <w:rPr>
          <w:lang w:eastAsia="en-NZ"/>
        </w:rPr>
        <w:t>doi:</w:t>
      </w:r>
      <w:r w:rsidR="002107C3" w:rsidRPr="00D80453">
        <w:rPr>
          <w:lang w:eastAsia="en-NZ"/>
        </w:rPr>
        <w:t>10.1016/j.psychres</w:t>
      </w:r>
      <w:proofErr w:type="gramEnd"/>
      <w:r w:rsidR="002107C3" w:rsidRPr="00D80453">
        <w:rPr>
          <w:lang w:eastAsia="en-NZ"/>
        </w:rPr>
        <w:t>.2017.06.082</w:t>
      </w:r>
    </w:p>
    <w:p w14:paraId="66538321" w14:textId="77777777" w:rsidR="002C0C91" w:rsidRDefault="002C0C91" w:rsidP="00A819BD">
      <w:pPr>
        <w:sectPr w:rsidR="002C0C91" w:rsidSect="00385E27">
          <w:footerReference w:type="default" r:id="rId61"/>
          <w:pgSz w:w="11906" w:h="16838"/>
          <w:pgMar w:top="1440" w:right="1440" w:bottom="1440" w:left="1440" w:header="708" w:footer="708" w:gutter="0"/>
          <w:cols w:space="708"/>
          <w:docGrid w:linePitch="360"/>
        </w:sectPr>
      </w:pPr>
    </w:p>
    <w:p w14:paraId="33B5F3B7" w14:textId="77AEA430" w:rsidR="002C0C91" w:rsidRDefault="00D10E51" w:rsidP="00A819BD">
      <w:r w:rsidRPr="00265D31">
        <w:rPr>
          <w:noProof/>
        </w:rPr>
        <w:lastRenderedPageBreak/>
        <w:drawing>
          <wp:anchor distT="0" distB="0" distL="114300" distR="114300" simplePos="0" relativeHeight="251658241" behindDoc="1" locked="0" layoutInCell="1" allowOverlap="1" wp14:anchorId="01DDCD70" wp14:editId="3DCC54C5">
            <wp:simplePos x="0" y="0"/>
            <wp:positionH relativeFrom="column">
              <wp:posOffset>-224852</wp:posOffset>
            </wp:positionH>
            <wp:positionV relativeFrom="paragraph">
              <wp:posOffset>8669452</wp:posOffset>
            </wp:positionV>
            <wp:extent cx="3327816" cy="638909"/>
            <wp:effectExtent l="0" t="0" r="0" b="0"/>
            <wp:wrapNone/>
            <wp:docPr id="1686745832" name="Picture 6"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745832" name="Picture 6" descr="A black background with blue text&#10;&#10;AI-generated content may be incorrect."/>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340329" cy="641311"/>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C0C91" w:rsidSect="002C0C9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EB9F2" w14:textId="77777777" w:rsidR="008256F5" w:rsidRDefault="008256F5" w:rsidP="00B53C93">
      <w:pPr>
        <w:spacing w:after="0" w:line="240" w:lineRule="auto"/>
      </w:pPr>
      <w:r>
        <w:separator/>
      </w:r>
    </w:p>
  </w:endnote>
  <w:endnote w:type="continuationSeparator" w:id="0">
    <w:p w14:paraId="73885B11" w14:textId="77777777" w:rsidR="008256F5" w:rsidRDefault="008256F5" w:rsidP="00B53C93">
      <w:pPr>
        <w:spacing w:after="0" w:line="240" w:lineRule="auto"/>
      </w:pPr>
      <w:r>
        <w:continuationSeparator/>
      </w:r>
    </w:p>
  </w:endnote>
  <w:endnote w:type="continuationNotice" w:id="1">
    <w:p w14:paraId="05BEDEDE" w14:textId="77777777" w:rsidR="008256F5" w:rsidRDefault="008256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sic Sans Light">
    <w:altName w:val="Calibri"/>
    <w:panose1 w:val="000004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sic Sans">
    <w:altName w:val="Calibri"/>
    <w:panose1 w:val="00000500000000000000"/>
    <w:charset w:val="00"/>
    <w:family w:val="modern"/>
    <w:notTrueType/>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mos Next Pro Heavy">
    <w:panose1 w:val="020F0904060205020204"/>
    <w:charset w:val="00"/>
    <w:family w:val="swiss"/>
    <w:notTrueType/>
    <w:pitch w:val="variable"/>
    <w:sig w:usb0="A000002F" w:usb1="00000001"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8E80" w14:textId="77777777" w:rsidR="00D47DE1" w:rsidRDefault="00D47DE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0"/>
        <w:szCs w:val="20"/>
      </w:rPr>
      <w:id w:val="-2038488021"/>
      <w:docPartObj>
        <w:docPartGallery w:val="Page Numbers (Bottom of Page)"/>
        <w:docPartUnique/>
      </w:docPartObj>
    </w:sdtPr>
    <w:sdtContent>
      <w:sdt>
        <w:sdtPr>
          <w:rPr>
            <w:b/>
            <w:bCs/>
            <w:sz w:val="20"/>
            <w:szCs w:val="20"/>
          </w:rPr>
          <w:id w:val="-1032192753"/>
          <w:docPartObj>
            <w:docPartGallery w:val="Page Numbers (Top of Page)"/>
            <w:docPartUnique/>
          </w:docPartObj>
        </w:sdtPr>
        <w:sdtContent>
          <w:p w14:paraId="42DC9A7E" w14:textId="6AAB8C59" w:rsidR="008D5D89" w:rsidRPr="00C447BD" w:rsidRDefault="008D5D89" w:rsidP="00AE3710">
            <w:pPr>
              <w:pStyle w:val="Footer"/>
              <w:rPr>
                <w:b/>
                <w:bCs/>
                <w:sz w:val="20"/>
                <w:szCs w:val="20"/>
              </w:rPr>
            </w:pPr>
            <w:r w:rsidRPr="00C447BD">
              <w:rPr>
                <w:b/>
                <w:bCs/>
                <w:sz w:val="20"/>
                <w:szCs w:val="20"/>
              </w:rPr>
              <w:t xml:space="preserve">Review of suicide and self-harm monitoring indicators </w:t>
            </w:r>
            <w:r>
              <w:rPr>
                <w:b/>
                <w:bCs/>
                <w:sz w:val="20"/>
                <w:szCs w:val="20"/>
              </w:rPr>
              <w:t>(October 2025)</w:t>
            </w:r>
            <w:r w:rsidRPr="00C447BD">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C447BD">
              <w:rPr>
                <w:b/>
                <w:bCs/>
                <w:sz w:val="20"/>
                <w:szCs w:val="20"/>
              </w:rPr>
              <w:t xml:space="preserve">Page </w:t>
            </w:r>
            <w:r w:rsidRPr="00C447BD">
              <w:rPr>
                <w:b/>
                <w:bCs/>
                <w:sz w:val="20"/>
                <w:szCs w:val="20"/>
              </w:rPr>
              <w:fldChar w:fldCharType="begin"/>
            </w:r>
            <w:r w:rsidRPr="00C447BD">
              <w:rPr>
                <w:b/>
                <w:bCs/>
                <w:sz w:val="20"/>
                <w:szCs w:val="20"/>
              </w:rPr>
              <w:instrText xml:space="preserve"> PAGE </w:instrText>
            </w:r>
            <w:r w:rsidRPr="00C447BD">
              <w:rPr>
                <w:b/>
                <w:bCs/>
                <w:sz w:val="20"/>
                <w:szCs w:val="20"/>
              </w:rPr>
              <w:fldChar w:fldCharType="separate"/>
            </w:r>
            <w:r w:rsidRPr="00C447BD">
              <w:rPr>
                <w:b/>
                <w:bCs/>
                <w:noProof/>
                <w:sz w:val="20"/>
                <w:szCs w:val="20"/>
              </w:rPr>
              <w:t>2</w:t>
            </w:r>
            <w:r w:rsidRPr="00C447BD">
              <w:rPr>
                <w:b/>
                <w:bCs/>
                <w:sz w:val="20"/>
                <w:szCs w:val="20"/>
              </w:rPr>
              <w:fldChar w:fldCharType="end"/>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0"/>
        <w:szCs w:val="20"/>
      </w:rPr>
      <w:id w:val="-812629993"/>
      <w:docPartObj>
        <w:docPartGallery w:val="Page Numbers (Bottom of Page)"/>
        <w:docPartUnique/>
      </w:docPartObj>
    </w:sdtPr>
    <w:sdtContent>
      <w:sdt>
        <w:sdtPr>
          <w:rPr>
            <w:b/>
            <w:bCs/>
            <w:sz w:val="20"/>
            <w:szCs w:val="20"/>
          </w:rPr>
          <w:id w:val="293340718"/>
          <w:docPartObj>
            <w:docPartGallery w:val="Page Numbers (Top of Page)"/>
            <w:docPartUnique/>
          </w:docPartObj>
        </w:sdtPr>
        <w:sdtContent>
          <w:p w14:paraId="3221DB98" w14:textId="139C8D2B" w:rsidR="00CE55F7" w:rsidRPr="00C447BD" w:rsidRDefault="00CE55F7" w:rsidP="00AE3710">
            <w:pPr>
              <w:pStyle w:val="Footer"/>
              <w:rPr>
                <w:b/>
                <w:bCs/>
                <w:sz w:val="20"/>
                <w:szCs w:val="20"/>
              </w:rPr>
            </w:pPr>
            <w:r w:rsidRPr="00C447BD">
              <w:rPr>
                <w:b/>
                <w:bCs/>
                <w:sz w:val="20"/>
                <w:szCs w:val="20"/>
              </w:rPr>
              <w:t xml:space="preserve">Review of suicide and self-harm monitoring indicators </w:t>
            </w:r>
            <w:r>
              <w:rPr>
                <w:b/>
                <w:bCs/>
                <w:sz w:val="20"/>
                <w:szCs w:val="20"/>
              </w:rPr>
              <w:t>(October 2025)</w:t>
            </w:r>
            <w:r w:rsidRPr="00C447BD">
              <w:rPr>
                <w:b/>
                <w:bCs/>
                <w:sz w:val="20"/>
                <w:szCs w:val="20"/>
              </w:rPr>
              <w:tab/>
              <w:t xml:space="preserve">Page </w:t>
            </w:r>
            <w:r w:rsidRPr="00C447BD">
              <w:rPr>
                <w:b/>
                <w:bCs/>
                <w:sz w:val="20"/>
                <w:szCs w:val="20"/>
              </w:rPr>
              <w:fldChar w:fldCharType="begin"/>
            </w:r>
            <w:r w:rsidRPr="00C447BD">
              <w:rPr>
                <w:b/>
                <w:bCs/>
                <w:sz w:val="20"/>
                <w:szCs w:val="20"/>
              </w:rPr>
              <w:instrText xml:space="preserve"> PAGE </w:instrText>
            </w:r>
            <w:r w:rsidRPr="00C447BD">
              <w:rPr>
                <w:b/>
                <w:bCs/>
                <w:sz w:val="20"/>
                <w:szCs w:val="20"/>
              </w:rPr>
              <w:fldChar w:fldCharType="separate"/>
            </w:r>
            <w:r w:rsidRPr="00C447BD">
              <w:rPr>
                <w:b/>
                <w:bCs/>
                <w:noProof/>
                <w:sz w:val="20"/>
                <w:szCs w:val="20"/>
              </w:rPr>
              <w:t>2</w:t>
            </w:r>
            <w:r w:rsidRPr="00C447BD">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0"/>
        <w:szCs w:val="20"/>
      </w:rPr>
      <w:id w:val="1184177122"/>
      <w:docPartObj>
        <w:docPartGallery w:val="Page Numbers (Bottom of Page)"/>
        <w:docPartUnique/>
      </w:docPartObj>
    </w:sdtPr>
    <w:sdtContent>
      <w:sdt>
        <w:sdtPr>
          <w:rPr>
            <w:b/>
            <w:bCs/>
            <w:sz w:val="20"/>
            <w:szCs w:val="20"/>
          </w:rPr>
          <w:id w:val="-1769616900"/>
          <w:docPartObj>
            <w:docPartGallery w:val="Page Numbers (Top of Page)"/>
            <w:docPartUnique/>
          </w:docPartObj>
        </w:sdtPr>
        <w:sdtContent>
          <w:p w14:paraId="3CA4AB61" w14:textId="47F77BE3" w:rsidR="00B53C93" w:rsidRPr="00C447BD" w:rsidRDefault="00F11D9E" w:rsidP="00D47DE1">
            <w:pPr>
              <w:pStyle w:val="Footer"/>
              <w:tabs>
                <w:tab w:val="left" w:pos="8250"/>
              </w:tabs>
              <w:rPr>
                <w:b/>
                <w:bCs/>
                <w:sz w:val="20"/>
                <w:szCs w:val="20"/>
              </w:rPr>
            </w:pPr>
            <w:r w:rsidRPr="00C447BD">
              <w:rPr>
                <w:b/>
                <w:bCs/>
                <w:sz w:val="20"/>
                <w:szCs w:val="20"/>
              </w:rPr>
              <w:t xml:space="preserve">Review of suicide and self-harm monitoring indicators </w:t>
            </w:r>
            <w:r w:rsidR="001B16E0">
              <w:rPr>
                <w:b/>
                <w:bCs/>
                <w:sz w:val="20"/>
                <w:szCs w:val="20"/>
              </w:rPr>
              <w:t>(October 2025)</w:t>
            </w:r>
            <w:r w:rsidRPr="00C447BD">
              <w:rPr>
                <w:b/>
                <w:bCs/>
                <w:sz w:val="20"/>
                <w:szCs w:val="20"/>
              </w:rPr>
              <w:tab/>
            </w:r>
            <w:r w:rsidR="00B53C93" w:rsidRPr="00C447BD">
              <w:rPr>
                <w:b/>
                <w:bCs/>
                <w:sz w:val="20"/>
                <w:szCs w:val="20"/>
              </w:rPr>
              <w:t xml:space="preserve">Page </w:t>
            </w:r>
            <w:r w:rsidR="00B53C93" w:rsidRPr="00C447BD">
              <w:rPr>
                <w:b/>
                <w:bCs/>
                <w:sz w:val="20"/>
                <w:szCs w:val="20"/>
              </w:rPr>
              <w:fldChar w:fldCharType="begin"/>
            </w:r>
            <w:r w:rsidR="00B53C93" w:rsidRPr="00C447BD">
              <w:rPr>
                <w:b/>
                <w:bCs/>
                <w:sz w:val="20"/>
                <w:szCs w:val="20"/>
              </w:rPr>
              <w:instrText xml:space="preserve"> PAGE </w:instrText>
            </w:r>
            <w:r w:rsidR="00B53C93" w:rsidRPr="00C447BD">
              <w:rPr>
                <w:b/>
                <w:bCs/>
                <w:sz w:val="20"/>
                <w:szCs w:val="20"/>
              </w:rPr>
              <w:fldChar w:fldCharType="separate"/>
            </w:r>
            <w:r w:rsidR="00B53C93" w:rsidRPr="00C447BD">
              <w:rPr>
                <w:b/>
                <w:bCs/>
                <w:noProof/>
                <w:sz w:val="20"/>
                <w:szCs w:val="20"/>
              </w:rPr>
              <w:t>2</w:t>
            </w:r>
            <w:r w:rsidR="00B53C93" w:rsidRPr="00C447BD">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F524" w14:textId="165C321F" w:rsidR="002E0F4F" w:rsidRDefault="002E0F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0"/>
        <w:szCs w:val="20"/>
      </w:rPr>
      <w:id w:val="1949814403"/>
      <w:docPartObj>
        <w:docPartGallery w:val="Page Numbers (Bottom of Page)"/>
        <w:docPartUnique/>
      </w:docPartObj>
    </w:sdtPr>
    <w:sdtContent>
      <w:sdt>
        <w:sdtPr>
          <w:rPr>
            <w:b/>
            <w:bCs/>
            <w:sz w:val="20"/>
            <w:szCs w:val="20"/>
          </w:rPr>
          <w:id w:val="-606279588"/>
          <w:docPartObj>
            <w:docPartGallery w:val="Page Numbers (Top of Page)"/>
            <w:docPartUnique/>
          </w:docPartObj>
        </w:sdtPr>
        <w:sdtContent>
          <w:p w14:paraId="2322CDA7" w14:textId="77777777" w:rsidR="00285187" w:rsidRPr="00C447BD" w:rsidRDefault="00E75D47" w:rsidP="00D47DE1">
            <w:pPr>
              <w:pStyle w:val="Footer"/>
              <w:tabs>
                <w:tab w:val="left" w:pos="8250"/>
              </w:tabs>
              <w:rPr>
                <w:b/>
                <w:sz w:val="20"/>
                <w:szCs w:val="20"/>
              </w:rPr>
            </w:pPr>
            <w:r w:rsidRPr="00C447BD">
              <w:rPr>
                <w:b/>
                <w:bCs/>
                <w:sz w:val="20"/>
                <w:szCs w:val="20"/>
              </w:rPr>
              <w:t xml:space="preserve">Review of suicide and self-harm monitoring indicators </w:t>
            </w:r>
            <w:r>
              <w:rPr>
                <w:b/>
                <w:bCs/>
                <w:sz w:val="20"/>
                <w:szCs w:val="20"/>
              </w:rPr>
              <w:t>(October 2025)</w:t>
            </w:r>
            <w:r w:rsidRPr="00C447BD">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C447BD">
              <w:rPr>
                <w:b/>
                <w:bCs/>
                <w:sz w:val="20"/>
                <w:szCs w:val="20"/>
              </w:rPr>
              <w:t xml:space="preserve">Page </w:t>
            </w:r>
            <w:r w:rsidRPr="00C447BD">
              <w:rPr>
                <w:b/>
                <w:bCs/>
                <w:sz w:val="20"/>
                <w:szCs w:val="20"/>
              </w:rPr>
              <w:fldChar w:fldCharType="begin"/>
            </w:r>
            <w:r w:rsidRPr="00C447BD">
              <w:rPr>
                <w:b/>
                <w:bCs/>
                <w:sz w:val="20"/>
                <w:szCs w:val="20"/>
              </w:rPr>
              <w:instrText xml:space="preserve"> PAGE </w:instrText>
            </w:r>
            <w:r w:rsidRPr="00C447BD">
              <w:rPr>
                <w:b/>
                <w:bCs/>
                <w:sz w:val="20"/>
                <w:szCs w:val="20"/>
              </w:rPr>
              <w:fldChar w:fldCharType="separate"/>
            </w:r>
            <w:r w:rsidRPr="00C447BD">
              <w:rPr>
                <w:b/>
                <w:bCs/>
                <w:noProof/>
                <w:sz w:val="20"/>
                <w:szCs w:val="20"/>
              </w:rPr>
              <w:t>2</w:t>
            </w:r>
            <w:r w:rsidRPr="00C447BD">
              <w:rPr>
                <w:b/>
                <w:bCs/>
                <w:sz w:val="20"/>
                <w:szCs w:val="20"/>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0"/>
        <w:szCs w:val="20"/>
      </w:rPr>
      <w:id w:val="1439253831"/>
      <w:docPartObj>
        <w:docPartGallery w:val="Page Numbers (Bottom of Page)"/>
        <w:docPartUnique/>
      </w:docPartObj>
    </w:sdtPr>
    <w:sdtContent>
      <w:sdt>
        <w:sdtPr>
          <w:rPr>
            <w:b/>
            <w:bCs/>
            <w:sz w:val="20"/>
            <w:szCs w:val="20"/>
          </w:rPr>
          <w:id w:val="340601464"/>
          <w:docPartObj>
            <w:docPartGallery w:val="Page Numbers (Top of Page)"/>
            <w:docPartUnique/>
          </w:docPartObj>
        </w:sdtPr>
        <w:sdtContent>
          <w:p w14:paraId="473C1B4C" w14:textId="3DDA0E32" w:rsidR="00954882" w:rsidRPr="00C447BD" w:rsidRDefault="00954882" w:rsidP="00954882">
            <w:pPr>
              <w:pStyle w:val="Footer"/>
              <w:rPr>
                <w:b/>
                <w:bCs/>
                <w:sz w:val="20"/>
                <w:szCs w:val="20"/>
              </w:rPr>
            </w:pPr>
            <w:r w:rsidRPr="00C447BD">
              <w:rPr>
                <w:b/>
                <w:bCs/>
                <w:sz w:val="20"/>
                <w:szCs w:val="20"/>
              </w:rPr>
              <w:t xml:space="preserve">Review of suicide and self-harm monitoring indicators </w:t>
            </w:r>
            <w:r>
              <w:rPr>
                <w:b/>
                <w:bCs/>
                <w:sz w:val="20"/>
                <w:szCs w:val="20"/>
              </w:rPr>
              <w:t>(October 2025)</w:t>
            </w:r>
            <w:r w:rsidRPr="00C447BD">
              <w:rPr>
                <w:b/>
                <w:bCs/>
                <w:sz w:val="20"/>
                <w:szCs w:val="20"/>
              </w:rPr>
              <w:tab/>
              <w:t xml:space="preserve">Page </w:t>
            </w:r>
            <w:r w:rsidRPr="00C447BD">
              <w:rPr>
                <w:b/>
                <w:bCs/>
                <w:sz w:val="20"/>
                <w:szCs w:val="20"/>
              </w:rPr>
              <w:fldChar w:fldCharType="begin"/>
            </w:r>
            <w:r w:rsidRPr="00C447BD">
              <w:rPr>
                <w:b/>
                <w:bCs/>
                <w:sz w:val="20"/>
                <w:szCs w:val="20"/>
              </w:rPr>
              <w:instrText xml:space="preserve"> PAGE </w:instrText>
            </w:r>
            <w:r w:rsidRPr="00C447BD">
              <w:rPr>
                <w:b/>
                <w:bCs/>
                <w:sz w:val="20"/>
                <w:szCs w:val="20"/>
              </w:rPr>
              <w:fldChar w:fldCharType="separate"/>
            </w:r>
            <w:r w:rsidRPr="00C447BD">
              <w:rPr>
                <w:b/>
                <w:bCs/>
                <w:noProof/>
                <w:sz w:val="20"/>
                <w:szCs w:val="20"/>
              </w:rPr>
              <w:t>2</w:t>
            </w:r>
            <w:r w:rsidRPr="00C447BD">
              <w:rPr>
                <w:b/>
                <w:bCs/>
                <w:sz w:val="20"/>
                <w:szCs w:val="20"/>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0"/>
        <w:szCs w:val="20"/>
      </w:rPr>
      <w:id w:val="-686594912"/>
      <w:docPartObj>
        <w:docPartGallery w:val="Page Numbers (Bottom of Page)"/>
        <w:docPartUnique/>
      </w:docPartObj>
    </w:sdtPr>
    <w:sdtContent>
      <w:sdt>
        <w:sdtPr>
          <w:rPr>
            <w:b/>
            <w:bCs/>
            <w:sz w:val="20"/>
            <w:szCs w:val="20"/>
          </w:rPr>
          <w:id w:val="-1613202213"/>
          <w:docPartObj>
            <w:docPartGallery w:val="Page Numbers (Top of Page)"/>
            <w:docPartUnique/>
          </w:docPartObj>
        </w:sdtPr>
        <w:sdtContent>
          <w:p w14:paraId="186EC4AF" w14:textId="4D2822CE" w:rsidR="00E16300" w:rsidRPr="00C447BD" w:rsidRDefault="00E16300" w:rsidP="00D47DE1">
            <w:pPr>
              <w:pStyle w:val="Footer"/>
              <w:tabs>
                <w:tab w:val="left" w:pos="8250"/>
              </w:tabs>
              <w:rPr>
                <w:b/>
                <w:bCs/>
                <w:sz w:val="20"/>
                <w:szCs w:val="20"/>
              </w:rPr>
            </w:pPr>
            <w:r w:rsidRPr="00C447BD">
              <w:rPr>
                <w:b/>
                <w:bCs/>
                <w:sz w:val="20"/>
                <w:szCs w:val="20"/>
              </w:rPr>
              <w:t xml:space="preserve">Review of suicide and self-harm monitoring indicators </w:t>
            </w:r>
            <w:r>
              <w:rPr>
                <w:b/>
                <w:bCs/>
                <w:sz w:val="20"/>
                <w:szCs w:val="20"/>
              </w:rPr>
              <w:t>(October 2025)</w:t>
            </w:r>
            <w:r w:rsidRPr="00C447BD">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C447BD">
              <w:rPr>
                <w:b/>
                <w:bCs/>
                <w:sz w:val="20"/>
                <w:szCs w:val="20"/>
              </w:rPr>
              <w:t xml:space="preserve">Page </w:t>
            </w:r>
            <w:r w:rsidRPr="00C447BD">
              <w:rPr>
                <w:b/>
                <w:bCs/>
                <w:sz w:val="20"/>
                <w:szCs w:val="20"/>
              </w:rPr>
              <w:fldChar w:fldCharType="begin"/>
            </w:r>
            <w:r w:rsidRPr="00C447BD">
              <w:rPr>
                <w:b/>
                <w:bCs/>
                <w:sz w:val="20"/>
                <w:szCs w:val="20"/>
              </w:rPr>
              <w:instrText xml:space="preserve"> PAGE </w:instrText>
            </w:r>
            <w:r w:rsidRPr="00C447BD">
              <w:rPr>
                <w:b/>
                <w:bCs/>
                <w:sz w:val="20"/>
                <w:szCs w:val="20"/>
              </w:rPr>
              <w:fldChar w:fldCharType="separate"/>
            </w:r>
            <w:r w:rsidRPr="00C447BD">
              <w:rPr>
                <w:b/>
                <w:bCs/>
                <w:noProof/>
                <w:sz w:val="20"/>
                <w:szCs w:val="20"/>
              </w:rPr>
              <w:t>2</w:t>
            </w:r>
            <w:r w:rsidRPr="00C447BD">
              <w:rPr>
                <w:b/>
                <w:bCs/>
                <w:sz w:val="20"/>
                <w:szCs w:val="20"/>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0"/>
        <w:szCs w:val="20"/>
      </w:rPr>
      <w:id w:val="-1266605465"/>
      <w:docPartObj>
        <w:docPartGallery w:val="Page Numbers (Bottom of Page)"/>
        <w:docPartUnique/>
      </w:docPartObj>
    </w:sdtPr>
    <w:sdtContent>
      <w:sdt>
        <w:sdtPr>
          <w:rPr>
            <w:b/>
            <w:bCs/>
            <w:sz w:val="20"/>
            <w:szCs w:val="20"/>
          </w:rPr>
          <w:id w:val="333269731"/>
          <w:docPartObj>
            <w:docPartGallery w:val="Page Numbers (Top of Page)"/>
            <w:docPartUnique/>
          </w:docPartObj>
        </w:sdtPr>
        <w:sdtContent>
          <w:p w14:paraId="1D86CD6A" w14:textId="42D5BB24" w:rsidR="00E16300" w:rsidRPr="00C447BD" w:rsidRDefault="00E16300" w:rsidP="00AE3710">
            <w:pPr>
              <w:pStyle w:val="Footer"/>
              <w:rPr>
                <w:b/>
                <w:bCs/>
                <w:sz w:val="20"/>
                <w:szCs w:val="20"/>
              </w:rPr>
            </w:pPr>
            <w:r w:rsidRPr="00C447BD">
              <w:rPr>
                <w:b/>
                <w:bCs/>
                <w:sz w:val="20"/>
                <w:szCs w:val="20"/>
              </w:rPr>
              <w:t xml:space="preserve">Review of suicide and self-harm monitoring indicators </w:t>
            </w:r>
            <w:r>
              <w:rPr>
                <w:b/>
                <w:bCs/>
                <w:sz w:val="20"/>
                <w:szCs w:val="20"/>
              </w:rPr>
              <w:t>(October 2025)</w:t>
            </w:r>
            <w:r w:rsidRPr="00C447BD">
              <w:rPr>
                <w:b/>
                <w:bCs/>
                <w:sz w:val="20"/>
                <w:szCs w:val="20"/>
              </w:rPr>
              <w:tab/>
              <w:t xml:space="preserve">Page </w:t>
            </w:r>
            <w:r w:rsidRPr="00C447BD">
              <w:rPr>
                <w:b/>
                <w:bCs/>
                <w:sz w:val="20"/>
                <w:szCs w:val="20"/>
              </w:rPr>
              <w:fldChar w:fldCharType="begin"/>
            </w:r>
            <w:r w:rsidRPr="00C447BD">
              <w:rPr>
                <w:b/>
                <w:bCs/>
                <w:sz w:val="20"/>
                <w:szCs w:val="20"/>
              </w:rPr>
              <w:instrText xml:space="preserve"> PAGE </w:instrText>
            </w:r>
            <w:r w:rsidRPr="00C447BD">
              <w:rPr>
                <w:b/>
                <w:bCs/>
                <w:sz w:val="20"/>
                <w:szCs w:val="20"/>
              </w:rPr>
              <w:fldChar w:fldCharType="separate"/>
            </w:r>
            <w:r w:rsidRPr="00C447BD">
              <w:rPr>
                <w:b/>
                <w:bCs/>
                <w:noProof/>
                <w:sz w:val="20"/>
                <w:szCs w:val="20"/>
              </w:rPr>
              <w:t>2</w:t>
            </w:r>
            <w:r w:rsidRPr="00C447BD">
              <w:rPr>
                <w:b/>
                <w:bCs/>
                <w:sz w:val="20"/>
                <w:szCs w:val="20"/>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0"/>
        <w:szCs w:val="20"/>
      </w:rPr>
      <w:id w:val="-1764597419"/>
      <w:docPartObj>
        <w:docPartGallery w:val="Page Numbers (Bottom of Page)"/>
        <w:docPartUnique/>
      </w:docPartObj>
    </w:sdtPr>
    <w:sdtContent>
      <w:sdt>
        <w:sdtPr>
          <w:rPr>
            <w:b/>
            <w:bCs/>
            <w:sz w:val="20"/>
            <w:szCs w:val="20"/>
          </w:rPr>
          <w:id w:val="1277597892"/>
          <w:docPartObj>
            <w:docPartGallery w:val="Page Numbers (Top of Page)"/>
            <w:docPartUnique/>
          </w:docPartObj>
        </w:sdtPr>
        <w:sdtContent>
          <w:p w14:paraId="013742A4" w14:textId="51A5D521" w:rsidR="00954882" w:rsidRPr="00C447BD" w:rsidRDefault="00954882" w:rsidP="00AE3710">
            <w:pPr>
              <w:pStyle w:val="Footer"/>
              <w:rPr>
                <w:b/>
                <w:bCs/>
                <w:sz w:val="20"/>
                <w:szCs w:val="20"/>
              </w:rPr>
            </w:pPr>
            <w:r w:rsidRPr="00C447BD">
              <w:rPr>
                <w:b/>
                <w:bCs/>
                <w:sz w:val="20"/>
                <w:szCs w:val="20"/>
              </w:rPr>
              <w:t xml:space="preserve">Review of suicide and self-harm monitoring indicators </w:t>
            </w:r>
            <w:r>
              <w:rPr>
                <w:b/>
                <w:bCs/>
                <w:sz w:val="20"/>
                <w:szCs w:val="20"/>
              </w:rPr>
              <w:t>(October 2025)</w:t>
            </w:r>
            <w:r w:rsidRPr="00C447BD">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C447BD">
              <w:rPr>
                <w:b/>
                <w:bCs/>
                <w:sz w:val="20"/>
                <w:szCs w:val="20"/>
              </w:rPr>
              <w:t xml:space="preserve">Page </w:t>
            </w:r>
            <w:r w:rsidRPr="00C447BD">
              <w:rPr>
                <w:b/>
                <w:bCs/>
                <w:sz w:val="20"/>
                <w:szCs w:val="20"/>
              </w:rPr>
              <w:fldChar w:fldCharType="begin"/>
            </w:r>
            <w:r w:rsidRPr="00C447BD">
              <w:rPr>
                <w:b/>
                <w:bCs/>
                <w:sz w:val="20"/>
                <w:szCs w:val="20"/>
              </w:rPr>
              <w:instrText xml:space="preserve"> PAGE </w:instrText>
            </w:r>
            <w:r w:rsidRPr="00C447BD">
              <w:rPr>
                <w:b/>
                <w:bCs/>
                <w:sz w:val="20"/>
                <w:szCs w:val="20"/>
              </w:rPr>
              <w:fldChar w:fldCharType="separate"/>
            </w:r>
            <w:r w:rsidRPr="00C447BD">
              <w:rPr>
                <w:b/>
                <w:bCs/>
                <w:noProof/>
                <w:sz w:val="20"/>
                <w:szCs w:val="20"/>
              </w:rPr>
              <w:t>2</w:t>
            </w:r>
            <w:r w:rsidRPr="00C447BD">
              <w:rPr>
                <w:b/>
                <w:bCs/>
                <w:sz w:val="20"/>
                <w:szCs w:val="20"/>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0"/>
        <w:szCs w:val="20"/>
      </w:rPr>
      <w:id w:val="1709920930"/>
      <w:docPartObj>
        <w:docPartGallery w:val="Page Numbers (Bottom of Page)"/>
        <w:docPartUnique/>
      </w:docPartObj>
    </w:sdtPr>
    <w:sdtContent>
      <w:sdt>
        <w:sdtPr>
          <w:rPr>
            <w:b/>
            <w:bCs/>
            <w:sz w:val="20"/>
            <w:szCs w:val="20"/>
          </w:rPr>
          <w:id w:val="1745141448"/>
          <w:docPartObj>
            <w:docPartGallery w:val="Page Numbers (Top of Page)"/>
            <w:docPartUnique/>
          </w:docPartObj>
        </w:sdtPr>
        <w:sdtContent>
          <w:p w14:paraId="34F8B1AB" w14:textId="72C11406" w:rsidR="00954882" w:rsidRPr="00C447BD" w:rsidRDefault="00954882" w:rsidP="00AE3710">
            <w:pPr>
              <w:pStyle w:val="Footer"/>
              <w:rPr>
                <w:b/>
                <w:bCs/>
                <w:sz w:val="20"/>
                <w:szCs w:val="20"/>
              </w:rPr>
            </w:pPr>
            <w:r w:rsidRPr="00C447BD">
              <w:rPr>
                <w:b/>
                <w:bCs/>
                <w:sz w:val="20"/>
                <w:szCs w:val="20"/>
              </w:rPr>
              <w:t xml:space="preserve">Review of suicide and self-harm monitoring indicators </w:t>
            </w:r>
            <w:r>
              <w:rPr>
                <w:b/>
                <w:bCs/>
                <w:sz w:val="20"/>
                <w:szCs w:val="20"/>
              </w:rPr>
              <w:t>(October 2025)</w:t>
            </w:r>
            <w:r w:rsidRPr="00C447BD">
              <w:rPr>
                <w:b/>
                <w:bCs/>
                <w:sz w:val="20"/>
                <w:szCs w:val="20"/>
              </w:rPr>
              <w:tab/>
              <w:t xml:space="preserve">Page </w:t>
            </w:r>
            <w:r w:rsidRPr="00C447BD">
              <w:rPr>
                <w:b/>
                <w:bCs/>
                <w:sz w:val="20"/>
                <w:szCs w:val="20"/>
              </w:rPr>
              <w:fldChar w:fldCharType="begin"/>
            </w:r>
            <w:r w:rsidRPr="00C447BD">
              <w:rPr>
                <w:b/>
                <w:bCs/>
                <w:sz w:val="20"/>
                <w:szCs w:val="20"/>
              </w:rPr>
              <w:instrText xml:space="preserve"> PAGE </w:instrText>
            </w:r>
            <w:r w:rsidRPr="00C447BD">
              <w:rPr>
                <w:b/>
                <w:bCs/>
                <w:sz w:val="20"/>
                <w:szCs w:val="20"/>
              </w:rPr>
              <w:fldChar w:fldCharType="separate"/>
            </w:r>
            <w:r w:rsidRPr="00C447BD">
              <w:rPr>
                <w:b/>
                <w:bCs/>
                <w:noProof/>
                <w:sz w:val="20"/>
                <w:szCs w:val="20"/>
              </w:rPr>
              <w:t>2</w:t>
            </w:r>
            <w:r w:rsidRPr="00C447BD">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752CF" w14:textId="77777777" w:rsidR="008256F5" w:rsidRDefault="008256F5" w:rsidP="00B53C93">
      <w:pPr>
        <w:spacing w:after="0" w:line="240" w:lineRule="auto"/>
      </w:pPr>
      <w:r>
        <w:separator/>
      </w:r>
    </w:p>
  </w:footnote>
  <w:footnote w:type="continuationSeparator" w:id="0">
    <w:p w14:paraId="4CC1FCC5" w14:textId="77777777" w:rsidR="008256F5" w:rsidRDefault="008256F5" w:rsidP="00B53C93">
      <w:pPr>
        <w:spacing w:after="0" w:line="240" w:lineRule="auto"/>
      </w:pPr>
      <w:r>
        <w:continuationSeparator/>
      </w:r>
    </w:p>
  </w:footnote>
  <w:footnote w:type="continuationNotice" w:id="1">
    <w:p w14:paraId="4506AEA8" w14:textId="77777777" w:rsidR="008256F5" w:rsidRDefault="008256F5">
      <w:pPr>
        <w:spacing w:after="0" w:line="240" w:lineRule="auto"/>
      </w:pPr>
    </w:p>
  </w:footnote>
  <w:footnote w:id="2">
    <w:p w14:paraId="605EC548" w14:textId="0579B0DC" w:rsidR="00ED49D3" w:rsidRPr="006F60F9" w:rsidRDefault="00ED49D3" w:rsidP="00ED49D3">
      <w:pPr>
        <w:pStyle w:val="FootnoteText"/>
      </w:pPr>
      <w:r w:rsidRPr="006F60F9">
        <w:rPr>
          <w:rStyle w:val="FootnoteReference"/>
        </w:rPr>
        <w:footnoteRef/>
      </w:r>
      <w:r w:rsidRPr="006F60F9">
        <w:t xml:space="preserve"> We define self-harm as ‘self-poisoning or injury, irrespective of apparent purpose of the act’ (National Institute for Health and Care Excellence, 2022, p 77).</w:t>
      </w:r>
      <w:r w:rsidR="00AC6BA0" w:rsidRPr="00906AF4">
        <w:t xml:space="preserve"> </w:t>
      </w:r>
      <w:r w:rsidR="00F463FB" w:rsidRPr="00906AF4">
        <w:t xml:space="preserve"> We recognise that the term 'self-harm' may not accurately reflect the lived experience of individuals, the term is used in this context as it describes a defined measure.</w:t>
      </w:r>
    </w:p>
  </w:footnote>
  <w:footnote w:id="3">
    <w:p w14:paraId="0D02EB6D" w14:textId="3D422677" w:rsidR="00B53092" w:rsidRPr="006F60F9" w:rsidRDefault="00B53092" w:rsidP="00B53092">
      <w:pPr>
        <w:pStyle w:val="FootnoteText"/>
      </w:pPr>
      <w:r w:rsidRPr="006F60F9">
        <w:rPr>
          <w:rStyle w:val="FootnoteReference"/>
        </w:rPr>
        <w:footnoteRef/>
      </w:r>
      <w:r w:rsidRPr="006F60F9">
        <w:t xml:space="preserve"> </w:t>
      </w:r>
      <w:r w:rsidR="000B1A2F" w:rsidRPr="006F60F9">
        <w:t>We</w:t>
      </w:r>
      <w:r w:rsidRPr="006F60F9">
        <w:t xml:space="preserve"> use Results Based Accountability terminology. This means we use the term ‘indicators’ in relation to whole populations and ‘measures’ in relation to people who use services. For ease of use in this </w:t>
      </w:r>
      <w:r w:rsidR="00520AF0" w:rsidRPr="006F60F9">
        <w:t>paper</w:t>
      </w:r>
      <w:r w:rsidRPr="006F60F9">
        <w:t>, the term ‘indicators’ has been used throughout.</w:t>
      </w:r>
      <w:r w:rsidR="00813C37">
        <w:t xml:space="preserve"> </w:t>
      </w:r>
    </w:p>
  </w:footnote>
  <w:footnote w:id="4">
    <w:p w14:paraId="4C1B0D25" w14:textId="13212062" w:rsidR="00A50A30" w:rsidRPr="006F60F9" w:rsidRDefault="00A50A30">
      <w:pPr>
        <w:pStyle w:val="FootnoteText"/>
      </w:pPr>
      <w:r w:rsidRPr="006F60F9">
        <w:rPr>
          <w:rStyle w:val="FootnoteReference"/>
        </w:rPr>
        <w:footnoteRef/>
      </w:r>
      <w:r w:rsidRPr="006F60F9">
        <w:t xml:space="preserve"> </w:t>
      </w:r>
      <w:r w:rsidR="00836A35" w:rsidRPr="006F60F9">
        <w:t>Franklin et al (201</w:t>
      </w:r>
      <w:r w:rsidR="0090645F" w:rsidRPr="006F60F9">
        <w:t>7</w:t>
      </w:r>
      <w:r w:rsidR="001306A8" w:rsidRPr="006F60F9">
        <w:t>, p.4</w:t>
      </w:r>
      <w:r w:rsidR="00836A35" w:rsidRPr="006F60F9">
        <w:t xml:space="preserve">) describe a risk factor as “a special type of correlate that precedes the outcome of interest and can be used to divide the population into high- and low-risk groups. </w:t>
      </w:r>
      <w:r w:rsidR="0058483E" w:rsidRPr="006F60F9">
        <w:t>…</w:t>
      </w:r>
      <w:r w:rsidR="00836A35" w:rsidRPr="006F60F9">
        <w:t>, if people with depression symptoms (at Time 1) were more likely than others to attempt suicide (at Time 2), depression symptoms would be a risk factor for suicide attempts. Cross-sectional studies are sufficient to establish correlates or concomitants, but longitudinal studies are necessary to identify risk factors</w:t>
      </w:r>
      <w:r w:rsidR="0058483E" w:rsidRPr="006F60F9">
        <w:t>”</w:t>
      </w:r>
      <w:r w:rsidR="001306A8" w:rsidRPr="006F60F9">
        <w:t>.</w:t>
      </w:r>
    </w:p>
  </w:footnote>
  <w:footnote w:id="5">
    <w:p w14:paraId="52B8BBD7" w14:textId="4D75466F" w:rsidR="005B0A22" w:rsidRPr="006F60F9" w:rsidRDefault="005B0A22" w:rsidP="005B0A22">
      <w:pPr>
        <w:pStyle w:val="FootnoteText"/>
      </w:pPr>
      <w:r w:rsidRPr="006F60F9">
        <w:rPr>
          <w:rStyle w:val="FootnoteReference"/>
        </w:rPr>
        <w:footnoteRef/>
      </w:r>
      <w:r w:rsidRPr="006F60F9">
        <w:t xml:space="preserve"> See Fortune et al. (2023) for a synthesis of the </w:t>
      </w:r>
      <w:r w:rsidR="006F20A3" w:rsidRPr="006F60F9">
        <w:t>e</w:t>
      </w:r>
      <w:r w:rsidRPr="006F60F9">
        <w:t>vidence for interventions (suicide prevention and postvention)</w:t>
      </w:r>
      <w:r w:rsidR="006F20A3" w:rsidRPr="006F60F9">
        <w:t>.</w:t>
      </w:r>
      <w:r w:rsidR="00E50450" w:rsidRPr="006F60F9">
        <w:t xml:space="preserve"> </w:t>
      </w:r>
    </w:p>
  </w:footnote>
  <w:footnote w:id="6">
    <w:p w14:paraId="758F88BA" w14:textId="5E2499A6" w:rsidR="00BE56A1" w:rsidRPr="006F60F9" w:rsidRDefault="00BE56A1">
      <w:pPr>
        <w:pStyle w:val="FootnoteText"/>
      </w:pPr>
      <w:r w:rsidRPr="006F60F9">
        <w:rPr>
          <w:rStyle w:val="FootnoteReference"/>
        </w:rPr>
        <w:footnoteRef/>
      </w:r>
      <w:r w:rsidRPr="006F60F9">
        <w:t xml:space="preserve"> The Suicide</w:t>
      </w:r>
      <w:r w:rsidR="00F16CC0" w:rsidRPr="006F60F9">
        <w:t xml:space="preserve"> Prevention Action Plan 2025-2029</w:t>
      </w:r>
      <w:r w:rsidR="00BE0304" w:rsidRPr="006F60F9">
        <w:t xml:space="preserve"> (Ministry of Health, 2025)</w:t>
      </w:r>
      <w:r w:rsidR="00F16CC0" w:rsidRPr="006F60F9">
        <w:t xml:space="preserve"> </w:t>
      </w:r>
      <w:r w:rsidR="00EA7CEF">
        <w:t>provides examples of</w:t>
      </w:r>
      <w:r w:rsidR="00F16CC0" w:rsidRPr="006F60F9">
        <w:t xml:space="preserve"> key population groups that experience disproportionately higher suicide rates</w:t>
      </w:r>
      <w:r w:rsidR="00F47393" w:rsidRPr="006F60F9">
        <w:t xml:space="preserve">: </w:t>
      </w:r>
      <w:r w:rsidR="00346C9A" w:rsidRPr="006F60F9">
        <w:t>Māori, youth, Pacific peoples, Asian people, users of mental health services, males, people in rural locations, LGBTI+ people, men in the construction industry, young people in care, young disabled people, consumers of excessive amounts of alcohol, pregnant women and new mothers</w:t>
      </w:r>
      <w:r w:rsidR="00F47393" w:rsidRPr="006F60F9">
        <w:t>.</w:t>
      </w:r>
      <w:r w:rsidR="00346C9A" w:rsidRPr="006F60F9">
        <w:t xml:space="preserve"> </w:t>
      </w:r>
      <w:r w:rsidR="00363E0A" w:rsidRPr="006F60F9">
        <w:t>Almost all of the</w:t>
      </w:r>
      <w:r w:rsidR="008C2729" w:rsidRPr="006F60F9">
        <w:t xml:space="preserve"> indicators discussed in this paper </w:t>
      </w:r>
      <w:r w:rsidR="00D70EDE" w:rsidRPr="006F60F9">
        <w:t>can be di</w:t>
      </w:r>
      <w:r w:rsidR="006B0F4F" w:rsidRPr="006F60F9">
        <w:t>s</w:t>
      </w:r>
      <w:r w:rsidR="00D70EDE" w:rsidRPr="006F60F9">
        <w:t xml:space="preserve">aggregated by ethnic group, sex, and age. </w:t>
      </w:r>
      <w:r w:rsidR="003577C1" w:rsidRPr="006F60F9">
        <w:t xml:space="preserve">For some indicators </w:t>
      </w:r>
      <w:r w:rsidR="006B0F4F" w:rsidRPr="006F60F9">
        <w:t>further</w:t>
      </w:r>
      <w:r w:rsidR="003577C1" w:rsidRPr="006F60F9">
        <w:t xml:space="preserve"> disaggregation may be possible. </w:t>
      </w:r>
      <w:r w:rsidR="007C007C">
        <w:t>S</w:t>
      </w:r>
      <w:r w:rsidR="00C04D8D">
        <w:t>eparate research will be required</w:t>
      </w:r>
      <w:r w:rsidR="00F10C12">
        <w:t xml:space="preserve"> for some of the groups listed</w:t>
      </w:r>
      <w:r w:rsidR="00C04D8D">
        <w:t>.</w:t>
      </w:r>
    </w:p>
  </w:footnote>
  <w:footnote w:id="7">
    <w:p w14:paraId="583B20AA" w14:textId="4F6C6714" w:rsidR="005B6284" w:rsidRPr="006F60F9" w:rsidRDefault="0073444F">
      <w:pPr>
        <w:pStyle w:val="FootnoteText"/>
      </w:pPr>
      <w:r w:rsidRPr="006F60F9">
        <w:rPr>
          <w:rStyle w:val="FootnoteReference"/>
        </w:rPr>
        <w:footnoteRef/>
      </w:r>
      <w:r w:rsidRPr="006F60F9">
        <w:t xml:space="preserve"> </w:t>
      </w:r>
      <w:r w:rsidR="006F3D4E" w:rsidRPr="006F60F9">
        <w:t xml:space="preserve">Suicide is the act of intentionally taking one’s own life. </w:t>
      </w:r>
      <w:r w:rsidR="00DA272C" w:rsidRPr="006F60F9">
        <w:t>A death that appears to be a suicide, but for which a coroner has not yet completed their findings, may be considered a 'suspected intentionally self-inflicted death'.</w:t>
      </w:r>
      <w:r w:rsidR="00DA272C" w:rsidRPr="006F60F9">
        <w:rPr>
          <w:rFonts w:ascii="Calibri" w:hAnsi="Calibri" w:cs="Calibri"/>
        </w:rPr>
        <w:t> </w:t>
      </w:r>
      <w:r w:rsidRPr="006F60F9">
        <w:t xml:space="preserve">See </w:t>
      </w:r>
      <w:r w:rsidR="007F0B3A" w:rsidRPr="006F60F9">
        <w:t>the Technical Information from</w:t>
      </w:r>
      <w:r w:rsidR="009A30FB" w:rsidRPr="006F60F9">
        <w:t xml:space="preserve"> </w:t>
      </w:r>
      <w:r w:rsidR="005B6284" w:rsidRPr="006F60F9">
        <w:t xml:space="preserve">the Ministry of Health’s </w:t>
      </w:r>
      <w:hyperlink r:id="rId1" w:history="1">
        <w:r w:rsidR="005B6284" w:rsidRPr="006F60F9">
          <w:rPr>
            <w:rStyle w:val="Hyperlink"/>
          </w:rPr>
          <w:t>suicide web tool</w:t>
        </w:r>
      </w:hyperlink>
      <w:r w:rsidR="005B6284" w:rsidRPr="006F60F9">
        <w:t>.</w:t>
      </w:r>
    </w:p>
  </w:footnote>
  <w:footnote w:id="8">
    <w:p w14:paraId="3864AEFB" w14:textId="36910723" w:rsidR="00105095" w:rsidRPr="006F60F9" w:rsidRDefault="00105095">
      <w:pPr>
        <w:pStyle w:val="FootnoteText"/>
      </w:pPr>
      <w:r w:rsidRPr="006F60F9">
        <w:rPr>
          <w:rStyle w:val="FootnoteReference"/>
        </w:rPr>
        <w:footnoteRef/>
      </w:r>
      <w:r w:rsidRPr="006F60F9">
        <w:t xml:space="preserve"> ACC </w:t>
      </w:r>
      <w:r w:rsidR="00BE7833" w:rsidRPr="006F60F9">
        <w:t>have</w:t>
      </w:r>
      <w:r w:rsidRPr="006F60F9">
        <w:t xml:space="preserve"> worked with the Ministry of Health and Stats NZ to include injury-related questions in the 2025/26 New Zealand Health Survey (NZHS)</w:t>
      </w:r>
      <w:r w:rsidR="00461E52" w:rsidRPr="006F60F9">
        <w:t xml:space="preserve"> - </w:t>
      </w:r>
      <w:r w:rsidRPr="006F60F9">
        <w:t xml:space="preserve">an ongoing nationally representative population survey linked in the IDI. This will </w:t>
      </w:r>
      <w:r w:rsidR="006D2E54" w:rsidRPr="006F60F9">
        <w:t>improve</w:t>
      </w:r>
      <w:r w:rsidRPr="006F60F9">
        <w:t xml:space="preserve"> estimates of the levels of access to ACC</w:t>
      </w:r>
      <w:r w:rsidR="006D2E54" w:rsidRPr="006F60F9">
        <w:t xml:space="preserve"> (ACC, 2025).</w:t>
      </w:r>
    </w:p>
  </w:footnote>
  <w:footnote w:id="9">
    <w:p w14:paraId="7017C6B2" w14:textId="50CD4128" w:rsidR="00093095" w:rsidRDefault="00093095">
      <w:pPr>
        <w:pStyle w:val="FootnoteText"/>
      </w:pPr>
      <w:r>
        <w:rPr>
          <w:rStyle w:val="FootnoteReference"/>
        </w:rPr>
        <w:footnoteRef/>
      </w:r>
      <w:r>
        <w:t xml:space="preserve"> See </w:t>
      </w:r>
      <w:hyperlink r:id="rId2" w:history="1">
        <w:r w:rsidRPr="00154655">
          <w:rPr>
            <w:rStyle w:val="Hyperlink"/>
          </w:rPr>
          <w:t>https://www.tewhatuora.govt.nz/for-health-professionals/data-and-statistics/primary-care/primary-health-organisation-performance</w:t>
        </w:r>
      </w:hyperlink>
    </w:p>
  </w:footnote>
  <w:footnote w:id="10">
    <w:p w14:paraId="68FCF8D2" w14:textId="270D5888" w:rsidR="0096309E" w:rsidRPr="0096309E" w:rsidRDefault="0096309E" w:rsidP="0096309E">
      <w:pPr>
        <w:pStyle w:val="FootnoteText"/>
      </w:pPr>
      <w:r>
        <w:rPr>
          <w:rStyle w:val="FootnoteReference"/>
        </w:rPr>
        <w:footnoteRef/>
      </w:r>
      <w:r>
        <w:t xml:space="preserve"> </w:t>
      </w:r>
      <w:r w:rsidR="00F10A2B">
        <w:t>A</w:t>
      </w:r>
      <w:r w:rsidRPr="0096309E">
        <w:t>mbulance organisations events (SNOMED) coded to self-harm are classified by the presence of self-harm preceding (past 24 hours) or during the ambulance attendance, with four categories of self-harm related ambulance attendances defined and coded as: (a) self-injury: non-fatal intentional injury without suicidal intent; (b) suicidal ideation: thinking about killing oneself without acting on the thoughts; (c) suicide attempt: non-fatal intentional injury with suicidal intent, regardless of likelihood of lethality; (d) suicide: fatal intentional injury with suicidal intent.</w:t>
      </w:r>
    </w:p>
    <w:p w14:paraId="5E547F16" w14:textId="4BE2875A" w:rsidR="0096309E" w:rsidRDefault="0096309E">
      <w:pPr>
        <w:pStyle w:val="FootnoteText"/>
      </w:pPr>
    </w:p>
  </w:footnote>
  <w:footnote w:id="11">
    <w:p w14:paraId="442B8BCB" w14:textId="11E86A6F" w:rsidR="00A91E23" w:rsidRPr="006F60F9" w:rsidRDefault="00A91E23" w:rsidP="00A91E23">
      <w:pPr>
        <w:pStyle w:val="FootnoteText"/>
      </w:pPr>
      <w:r w:rsidRPr="006F60F9">
        <w:rPr>
          <w:rStyle w:val="FootnoteReference"/>
        </w:rPr>
        <w:footnoteRef/>
      </w:r>
      <w:r w:rsidRPr="006F60F9">
        <w:t xml:space="preserve"> The social determinants of health are the conditions in which people are born, grow, work, live and age, and the wider forces that shape the conditions of daily life (</w:t>
      </w:r>
      <w:r w:rsidR="00852D80" w:rsidRPr="006F60F9">
        <w:t>World Health Organization</w:t>
      </w:r>
      <w:r w:rsidRPr="006F60F9">
        <w:t xml:space="preserve">, </w:t>
      </w:r>
      <w:r w:rsidR="009447AE" w:rsidRPr="006F60F9">
        <w:t>2025</w:t>
      </w:r>
      <w:r w:rsidRPr="006F60F9">
        <w:t>)</w:t>
      </w:r>
      <w:r w:rsidR="009447AE" w:rsidRPr="006F60F9">
        <w:t>.</w:t>
      </w:r>
    </w:p>
  </w:footnote>
  <w:footnote w:id="12">
    <w:p w14:paraId="349F5059" w14:textId="4F07D871" w:rsidR="00557EFD" w:rsidRPr="006F60F9" w:rsidRDefault="00557EFD">
      <w:pPr>
        <w:pStyle w:val="FootnoteText"/>
      </w:pPr>
      <w:r w:rsidRPr="006F60F9">
        <w:rPr>
          <w:rStyle w:val="FootnoteReference"/>
        </w:rPr>
        <w:footnoteRef/>
      </w:r>
      <w:r w:rsidRPr="006F60F9">
        <w:t xml:space="preserve"> Involving </w:t>
      </w:r>
      <w:r w:rsidR="005D2E4B" w:rsidRPr="006F60F9">
        <w:t>13–19-year-olds</w:t>
      </w:r>
      <w:r w:rsidR="00645A4B" w:rsidRPr="006F60F9">
        <w:t>.</w:t>
      </w:r>
    </w:p>
  </w:footnote>
  <w:footnote w:id="13">
    <w:p w14:paraId="3D1139CF" w14:textId="490E9E36" w:rsidR="005F343F" w:rsidRPr="006F60F9" w:rsidRDefault="005F343F" w:rsidP="003D70F5">
      <w:pPr>
        <w:pStyle w:val="FootnoteText"/>
      </w:pPr>
      <w:r w:rsidRPr="006F60F9">
        <w:rPr>
          <w:rStyle w:val="FootnoteReference"/>
        </w:rPr>
        <w:footnoteRef/>
      </w:r>
      <w:r w:rsidRPr="006F60F9">
        <w:t xml:space="preserve"> The Stats NZ (2024) definition of homelessness (or severe housing deprivation) contains four groups: without shelter, in temporary accommodation, sharing someone else’s private dwelling, in uninhabitable housing</w:t>
      </w:r>
      <w:r w:rsidR="003D70F5" w:rsidRPr="006F60F9">
        <w:t>.</w:t>
      </w:r>
    </w:p>
  </w:footnote>
  <w:footnote w:id="14">
    <w:p w14:paraId="56439AF5" w14:textId="77777777" w:rsidR="008913F1" w:rsidRPr="006F60F9" w:rsidRDefault="008913F1" w:rsidP="008913F1">
      <w:pPr>
        <w:pStyle w:val="FootnoteText"/>
      </w:pPr>
      <w:r w:rsidRPr="006F60F9">
        <w:rPr>
          <w:rStyle w:val="FootnoteReference"/>
        </w:rPr>
        <w:footnoteRef/>
      </w:r>
      <w:r w:rsidRPr="006F60F9">
        <w:t xml:space="preserve"> It involves comparing a household’s income for the previous 12 months with the median for all households for the year. For this measure to decrease over time, the incomes of low-income households would need to rise by more than the rise in the median household income.</w:t>
      </w:r>
    </w:p>
  </w:footnote>
  <w:footnote w:id="15">
    <w:p w14:paraId="445B2D60" w14:textId="260EFC9F" w:rsidR="00C542C1" w:rsidRPr="006F60F9" w:rsidRDefault="00C542C1">
      <w:pPr>
        <w:pStyle w:val="FootnoteText"/>
      </w:pPr>
      <w:r w:rsidRPr="006F60F9">
        <w:rPr>
          <w:rStyle w:val="FootnoteReference"/>
        </w:rPr>
        <w:footnoteRef/>
      </w:r>
      <w:r w:rsidRPr="006F60F9">
        <w:t xml:space="preserve"> </w:t>
      </w:r>
      <w:r w:rsidR="004C6482" w:rsidRPr="006F60F9">
        <w:t>The Kessler Psychological Distress Scale (K6+) is a 6-item self-report measure of psychological distress intended to be used as a quick tool to assess risk for serious mental illness in the general population</w:t>
      </w:r>
      <w:r w:rsidR="00557E79" w:rsidRPr="006F60F9">
        <w:t xml:space="preserve"> (Prochaska et al., 2012).</w:t>
      </w:r>
    </w:p>
  </w:footnote>
  <w:footnote w:id="16">
    <w:p w14:paraId="7AA5B981" w14:textId="665F8B75" w:rsidR="003147D9" w:rsidRPr="006F60F9" w:rsidRDefault="003147D9">
      <w:pPr>
        <w:pStyle w:val="FootnoteText"/>
      </w:pPr>
      <w:r w:rsidRPr="006F60F9">
        <w:rPr>
          <w:rStyle w:val="FootnoteReference"/>
        </w:rPr>
        <w:footnoteRef/>
      </w:r>
      <w:r w:rsidRPr="006F60F9">
        <w:t xml:space="preserve"> </w:t>
      </w:r>
      <w:r w:rsidR="00C14BC1" w:rsidRPr="006F60F9">
        <w:t>Kessler Psychological Distress Scale 10-question screening scale of psychological distress</w:t>
      </w:r>
      <w:r w:rsidR="00DA32DF" w:rsidRPr="006F60F9">
        <w:t>,</w:t>
      </w:r>
      <w:r w:rsidR="00C14BC1" w:rsidRPr="006F60F9">
        <w:t xml:space="preserve"> </w:t>
      </w:r>
      <w:r w:rsidR="00DA32DF" w:rsidRPr="006F60F9">
        <w:t>of which the K6 is the</w:t>
      </w:r>
      <w:r w:rsidR="00C14BC1" w:rsidRPr="006F60F9">
        <w:t xml:space="preserve"> short-form</w:t>
      </w:r>
      <w:r w:rsidR="00CE27BE" w:rsidRPr="006F60F9">
        <w:t xml:space="preserve"> (Kessler et al., 2002).</w:t>
      </w:r>
    </w:p>
  </w:footnote>
  <w:footnote w:id="17">
    <w:p w14:paraId="0EE443B5" w14:textId="788B9DCA" w:rsidR="00F358B9" w:rsidRPr="006F60F9" w:rsidRDefault="00F358B9">
      <w:pPr>
        <w:pStyle w:val="FootnoteText"/>
      </w:pPr>
      <w:r w:rsidRPr="006F60F9">
        <w:rPr>
          <w:rStyle w:val="FootnoteReference"/>
        </w:rPr>
        <w:footnoteRef/>
      </w:r>
      <w:r w:rsidRPr="006F60F9">
        <w:t xml:space="preserve"> Adult respondents (aged 15+ years) are categorised as having severe or moderately severe depression symptoms in the past 2 weeks if they have a severity score of 15 or higher on the PHQ-9 screener of the Patient Health Questionnaire (PHQ)</w:t>
      </w:r>
      <w:r w:rsidR="006064E5" w:rsidRPr="006F60F9">
        <w:t>.</w:t>
      </w:r>
    </w:p>
  </w:footnote>
  <w:footnote w:id="18">
    <w:p w14:paraId="665B882D" w14:textId="2B2695F0" w:rsidR="005F1247" w:rsidRPr="006F60F9" w:rsidRDefault="005F1247" w:rsidP="008E0538">
      <w:pPr>
        <w:pStyle w:val="FootnoteText"/>
      </w:pPr>
      <w:r w:rsidRPr="006F60F9">
        <w:rPr>
          <w:rStyle w:val="FootnoteReference"/>
        </w:rPr>
        <w:footnoteRef/>
      </w:r>
      <w:r w:rsidRPr="006F60F9">
        <w:t xml:space="preserve"> </w:t>
      </w:r>
      <w:r w:rsidR="008E0538" w:rsidRPr="006F60F9">
        <w:t>The General Anxiety Disorder 7-item scale (GAD-7) is used to screen for anxiety or to measure its severity</w:t>
      </w:r>
      <w:r w:rsidR="00247D76" w:rsidRPr="006F60F9">
        <w:t xml:space="preserve"> (</w:t>
      </w:r>
      <w:r w:rsidR="00A528A8" w:rsidRPr="006F60F9">
        <w:t>Löwe et al., 2008)</w:t>
      </w:r>
      <w:r w:rsidR="009221D2" w:rsidRPr="006F60F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2997" w14:textId="77777777" w:rsidR="00D47DE1" w:rsidRDefault="00D47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712ED" w14:textId="77777777" w:rsidR="00D47DE1" w:rsidRDefault="00D47D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B984" w14:textId="77777777" w:rsidR="00D47DE1" w:rsidRDefault="00D47D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B4577" w14:textId="77777777" w:rsidR="00285187" w:rsidRDefault="002851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0033" w14:textId="77777777" w:rsidR="00285187" w:rsidRDefault="002851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DB06" w14:textId="77777777" w:rsidR="00954882" w:rsidRDefault="0095488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1C26" w14:textId="77777777" w:rsidR="00954882" w:rsidRDefault="00954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781"/>
    <w:multiLevelType w:val="hybridMultilevel"/>
    <w:tmpl w:val="96E8B62C"/>
    <w:lvl w:ilvl="0" w:tplc="3E20D414">
      <w:start w:val="1"/>
      <w:numFmt w:val="decimal"/>
      <w:lvlText w:val="%1."/>
      <w:lvlJc w:val="left"/>
      <w:pPr>
        <w:ind w:left="360" w:hanging="360"/>
      </w:pPr>
      <w:rPr>
        <w:rFonts w:ascii="Basic Sans Light" w:hAnsi="Basic Sans Light" w:hint="default"/>
        <w:color w:val="auto"/>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43E6734"/>
    <w:multiLevelType w:val="multilevel"/>
    <w:tmpl w:val="F1D8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A63FB"/>
    <w:multiLevelType w:val="hybridMultilevel"/>
    <w:tmpl w:val="97320664"/>
    <w:lvl w:ilvl="0" w:tplc="14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3456FEC"/>
    <w:multiLevelType w:val="hybridMultilevel"/>
    <w:tmpl w:val="5A3C2692"/>
    <w:lvl w:ilvl="0" w:tplc="1D12A116">
      <w:numFmt w:val="bullet"/>
      <w:lvlText w:val="-"/>
      <w:lvlJc w:val="left"/>
      <w:pPr>
        <w:ind w:left="720" w:hanging="360"/>
      </w:pPr>
      <w:rPr>
        <w:rFonts w:ascii="Basic Sans Light" w:eastAsiaTheme="minorHAnsi" w:hAnsi="Basic Sans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36C81"/>
    <w:multiLevelType w:val="hybridMultilevel"/>
    <w:tmpl w:val="30EC212A"/>
    <w:lvl w:ilvl="0" w:tplc="1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B928B9"/>
    <w:multiLevelType w:val="multilevel"/>
    <w:tmpl w:val="0A40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266A1"/>
    <w:multiLevelType w:val="hybridMultilevel"/>
    <w:tmpl w:val="0970749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EBF23AB"/>
    <w:multiLevelType w:val="multilevel"/>
    <w:tmpl w:val="1486D2C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F584E64"/>
    <w:multiLevelType w:val="multilevel"/>
    <w:tmpl w:val="2B12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DE4929"/>
    <w:multiLevelType w:val="multilevel"/>
    <w:tmpl w:val="FFEA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0B1D6F"/>
    <w:multiLevelType w:val="multilevel"/>
    <w:tmpl w:val="C4C2D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22259E"/>
    <w:multiLevelType w:val="multilevel"/>
    <w:tmpl w:val="C5F0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9B3324"/>
    <w:multiLevelType w:val="hybridMultilevel"/>
    <w:tmpl w:val="380219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57A6399"/>
    <w:multiLevelType w:val="multilevel"/>
    <w:tmpl w:val="05B689D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3366DF"/>
    <w:multiLevelType w:val="hybridMultilevel"/>
    <w:tmpl w:val="75F4A11C"/>
    <w:lvl w:ilvl="0" w:tplc="5AFE3FAA">
      <w:start w:val="1"/>
      <w:numFmt w:val="bullet"/>
      <w:pStyle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15:restartNumberingAfterBreak="0">
    <w:nsid w:val="5E4C63F1"/>
    <w:multiLevelType w:val="hybridMultilevel"/>
    <w:tmpl w:val="B5565A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0EB6780"/>
    <w:multiLevelType w:val="hybridMultilevel"/>
    <w:tmpl w:val="842E73FC"/>
    <w:lvl w:ilvl="0" w:tplc="14090015">
      <w:start w:val="1"/>
      <w:numFmt w:val="upp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6AD25782"/>
    <w:multiLevelType w:val="multilevel"/>
    <w:tmpl w:val="DD862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3B0FC6"/>
    <w:multiLevelType w:val="multilevel"/>
    <w:tmpl w:val="8E14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242D5C"/>
    <w:multiLevelType w:val="hybridMultilevel"/>
    <w:tmpl w:val="D0E227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E3F2DB3"/>
    <w:multiLevelType w:val="multilevel"/>
    <w:tmpl w:val="2620204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003" w:hanging="720"/>
      </w:pPr>
    </w:lvl>
    <w:lvl w:ilvl="3">
      <w:start w:val="1"/>
      <w:numFmt w:val="decimal"/>
      <w:pStyle w:val="Heading4"/>
      <w:lvlText w:val="%1.%2.%3.%4"/>
      <w:lvlJc w:val="left"/>
      <w:pPr>
        <w:ind w:left="4125"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3BD7C08"/>
    <w:multiLevelType w:val="multilevel"/>
    <w:tmpl w:val="02583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DB7959"/>
    <w:multiLevelType w:val="multilevel"/>
    <w:tmpl w:val="44F6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4B490E"/>
    <w:multiLevelType w:val="hybridMultilevel"/>
    <w:tmpl w:val="BFCCAF48"/>
    <w:lvl w:ilvl="0" w:tplc="BAB8966C">
      <w:start w:val="1"/>
      <w:numFmt w:val="upperLetter"/>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162818389">
    <w:abstractNumId w:val="17"/>
  </w:num>
  <w:num w:numId="2" w16cid:durableId="1225919182">
    <w:abstractNumId w:val="1"/>
  </w:num>
  <w:num w:numId="3" w16cid:durableId="72822075">
    <w:abstractNumId w:val="8"/>
  </w:num>
  <w:num w:numId="4" w16cid:durableId="533275184">
    <w:abstractNumId w:val="21"/>
  </w:num>
  <w:num w:numId="5" w16cid:durableId="995767177">
    <w:abstractNumId w:val="9"/>
  </w:num>
  <w:num w:numId="6" w16cid:durableId="2033720641">
    <w:abstractNumId w:val="10"/>
  </w:num>
  <w:num w:numId="7" w16cid:durableId="598610520">
    <w:abstractNumId w:val="20"/>
  </w:num>
  <w:num w:numId="8" w16cid:durableId="716974691">
    <w:abstractNumId w:val="12"/>
  </w:num>
  <w:num w:numId="9" w16cid:durableId="435368134">
    <w:abstractNumId w:val="15"/>
  </w:num>
  <w:num w:numId="10" w16cid:durableId="1837574777">
    <w:abstractNumId w:val="20"/>
  </w:num>
  <w:num w:numId="11" w16cid:durableId="1840851652">
    <w:abstractNumId w:val="5"/>
  </w:num>
  <w:num w:numId="12" w16cid:durableId="1007288485">
    <w:abstractNumId w:val="18"/>
  </w:num>
  <w:num w:numId="13" w16cid:durableId="1437555572">
    <w:abstractNumId w:val="20"/>
  </w:num>
  <w:num w:numId="14" w16cid:durableId="1483230666">
    <w:abstractNumId w:val="20"/>
  </w:num>
  <w:num w:numId="15" w16cid:durableId="400713290">
    <w:abstractNumId w:val="20"/>
  </w:num>
  <w:num w:numId="16" w16cid:durableId="646591982">
    <w:abstractNumId w:val="20"/>
  </w:num>
  <w:num w:numId="17" w16cid:durableId="2064862836">
    <w:abstractNumId w:val="20"/>
  </w:num>
  <w:num w:numId="18" w16cid:durableId="1574242144">
    <w:abstractNumId w:val="20"/>
  </w:num>
  <w:num w:numId="19" w16cid:durableId="262347969">
    <w:abstractNumId w:val="20"/>
  </w:num>
  <w:num w:numId="20" w16cid:durableId="189688604">
    <w:abstractNumId w:val="22"/>
  </w:num>
  <w:num w:numId="21" w16cid:durableId="791171325">
    <w:abstractNumId w:val="6"/>
  </w:num>
  <w:num w:numId="22" w16cid:durableId="1189173215">
    <w:abstractNumId w:val="14"/>
  </w:num>
  <w:num w:numId="23" w16cid:durableId="1891108880">
    <w:abstractNumId w:val="20"/>
  </w:num>
  <w:num w:numId="24" w16cid:durableId="2031057773">
    <w:abstractNumId w:val="20"/>
  </w:num>
  <w:num w:numId="25" w16cid:durableId="2035499261">
    <w:abstractNumId w:val="20"/>
  </w:num>
  <w:num w:numId="26" w16cid:durableId="1007557395">
    <w:abstractNumId w:val="20"/>
  </w:num>
  <w:num w:numId="27" w16cid:durableId="719598759">
    <w:abstractNumId w:val="20"/>
  </w:num>
  <w:num w:numId="28" w16cid:durableId="1010639645">
    <w:abstractNumId w:val="20"/>
  </w:num>
  <w:num w:numId="29" w16cid:durableId="22633843">
    <w:abstractNumId w:val="20"/>
  </w:num>
  <w:num w:numId="30" w16cid:durableId="1329675156">
    <w:abstractNumId w:val="11"/>
  </w:num>
  <w:num w:numId="31" w16cid:durableId="852501395">
    <w:abstractNumId w:val="13"/>
  </w:num>
  <w:num w:numId="32" w16cid:durableId="1373768254">
    <w:abstractNumId w:val="4"/>
  </w:num>
  <w:num w:numId="33" w16cid:durableId="1512791968">
    <w:abstractNumId w:val="2"/>
  </w:num>
  <w:num w:numId="34" w16cid:durableId="1640380610">
    <w:abstractNumId w:val="7"/>
  </w:num>
  <w:num w:numId="35" w16cid:durableId="769930384">
    <w:abstractNumId w:val="20"/>
  </w:num>
  <w:num w:numId="36" w16cid:durableId="1488016875">
    <w:abstractNumId w:val="14"/>
  </w:num>
  <w:num w:numId="37" w16cid:durableId="295336965">
    <w:abstractNumId w:val="3"/>
  </w:num>
  <w:num w:numId="38" w16cid:durableId="2131586697">
    <w:abstractNumId w:val="20"/>
  </w:num>
  <w:num w:numId="39" w16cid:durableId="1858957060">
    <w:abstractNumId w:val="20"/>
  </w:num>
  <w:num w:numId="40" w16cid:durableId="683017455">
    <w:abstractNumId w:val="20"/>
  </w:num>
  <w:num w:numId="41" w16cid:durableId="1829052730">
    <w:abstractNumId w:val="19"/>
  </w:num>
  <w:num w:numId="42" w16cid:durableId="581111356">
    <w:abstractNumId w:val="16"/>
  </w:num>
  <w:num w:numId="43" w16cid:durableId="222956600">
    <w:abstractNumId w:val="23"/>
  </w:num>
  <w:num w:numId="44" w16cid:durableId="1621565745">
    <w:abstractNumId w:val="0"/>
  </w:num>
  <w:num w:numId="45" w16cid:durableId="20472104">
    <w:abstractNumId w:val="14"/>
  </w:num>
  <w:num w:numId="46" w16cid:durableId="193115474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62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D7"/>
    <w:rsid w:val="000018D8"/>
    <w:rsid w:val="00002166"/>
    <w:rsid w:val="00002BE4"/>
    <w:rsid w:val="00003020"/>
    <w:rsid w:val="00003737"/>
    <w:rsid w:val="00003DB4"/>
    <w:rsid w:val="00004ABE"/>
    <w:rsid w:val="00004D74"/>
    <w:rsid w:val="00004E26"/>
    <w:rsid w:val="0000521A"/>
    <w:rsid w:val="00005E00"/>
    <w:rsid w:val="00006B60"/>
    <w:rsid w:val="0000759A"/>
    <w:rsid w:val="00007621"/>
    <w:rsid w:val="000077CD"/>
    <w:rsid w:val="00007982"/>
    <w:rsid w:val="00010279"/>
    <w:rsid w:val="000106F5"/>
    <w:rsid w:val="00010815"/>
    <w:rsid w:val="00010C6B"/>
    <w:rsid w:val="00010FD5"/>
    <w:rsid w:val="000124E9"/>
    <w:rsid w:val="0001256A"/>
    <w:rsid w:val="00012614"/>
    <w:rsid w:val="000137DD"/>
    <w:rsid w:val="00013CC4"/>
    <w:rsid w:val="0001417C"/>
    <w:rsid w:val="00014674"/>
    <w:rsid w:val="000151E8"/>
    <w:rsid w:val="00015336"/>
    <w:rsid w:val="000166C7"/>
    <w:rsid w:val="00016B33"/>
    <w:rsid w:val="00016CF9"/>
    <w:rsid w:val="00016E02"/>
    <w:rsid w:val="00020411"/>
    <w:rsid w:val="0002067B"/>
    <w:rsid w:val="0002078B"/>
    <w:rsid w:val="00020C1E"/>
    <w:rsid w:val="00021304"/>
    <w:rsid w:val="0002141E"/>
    <w:rsid w:val="00021FC5"/>
    <w:rsid w:val="000223E3"/>
    <w:rsid w:val="00022D97"/>
    <w:rsid w:val="000238EF"/>
    <w:rsid w:val="00023926"/>
    <w:rsid w:val="0002428E"/>
    <w:rsid w:val="00024631"/>
    <w:rsid w:val="00024A6A"/>
    <w:rsid w:val="00025191"/>
    <w:rsid w:val="000251FC"/>
    <w:rsid w:val="00027548"/>
    <w:rsid w:val="0003009B"/>
    <w:rsid w:val="00030CEC"/>
    <w:rsid w:val="00030EDD"/>
    <w:rsid w:val="0003136D"/>
    <w:rsid w:val="00032353"/>
    <w:rsid w:val="0003255E"/>
    <w:rsid w:val="0003257B"/>
    <w:rsid w:val="000345E8"/>
    <w:rsid w:val="000348EF"/>
    <w:rsid w:val="00035BE0"/>
    <w:rsid w:val="00035E23"/>
    <w:rsid w:val="00035FED"/>
    <w:rsid w:val="00036022"/>
    <w:rsid w:val="000361EA"/>
    <w:rsid w:val="000363AE"/>
    <w:rsid w:val="000363C1"/>
    <w:rsid w:val="000363EE"/>
    <w:rsid w:val="0004013E"/>
    <w:rsid w:val="000405FF"/>
    <w:rsid w:val="000408FF"/>
    <w:rsid w:val="00041054"/>
    <w:rsid w:val="00041508"/>
    <w:rsid w:val="000424D6"/>
    <w:rsid w:val="00042744"/>
    <w:rsid w:val="00042E7B"/>
    <w:rsid w:val="00043D51"/>
    <w:rsid w:val="00044586"/>
    <w:rsid w:val="00044933"/>
    <w:rsid w:val="00044F77"/>
    <w:rsid w:val="00045146"/>
    <w:rsid w:val="00045340"/>
    <w:rsid w:val="00045724"/>
    <w:rsid w:val="000457AD"/>
    <w:rsid w:val="00045FFA"/>
    <w:rsid w:val="00046059"/>
    <w:rsid w:val="00046700"/>
    <w:rsid w:val="00046A8B"/>
    <w:rsid w:val="00046B27"/>
    <w:rsid w:val="0004760A"/>
    <w:rsid w:val="00047725"/>
    <w:rsid w:val="00050EA9"/>
    <w:rsid w:val="00052287"/>
    <w:rsid w:val="00052C62"/>
    <w:rsid w:val="000530ED"/>
    <w:rsid w:val="00053503"/>
    <w:rsid w:val="000543A4"/>
    <w:rsid w:val="00055CC5"/>
    <w:rsid w:val="00055E66"/>
    <w:rsid w:val="000565A2"/>
    <w:rsid w:val="0005684D"/>
    <w:rsid w:val="00056B59"/>
    <w:rsid w:val="00057051"/>
    <w:rsid w:val="00057362"/>
    <w:rsid w:val="00057393"/>
    <w:rsid w:val="000573A9"/>
    <w:rsid w:val="0006020B"/>
    <w:rsid w:val="00060390"/>
    <w:rsid w:val="0006051D"/>
    <w:rsid w:val="00060571"/>
    <w:rsid w:val="000607D6"/>
    <w:rsid w:val="00060F4F"/>
    <w:rsid w:val="00061080"/>
    <w:rsid w:val="000615ED"/>
    <w:rsid w:val="00061874"/>
    <w:rsid w:val="000618DC"/>
    <w:rsid w:val="00063191"/>
    <w:rsid w:val="00063227"/>
    <w:rsid w:val="00063FFE"/>
    <w:rsid w:val="00064292"/>
    <w:rsid w:val="00064B0B"/>
    <w:rsid w:val="0006500E"/>
    <w:rsid w:val="00065A39"/>
    <w:rsid w:val="00065E91"/>
    <w:rsid w:val="00066091"/>
    <w:rsid w:val="000662B4"/>
    <w:rsid w:val="000668DD"/>
    <w:rsid w:val="00066A8F"/>
    <w:rsid w:val="00067591"/>
    <w:rsid w:val="00070E5B"/>
    <w:rsid w:val="00071E90"/>
    <w:rsid w:val="00072B1F"/>
    <w:rsid w:val="00073640"/>
    <w:rsid w:val="00073E07"/>
    <w:rsid w:val="00073EE3"/>
    <w:rsid w:val="00073F7D"/>
    <w:rsid w:val="00074397"/>
    <w:rsid w:val="00075399"/>
    <w:rsid w:val="0007560D"/>
    <w:rsid w:val="000756FD"/>
    <w:rsid w:val="00076304"/>
    <w:rsid w:val="00076945"/>
    <w:rsid w:val="00076991"/>
    <w:rsid w:val="00077080"/>
    <w:rsid w:val="000802F6"/>
    <w:rsid w:val="00080812"/>
    <w:rsid w:val="00080E82"/>
    <w:rsid w:val="00081013"/>
    <w:rsid w:val="0008121D"/>
    <w:rsid w:val="00081442"/>
    <w:rsid w:val="000815F4"/>
    <w:rsid w:val="00081A8B"/>
    <w:rsid w:val="00081F4D"/>
    <w:rsid w:val="00082AA0"/>
    <w:rsid w:val="000840E0"/>
    <w:rsid w:val="0008434E"/>
    <w:rsid w:val="00085203"/>
    <w:rsid w:val="000862E6"/>
    <w:rsid w:val="00086A32"/>
    <w:rsid w:val="00086A53"/>
    <w:rsid w:val="0008774B"/>
    <w:rsid w:val="00087FCC"/>
    <w:rsid w:val="00090751"/>
    <w:rsid w:val="00091114"/>
    <w:rsid w:val="000915B2"/>
    <w:rsid w:val="000918E6"/>
    <w:rsid w:val="00091FE9"/>
    <w:rsid w:val="00092C36"/>
    <w:rsid w:val="00092EBD"/>
    <w:rsid w:val="00093095"/>
    <w:rsid w:val="00094EDE"/>
    <w:rsid w:val="00095165"/>
    <w:rsid w:val="00095354"/>
    <w:rsid w:val="000956A4"/>
    <w:rsid w:val="00095CD5"/>
    <w:rsid w:val="00096873"/>
    <w:rsid w:val="00097011"/>
    <w:rsid w:val="00097F10"/>
    <w:rsid w:val="000A0556"/>
    <w:rsid w:val="000A07D2"/>
    <w:rsid w:val="000A0D14"/>
    <w:rsid w:val="000A2224"/>
    <w:rsid w:val="000A22CE"/>
    <w:rsid w:val="000A29B5"/>
    <w:rsid w:val="000A31F4"/>
    <w:rsid w:val="000A4174"/>
    <w:rsid w:val="000A41C2"/>
    <w:rsid w:val="000A5195"/>
    <w:rsid w:val="000A5D17"/>
    <w:rsid w:val="000A65FC"/>
    <w:rsid w:val="000A78D5"/>
    <w:rsid w:val="000B032C"/>
    <w:rsid w:val="000B0E0C"/>
    <w:rsid w:val="000B0F90"/>
    <w:rsid w:val="000B159C"/>
    <w:rsid w:val="000B1A2F"/>
    <w:rsid w:val="000B1D09"/>
    <w:rsid w:val="000B22F6"/>
    <w:rsid w:val="000B29A6"/>
    <w:rsid w:val="000B2B96"/>
    <w:rsid w:val="000B3AA2"/>
    <w:rsid w:val="000B49E0"/>
    <w:rsid w:val="000B4B80"/>
    <w:rsid w:val="000B4D28"/>
    <w:rsid w:val="000B4D52"/>
    <w:rsid w:val="000B5600"/>
    <w:rsid w:val="000B5C25"/>
    <w:rsid w:val="000B6201"/>
    <w:rsid w:val="000B6AA0"/>
    <w:rsid w:val="000B6B41"/>
    <w:rsid w:val="000B6ED2"/>
    <w:rsid w:val="000B6FE5"/>
    <w:rsid w:val="000B704A"/>
    <w:rsid w:val="000B71A1"/>
    <w:rsid w:val="000B79E5"/>
    <w:rsid w:val="000B7D55"/>
    <w:rsid w:val="000B7E8B"/>
    <w:rsid w:val="000C03B0"/>
    <w:rsid w:val="000C0509"/>
    <w:rsid w:val="000C06F7"/>
    <w:rsid w:val="000C07F6"/>
    <w:rsid w:val="000C1193"/>
    <w:rsid w:val="000C1A0E"/>
    <w:rsid w:val="000C1BE6"/>
    <w:rsid w:val="000C1CAE"/>
    <w:rsid w:val="000C3CF6"/>
    <w:rsid w:val="000C5CB2"/>
    <w:rsid w:val="000C730C"/>
    <w:rsid w:val="000C7571"/>
    <w:rsid w:val="000C7FAB"/>
    <w:rsid w:val="000D0217"/>
    <w:rsid w:val="000D0792"/>
    <w:rsid w:val="000D0B65"/>
    <w:rsid w:val="000D0BA3"/>
    <w:rsid w:val="000D1088"/>
    <w:rsid w:val="000D1A84"/>
    <w:rsid w:val="000D2B72"/>
    <w:rsid w:val="000D3008"/>
    <w:rsid w:val="000D33B0"/>
    <w:rsid w:val="000D48CC"/>
    <w:rsid w:val="000D510D"/>
    <w:rsid w:val="000D574D"/>
    <w:rsid w:val="000D5C87"/>
    <w:rsid w:val="000D608A"/>
    <w:rsid w:val="000D6319"/>
    <w:rsid w:val="000D64C3"/>
    <w:rsid w:val="000D64CF"/>
    <w:rsid w:val="000D6506"/>
    <w:rsid w:val="000D6E93"/>
    <w:rsid w:val="000D70DA"/>
    <w:rsid w:val="000D725E"/>
    <w:rsid w:val="000D7358"/>
    <w:rsid w:val="000D7F15"/>
    <w:rsid w:val="000E0229"/>
    <w:rsid w:val="000E06F3"/>
    <w:rsid w:val="000E117B"/>
    <w:rsid w:val="000E15FA"/>
    <w:rsid w:val="000E18D6"/>
    <w:rsid w:val="000E2238"/>
    <w:rsid w:val="000E23A6"/>
    <w:rsid w:val="000E29AB"/>
    <w:rsid w:val="000E2A66"/>
    <w:rsid w:val="000E3691"/>
    <w:rsid w:val="000E419E"/>
    <w:rsid w:val="000E442F"/>
    <w:rsid w:val="000E469E"/>
    <w:rsid w:val="000E4FA8"/>
    <w:rsid w:val="000E5068"/>
    <w:rsid w:val="000E5F3B"/>
    <w:rsid w:val="000E6394"/>
    <w:rsid w:val="000E6613"/>
    <w:rsid w:val="000E6DEE"/>
    <w:rsid w:val="000E7940"/>
    <w:rsid w:val="000E7A71"/>
    <w:rsid w:val="000F0531"/>
    <w:rsid w:val="000F0DD7"/>
    <w:rsid w:val="000F0E56"/>
    <w:rsid w:val="000F1421"/>
    <w:rsid w:val="000F15A5"/>
    <w:rsid w:val="000F16D9"/>
    <w:rsid w:val="000F1738"/>
    <w:rsid w:val="000F30D6"/>
    <w:rsid w:val="000F3F89"/>
    <w:rsid w:val="000F49A1"/>
    <w:rsid w:val="000F4EDF"/>
    <w:rsid w:val="000F50E3"/>
    <w:rsid w:val="000F59CB"/>
    <w:rsid w:val="000F5AC9"/>
    <w:rsid w:val="000F5B72"/>
    <w:rsid w:val="000F5EC2"/>
    <w:rsid w:val="000F610D"/>
    <w:rsid w:val="000F7518"/>
    <w:rsid w:val="000F7B7C"/>
    <w:rsid w:val="00100D6D"/>
    <w:rsid w:val="00101580"/>
    <w:rsid w:val="001019D2"/>
    <w:rsid w:val="00101AAD"/>
    <w:rsid w:val="00101DED"/>
    <w:rsid w:val="00102151"/>
    <w:rsid w:val="001021F5"/>
    <w:rsid w:val="001024BA"/>
    <w:rsid w:val="00102A48"/>
    <w:rsid w:val="00102AD9"/>
    <w:rsid w:val="00104656"/>
    <w:rsid w:val="001046C6"/>
    <w:rsid w:val="00104DF3"/>
    <w:rsid w:val="00104F31"/>
    <w:rsid w:val="00105095"/>
    <w:rsid w:val="00105B20"/>
    <w:rsid w:val="00105EB0"/>
    <w:rsid w:val="00106A62"/>
    <w:rsid w:val="00107223"/>
    <w:rsid w:val="00107992"/>
    <w:rsid w:val="001104FB"/>
    <w:rsid w:val="0011170F"/>
    <w:rsid w:val="00111F9B"/>
    <w:rsid w:val="00111FBE"/>
    <w:rsid w:val="001120D2"/>
    <w:rsid w:val="00112CC9"/>
    <w:rsid w:val="00112D0C"/>
    <w:rsid w:val="00112F28"/>
    <w:rsid w:val="0011362D"/>
    <w:rsid w:val="00113819"/>
    <w:rsid w:val="00113E1E"/>
    <w:rsid w:val="001146D7"/>
    <w:rsid w:val="0011483F"/>
    <w:rsid w:val="00115E70"/>
    <w:rsid w:val="001164E9"/>
    <w:rsid w:val="001167B1"/>
    <w:rsid w:val="001172EF"/>
    <w:rsid w:val="0011736E"/>
    <w:rsid w:val="0011791E"/>
    <w:rsid w:val="001201DD"/>
    <w:rsid w:val="001205AD"/>
    <w:rsid w:val="00120950"/>
    <w:rsid w:val="00121938"/>
    <w:rsid w:val="00122A44"/>
    <w:rsid w:val="00122FBC"/>
    <w:rsid w:val="001237BD"/>
    <w:rsid w:val="00123D8B"/>
    <w:rsid w:val="00124161"/>
    <w:rsid w:val="00124A42"/>
    <w:rsid w:val="00124ABB"/>
    <w:rsid w:val="00124BE9"/>
    <w:rsid w:val="001257D2"/>
    <w:rsid w:val="001262DF"/>
    <w:rsid w:val="001267A1"/>
    <w:rsid w:val="00127260"/>
    <w:rsid w:val="00127750"/>
    <w:rsid w:val="001277B4"/>
    <w:rsid w:val="0012786E"/>
    <w:rsid w:val="00127959"/>
    <w:rsid w:val="0013011A"/>
    <w:rsid w:val="001306A8"/>
    <w:rsid w:val="0013185B"/>
    <w:rsid w:val="00131979"/>
    <w:rsid w:val="00131A2F"/>
    <w:rsid w:val="001321A6"/>
    <w:rsid w:val="0013225F"/>
    <w:rsid w:val="00132B65"/>
    <w:rsid w:val="001331D4"/>
    <w:rsid w:val="001336E2"/>
    <w:rsid w:val="00134045"/>
    <w:rsid w:val="00134887"/>
    <w:rsid w:val="00135291"/>
    <w:rsid w:val="00135575"/>
    <w:rsid w:val="0013588E"/>
    <w:rsid w:val="0013671D"/>
    <w:rsid w:val="00137257"/>
    <w:rsid w:val="00137572"/>
    <w:rsid w:val="001376D9"/>
    <w:rsid w:val="001417F0"/>
    <w:rsid w:val="00142539"/>
    <w:rsid w:val="0014321A"/>
    <w:rsid w:val="0014374D"/>
    <w:rsid w:val="001452A7"/>
    <w:rsid w:val="00145FEA"/>
    <w:rsid w:val="001461EE"/>
    <w:rsid w:val="00146216"/>
    <w:rsid w:val="00146355"/>
    <w:rsid w:val="00146797"/>
    <w:rsid w:val="001475FE"/>
    <w:rsid w:val="00147A45"/>
    <w:rsid w:val="00147AEC"/>
    <w:rsid w:val="00151E1E"/>
    <w:rsid w:val="00151F68"/>
    <w:rsid w:val="001530AB"/>
    <w:rsid w:val="00153E35"/>
    <w:rsid w:val="00154655"/>
    <w:rsid w:val="001551D6"/>
    <w:rsid w:val="001551E7"/>
    <w:rsid w:val="001556D9"/>
    <w:rsid w:val="001557AF"/>
    <w:rsid w:val="00155910"/>
    <w:rsid w:val="00155E0B"/>
    <w:rsid w:val="00156544"/>
    <w:rsid w:val="001600E5"/>
    <w:rsid w:val="001607B3"/>
    <w:rsid w:val="00161B66"/>
    <w:rsid w:val="001621E0"/>
    <w:rsid w:val="00162B33"/>
    <w:rsid w:val="00162DDE"/>
    <w:rsid w:val="00162F5E"/>
    <w:rsid w:val="0016318A"/>
    <w:rsid w:val="00163456"/>
    <w:rsid w:val="00163626"/>
    <w:rsid w:val="00163CC8"/>
    <w:rsid w:val="00164184"/>
    <w:rsid w:val="001643C8"/>
    <w:rsid w:val="00164494"/>
    <w:rsid w:val="0016457E"/>
    <w:rsid w:val="001645B0"/>
    <w:rsid w:val="00165267"/>
    <w:rsid w:val="001658B1"/>
    <w:rsid w:val="00165EB2"/>
    <w:rsid w:val="0016616E"/>
    <w:rsid w:val="001662B5"/>
    <w:rsid w:val="00166575"/>
    <w:rsid w:val="00166D3F"/>
    <w:rsid w:val="001671FB"/>
    <w:rsid w:val="00167347"/>
    <w:rsid w:val="001677D6"/>
    <w:rsid w:val="001679AA"/>
    <w:rsid w:val="00167CC3"/>
    <w:rsid w:val="001712A1"/>
    <w:rsid w:val="00172FEB"/>
    <w:rsid w:val="00173304"/>
    <w:rsid w:val="0017339D"/>
    <w:rsid w:val="001742C4"/>
    <w:rsid w:val="00174F19"/>
    <w:rsid w:val="00175581"/>
    <w:rsid w:val="001757B2"/>
    <w:rsid w:val="00175DF8"/>
    <w:rsid w:val="001765EB"/>
    <w:rsid w:val="00176CFC"/>
    <w:rsid w:val="00176DAC"/>
    <w:rsid w:val="00177122"/>
    <w:rsid w:val="0017758C"/>
    <w:rsid w:val="00177895"/>
    <w:rsid w:val="00177974"/>
    <w:rsid w:val="001801EE"/>
    <w:rsid w:val="00180D75"/>
    <w:rsid w:val="001814A0"/>
    <w:rsid w:val="00181C16"/>
    <w:rsid w:val="0018211B"/>
    <w:rsid w:val="00182790"/>
    <w:rsid w:val="00182EE1"/>
    <w:rsid w:val="0018427E"/>
    <w:rsid w:val="00185B38"/>
    <w:rsid w:val="00185C8E"/>
    <w:rsid w:val="00185E4D"/>
    <w:rsid w:val="001864D6"/>
    <w:rsid w:val="00186CAE"/>
    <w:rsid w:val="001870CA"/>
    <w:rsid w:val="001872A6"/>
    <w:rsid w:val="001873D7"/>
    <w:rsid w:val="00187786"/>
    <w:rsid w:val="001908B5"/>
    <w:rsid w:val="001910B6"/>
    <w:rsid w:val="00191545"/>
    <w:rsid w:val="0019173B"/>
    <w:rsid w:val="00191FD8"/>
    <w:rsid w:val="0019265C"/>
    <w:rsid w:val="00192AA7"/>
    <w:rsid w:val="00192B27"/>
    <w:rsid w:val="001933C9"/>
    <w:rsid w:val="001935CD"/>
    <w:rsid w:val="0019390D"/>
    <w:rsid w:val="0019391D"/>
    <w:rsid w:val="00193FBD"/>
    <w:rsid w:val="00194543"/>
    <w:rsid w:val="001946D6"/>
    <w:rsid w:val="00194F05"/>
    <w:rsid w:val="001950F3"/>
    <w:rsid w:val="0019599C"/>
    <w:rsid w:val="00196706"/>
    <w:rsid w:val="00196BC4"/>
    <w:rsid w:val="00196D66"/>
    <w:rsid w:val="00196E8E"/>
    <w:rsid w:val="001979BB"/>
    <w:rsid w:val="001A0604"/>
    <w:rsid w:val="001A0706"/>
    <w:rsid w:val="001A073A"/>
    <w:rsid w:val="001A07CF"/>
    <w:rsid w:val="001A1303"/>
    <w:rsid w:val="001A32E3"/>
    <w:rsid w:val="001A37EE"/>
    <w:rsid w:val="001A63D8"/>
    <w:rsid w:val="001A70B7"/>
    <w:rsid w:val="001A763F"/>
    <w:rsid w:val="001A7CAA"/>
    <w:rsid w:val="001B0056"/>
    <w:rsid w:val="001B02AD"/>
    <w:rsid w:val="001B0E78"/>
    <w:rsid w:val="001B16E0"/>
    <w:rsid w:val="001B1BA6"/>
    <w:rsid w:val="001B26ED"/>
    <w:rsid w:val="001B2712"/>
    <w:rsid w:val="001B27D7"/>
    <w:rsid w:val="001B2F58"/>
    <w:rsid w:val="001B373B"/>
    <w:rsid w:val="001B3F03"/>
    <w:rsid w:val="001B4686"/>
    <w:rsid w:val="001B478E"/>
    <w:rsid w:val="001B4EA6"/>
    <w:rsid w:val="001B53F4"/>
    <w:rsid w:val="001B5942"/>
    <w:rsid w:val="001B62D6"/>
    <w:rsid w:val="001B66F2"/>
    <w:rsid w:val="001B6BDF"/>
    <w:rsid w:val="001C0269"/>
    <w:rsid w:val="001C0EC3"/>
    <w:rsid w:val="001C16E1"/>
    <w:rsid w:val="001C1858"/>
    <w:rsid w:val="001C1E67"/>
    <w:rsid w:val="001C2154"/>
    <w:rsid w:val="001C232E"/>
    <w:rsid w:val="001C2A63"/>
    <w:rsid w:val="001C334D"/>
    <w:rsid w:val="001C3FC0"/>
    <w:rsid w:val="001C40BE"/>
    <w:rsid w:val="001C42CA"/>
    <w:rsid w:val="001C4CF5"/>
    <w:rsid w:val="001C4DAA"/>
    <w:rsid w:val="001C57AA"/>
    <w:rsid w:val="001C5F07"/>
    <w:rsid w:val="001C624C"/>
    <w:rsid w:val="001C6455"/>
    <w:rsid w:val="001C67EC"/>
    <w:rsid w:val="001C6B2E"/>
    <w:rsid w:val="001C71E0"/>
    <w:rsid w:val="001C79F6"/>
    <w:rsid w:val="001C7C38"/>
    <w:rsid w:val="001D0AB2"/>
    <w:rsid w:val="001D0DB6"/>
    <w:rsid w:val="001D0EF9"/>
    <w:rsid w:val="001D19A8"/>
    <w:rsid w:val="001D1A21"/>
    <w:rsid w:val="001D1E29"/>
    <w:rsid w:val="001D255F"/>
    <w:rsid w:val="001D2E21"/>
    <w:rsid w:val="001D3565"/>
    <w:rsid w:val="001D3839"/>
    <w:rsid w:val="001D3C67"/>
    <w:rsid w:val="001D3EFC"/>
    <w:rsid w:val="001D3FC2"/>
    <w:rsid w:val="001D432F"/>
    <w:rsid w:val="001D470D"/>
    <w:rsid w:val="001D4778"/>
    <w:rsid w:val="001D4868"/>
    <w:rsid w:val="001D52AB"/>
    <w:rsid w:val="001D53A3"/>
    <w:rsid w:val="001D5635"/>
    <w:rsid w:val="001D5DD1"/>
    <w:rsid w:val="001D648A"/>
    <w:rsid w:val="001D64AB"/>
    <w:rsid w:val="001D65C7"/>
    <w:rsid w:val="001D6ACE"/>
    <w:rsid w:val="001D6DA2"/>
    <w:rsid w:val="001D71C2"/>
    <w:rsid w:val="001D7332"/>
    <w:rsid w:val="001D735F"/>
    <w:rsid w:val="001D79BE"/>
    <w:rsid w:val="001E09A9"/>
    <w:rsid w:val="001E0A0F"/>
    <w:rsid w:val="001E0B23"/>
    <w:rsid w:val="001E1E54"/>
    <w:rsid w:val="001E2A55"/>
    <w:rsid w:val="001E34B2"/>
    <w:rsid w:val="001E3B41"/>
    <w:rsid w:val="001E3BCE"/>
    <w:rsid w:val="001E3D00"/>
    <w:rsid w:val="001E3E10"/>
    <w:rsid w:val="001E3F6A"/>
    <w:rsid w:val="001E41D4"/>
    <w:rsid w:val="001E4715"/>
    <w:rsid w:val="001E4FB7"/>
    <w:rsid w:val="001E52EA"/>
    <w:rsid w:val="001E5604"/>
    <w:rsid w:val="001E5D5E"/>
    <w:rsid w:val="001E63D2"/>
    <w:rsid w:val="001E6489"/>
    <w:rsid w:val="001E6529"/>
    <w:rsid w:val="001E685E"/>
    <w:rsid w:val="001E68D2"/>
    <w:rsid w:val="001E74AB"/>
    <w:rsid w:val="001E7940"/>
    <w:rsid w:val="001E795B"/>
    <w:rsid w:val="001E7E32"/>
    <w:rsid w:val="001E7F77"/>
    <w:rsid w:val="001F079D"/>
    <w:rsid w:val="001F26A0"/>
    <w:rsid w:val="001F2723"/>
    <w:rsid w:val="001F37BB"/>
    <w:rsid w:val="001F395B"/>
    <w:rsid w:val="001F407C"/>
    <w:rsid w:val="001F42B7"/>
    <w:rsid w:val="001F59AE"/>
    <w:rsid w:val="001F62CD"/>
    <w:rsid w:val="001F6809"/>
    <w:rsid w:val="001F6836"/>
    <w:rsid w:val="001F6ADB"/>
    <w:rsid w:val="001F7553"/>
    <w:rsid w:val="001F765F"/>
    <w:rsid w:val="001F770C"/>
    <w:rsid w:val="001F79E4"/>
    <w:rsid w:val="001F7A91"/>
    <w:rsid w:val="00200328"/>
    <w:rsid w:val="0020033C"/>
    <w:rsid w:val="002004EB"/>
    <w:rsid w:val="002008FA"/>
    <w:rsid w:val="0020090E"/>
    <w:rsid w:val="00200DEE"/>
    <w:rsid w:val="0020168F"/>
    <w:rsid w:val="002024AA"/>
    <w:rsid w:val="0020252C"/>
    <w:rsid w:val="0020266C"/>
    <w:rsid w:val="00203203"/>
    <w:rsid w:val="0020376A"/>
    <w:rsid w:val="00203EE9"/>
    <w:rsid w:val="00203F57"/>
    <w:rsid w:val="00205089"/>
    <w:rsid w:val="00205348"/>
    <w:rsid w:val="00206869"/>
    <w:rsid w:val="00206ED6"/>
    <w:rsid w:val="00207103"/>
    <w:rsid w:val="0020714A"/>
    <w:rsid w:val="00207CE9"/>
    <w:rsid w:val="00207E9C"/>
    <w:rsid w:val="0021026F"/>
    <w:rsid w:val="00210305"/>
    <w:rsid w:val="002107C3"/>
    <w:rsid w:val="00210CA2"/>
    <w:rsid w:val="00210F31"/>
    <w:rsid w:val="00210F32"/>
    <w:rsid w:val="00211047"/>
    <w:rsid w:val="002110E1"/>
    <w:rsid w:val="00211299"/>
    <w:rsid w:val="002113FC"/>
    <w:rsid w:val="00211490"/>
    <w:rsid w:val="0021154E"/>
    <w:rsid w:val="002119E9"/>
    <w:rsid w:val="00211A21"/>
    <w:rsid w:val="00211B78"/>
    <w:rsid w:val="00212910"/>
    <w:rsid w:val="00212C09"/>
    <w:rsid w:val="002133A7"/>
    <w:rsid w:val="00213821"/>
    <w:rsid w:val="002139F0"/>
    <w:rsid w:val="00213C9F"/>
    <w:rsid w:val="00214D9A"/>
    <w:rsid w:val="00214F04"/>
    <w:rsid w:val="00215325"/>
    <w:rsid w:val="00215DCE"/>
    <w:rsid w:val="00215DD4"/>
    <w:rsid w:val="0021603D"/>
    <w:rsid w:val="0021670F"/>
    <w:rsid w:val="002169D6"/>
    <w:rsid w:val="00217BB7"/>
    <w:rsid w:val="00220C74"/>
    <w:rsid w:val="0022106E"/>
    <w:rsid w:val="00221557"/>
    <w:rsid w:val="00221F2C"/>
    <w:rsid w:val="0022211F"/>
    <w:rsid w:val="002221D7"/>
    <w:rsid w:val="002224B5"/>
    <w:rsid w:val="00222B3A"/>
    <w:rsid w:val="00222E3E"/>
    <w:rsid w:val="0022325B"/>
    <w:rsid w:val="00224263"/>
    <w:rsid w:val="0022505F"/>
    <w:rsid w:val="00225883"/>
    <w:rsid w:val="002258B1"/>
    <w:rsid w:val="00225AA6"/>
    <w:rsid w:val="00225CB3"/>
    <w:rsid w:val="00225F49"/>
    <w:rsid w:val="00226107"/>
    <w:rsid w:val="0022643D"/>
    <w:rsid w:val="0022703D"/>
    <w:rsid w:val="00227DAD"/>
    <w:rsid w:val="002303BF"/>
    <w:rsid w:val="002303C5"/>
    <w:rsid w:val="00231B5C"/>
    <w:rsid w:val="00231B8C"/>
    <w:rsid w:val="00233450"/>
    <w:rsid w:val="0023376A"/>
    <w:rsid w:val="00233B22"/>
    <w:rsid w:val="002344C4"/>
    <w:rsid w:val="00234AF4"/>
    <w:rsid w:val="00234F9B"/>
    <w:rsid w:val="002352A2"/>
    <w:rsid w:val="00235971"/>
    <w:rsid w:val="00235DE7"/>
    <w:rsid w:val="00236974"/>
    <w:rsid w:val="002369AD"/>
    <w:rsid w:val="00236CAE"/>
    <w:rsid w:val="002372B3"/>
    <w:rsid w:val="002374A6"/>
    <w:rsid w:val="00237627"/>
    <w:rsid w:val="00237A26"/>
    <w:rsid w:val="00237C4E"/>
    <w:rsid w:val="00240054"/>
    <w:rsid w:val="002402B8"/>
    <w:rsid w:val="002416AC"/>
    <w:rsid w:val="002420FC"/>
    <w:rsid w:val="0024223E"/>
    <w:rsid w:val="0024332B"/>
    <w:rsid w:val="0024369B"/>
    <w:rsid w:val="0024429E"/>
    <w:rsid w:val="00244F06"/>
    <w:rsid w:val="00245318"/>
    <w:rsid w:val="00245C4B"/>
    <w:rsid w:val="0024674F"/>
    <w:rsid w:val="00246779"/>
    <w:rsid w:val="00246D36"/>
    <w:rsid w:val="00246FC3"/>
    <w:rsid w:val="002471A4"/>
    <w:rsid w:val="002472F1"/>
    <w:rsid w:val="00247D76"/>
    <w:rsid w:val="00247F9E"/>
    <w:rsid w:val="00250502"/>
    <w:rsid w:val="00251D46"/>
    <w:rsid w:val="002528FF"/>
    <w:rsid w:val="00253613"/>
    <w:rsid w:val="00254A7E"/>
    <w:rsid w:val="00254BA7"/>
    <w:rsid w:val="00255082"/>
    <w:rsid w:val="00255243"/>
    <w:rsid w:val="00255D09"/>
    <w:rsid w:val="00255D1D"/>
    <w:rsid w:val="00256433"/>
    <w:rsid w:val="0025654C"/>
    <w:rsid w:val="00256CF2"/>
    <w:rsid w:val="00256D02"/>
    <w:rsid w:val="0025763D"/>
    <w:rsid w:val="00257B1C"/>
    <w:rsid w:val="00257B9D"/>
    <w:rsid w:val="00257C8B"/>
    <w:rsid w:val="00257F9F"/>
    <w:rsid w:val="002606A6"/>
    <w:rsid w:val="0026150B"/>
    <w:rsid w:val="002618EF"/>
    <w:rsid w:val="002619D2"/>
    <w:rsid w:val="00261E17"/>
    <w:rsid w:val="0026301A"/>
    <w:rsid w:val="002635ED"/>
    <w:rsid w:val="00263A38"/>
    <w:rsid w:val="00263CEC"/>
    <w:rsid w:val="00265E5C"/>
    <w:rsid w:val="00266316"/>
    <w:rsid w:val="002664DB"/>
    <w:rsid w:val="002667A2"/>
    <w:rsid w:val="00266A55"/>
    <w:rsid w:val="00266C45"/>
    <w:rsid w:val="00267430"/>
    <w:rsid w:val="0026766B"/>
    <w:rsid w:val="00267ADD"/>
    <w:rsid w:val="00270282"/>
    <w:rsid w:val="00270993"/>
    <w:rsid w:val="00270BB1"/>
    <w:rsid w:val="002711D1"/>
    <w:rsid w:val="002718BD"/>
    <w:rsid w:val="00271CA3"/>
    <w:rsid w:val="00271DEA"/>
    <w:rsid w:val="002730AC"/>
    <w:rsid w:val="002736DB"/>
    <w:rsid w:val="002740C2"/>
    <w:rsid w:val="002743E0"/>
    <w:rsid w:val="00274560"/>
    <w:rsid w:val="002752DF"/>
    <w:rsid w:val="00275FBE"/>
    <w:rsid w:val="00276A6B"/>
    <w:rsid w:val="00276B1B"/>
    <w:rsid w:val="00277F2C"/>
    <w:rsid w:val="002809F2"/>
    <w:rsid w:val="00280A75"/>
    <w:rsid w:val="00280E8D"/>
    <w:rsid w:val="00281AE9"/>
    <w:rsid w:val="00281C37"/>
    <w:rsid w:val="00281CD4"/>
    <w:rsid w:val="002820E9"/>
    <w:rsid w:val="00282501"/>
    <w:rsid w:val="00282770"/>
    <w:rsid w:val="00282D67"/>
    <w:rsid w:val="00282D9D"/>
    <w:rsid w:val="00282E49"/>
    <w:rsid w:val="0028334C"/>
    <w:rsid w:val="0028368E"/>
    <w:rsid w:val="00283A06"/>
    <w:rsid w:val="00283A81"/>
    <w:rsid w:val="00283E91"/>
    <w:rsid w:val="0028502F"/>
    <w:rsid w:val="00285187"/>
    <w:rsid w:val="002852E3"/>
    <w:rsid w:val="00285417"/>
    <w:rsid w:val="002854D8"/>
    <w:rsid w:val="00286729"/>
    <w:rsid w:val="002868D1"/>
    <w:rsid w:val="00286C2E"/>
    <w:rsid w:val="002871B1"/>
    <w:rsid w:val="00287979"/>
    <w:rsid w:val="00287D70"/>
    <w:rsid w:val="00290230"/>
    <w:rsid w:val="00290563"/>
    <w:rsid w:val="00290C50"/>
    <w:rsid w:val="00292E59"/>
    <w:rsid w:val="00293046"/>
    <w:rsid w:val="0029330F"/>
    <w:rsid w:val="002933C5"/>
    <w:rsid w:val="00293B0B"/>
    <w:rsid w:val="00293D4E"/>
    <w:rsid w:val="00295224"/>
    <w:rsid w:val="002953C4"/>
    <w:rsid w:val="00295449"/>
    <w:rsid w:val="002958D3"/>
    <w:rsid w:val="00295C3A"/>
    <w:rsid w:val="00295D61"/>
    <w:rsid w:val="00295DC0"/>
    <w:rsid w:val="00296397"/>
    <w:rsid w:val="00296847"/>
    <w:rsid w:val="00296CCE"/>
    <w:rsid w:val="00296F5B"/>
    <w:rsid w:val="00297F20"/>
    <w:rsid w:val="002A1D90"/>
    <w:rsid w:val="002A2333"/>
    <w:rsid w:val="002A26DF"/>
    <w:rsid w:val="002A2E16"/>
    <w:rsid w:val="002A31A7"/>
    <w:rsid w:val="002A3243"/>
    <w:rsid w:val="002A3275"/>
    <w:rsid w:val="002A34E1"/>
    <w:rsid w:val="002A3B10"/>
    <w:rsid w:val="002A3CB5"/>
    <w:rsid w:val="002A435C"/>
    <w:rsid w:val="002A45F3"/>
    <w:rsid w:val="002A5FF2"/>
    <w:rsid w:val="002A653D"/>
    <w:rsid w:val="002A67FC"/>
    <w:rsid w:val="002A7863"/>
    <w:rsid w:val="002B0486"/>
    <w:rsid w:val="002B07CC"/>
    <w:rsid w:val="002B0A20"/>
    <w:rsid w:val="002B17EE"/>
    <w:rsid w:val="002B1865"/>
    <w:rsid w:val="002B20F5"/>
    <w:rsid w:val="002B2BBB"/>
    <w:rsid w:val="002B2C88"/>
    <w:rsid w:val="002B2DF6"/>
    <w:rsid w:val="002B334D"/>
    <w:rsid w:val="002B3703"/>
    <w:rsid w:val="002B4F84"/>
    <w:rsid w:val="002B5039"/>
    <w:rsid w:val="002B5365"/>
    <w:rsid w:val="002B5F90"/>
    <w:rsid w:val="002B60F9"/>
    <w:rsid w:val="002B65E5"/>
    <w:rsid w:val="002B7CE2"/>
    <w:rsid w:val="002C03BF"/>
    <w:rsid w:val="002C08E2"/>
    <w:rsid w:val="002C0AED"/>
    <w:rsid w:val="002C0C91"/>
    <w:rsid w:val="002C0F52"/>
    <w:rsid w:val="002C14EC"/>
    <w:rsid w:val="002C15C5"/>
    <w:rsid w:val="002C27AE"/>
    <w:rsid w:val="002C2B0B"/>
    <w:rsid w:val="002C2E4D"/>
    <w:rsid w:val="002C34E8"/>
    <w:rsid w:val="002C3644"/>
    <w:rsid w:val="002C38F6"/>
    <w:rsid w:val="002C3B98"/>
    <w:rsid w:val="002C4694"/>
    <w:rsid w:val="002C5F4B"/>
    <w:rsid w:val="002C7678"/>
    <w:rsid w:val="002C7953"/>
    <w:rsid w:val="002D109E"/>
    <w:rsid w:val="002D1429"/>
    <w:rsid w:val="002D1C5A"/>
    <w:rsid w:val="002D2531"/>
    <w:rsid w:val="002D321F"/>
    <w:rsid w:val="002D339C"/>
    <w:rsid w:val="002D347D"/>
    <w:rsid w:val="002D375F"/>
    <w:rsid w:val="002D4076"/>
    <w:rsid w:val="002D49B4"/>
    <w:rsid w:val="002D4D17"/>
    <w:rsid w:val="002D55C9"/>
    <w:rsid w:val="002D611F"/>
    <w:rsid w:val="002D634C"/>
    <w:rsid w:val="002D69A6"/>
    <w:rsid w:val="002D69AD"/>
    <w:rsid w:val="002D6B6A"/>
    <w:rsid w:val="002E0144"/>
    <w:rsid w:val="002E0432"/>
    <w:rsid w:val="002E0CF7"/>
    <w:rsid w:val="002E0F4F"/>
    <w:rsid w:val="002E158C"/>
    <w:rsid w:val="002E3A71"/>
    <w:rsid w:val="002E48D2"/>
    <w:rsid w:val="002E4B03"/>
    <w:rsid w:val="002E4E2A"/>
    <w:rsid w:val="002E5815"/>
    <w:rsid w:val="002E5F13"/>
    <w:rsid w:val="002E679A"/>
    <w:rsid w:val="002E6D44"/>
    <w:rsid w:val="002E711B"/>
    <w:rsid w:val="002E7A44"/>
    <w:rsid w:val="002E7BD4"/>
    <w:rsid w:val="002E7D7C"/>
    <w:rsid w:val="002F048D"/>
    <w:rsid w:val="002F2E94"/>
    <w:rsid w:val="002F32F0"/>
    <w:rsid w:val="002F36CF"/>
    <w:rsid w:val="002F419A"/>
    <w:rsid w:val="002F4999"/>
    <w:rsid w:val="002F4B6B"/>
    <w:rsid w:val="002F504C"/>
    <w:rsid w:val="002F534D"/>
    <w:rsid w:val="002F5F86"/>
    <w:rsid w:val="002F6231"/>
    <w:rsid w:val="002F644A"/>
    <w:rsid w:val="002F6C33"/>
    <w:rsid w:val="002F6CC2"/>
    <w:rsid w:val="002F6DB2"/>
    <w:rsid w:val="002F7599"/>
    <w:rsid w:val="002F77D4"/>
    <w:rsid w:val="0030000D"/>
    <w:rsid w:val="0030039F"/>
    <w:rsid w:val="003013C1"/>
    <w:rsid w:val="0030205F"/>
    <w:rsid w:val="003020A4"/>
    <w:rsid w:val="0030245D"/>
    <w:rsid w:val="003026E0"/>
    <w:rsid w:val="003031B8"/>
    <w:rsid w:val="0030355B"/>
    <w:rsid w:val="0030435A"/>
    <w:rsid w:val="0030482A"/>
    <w:rsid w:val="00304C94"/>
    <w:rsid w:val="00305269"/>
    <w:rsid w:val="00305DC2"/>
    <w:rsid w:val="0030639D"/>
    <w:rsid w:val="0030733C"/>
    <w:rsid w:val="003079E2"/>
    <w:rsid w:val="003107BA"/>
    <w:rsid w:val="00310965"/>
    <w:rsid w:val="00310E88"/>
    <w:rsid w:val="003118E3"/>
    <w:rsid w:val="00311D1F"/>
    <w:rsid w:val="00311F5B"/>
    <w:rsid w:val="003120E0"/>
    <w:rsid w:val="003125FD"/>
    <w:rsid w:val="003131BF"/>
    <w:rsid w:val="003132AC"/>
    <w:rsid w:val="003147D9"/>
    <w:rsid w:val="003153AE"/>
    <w:rsid w:val="0031546E"/>
    <w:rsid w:val="0031593B"/>
    <w:rsid w:val="00316172"/>
    <w:rsid w:val="0031774A"/>
    <w:rsid w:val="0031792E"/>
    <w:rsid w:val="00317E97"/>
    <w:rsid w:val="003204AA"/>
    <w:rsid w:val="00320A94"/>
    <w:rsid w:val="00320CBE"/>
    <w:rsid w:val="00320F2F"/>
    <w:rsid w:val="003228FD"/>
    <w:rsid w:val="0032302E"/>
    <w:rsid w:val="003240AA"/>
    <w:rsid w:val="003243ED"/>
    <w:rsid w:val="00324419"/>
    <w:rsid w:val="003244C7"/>
    <w:rsid w:val="00324DBA"/>
    <w:rsid w:val="00325112"/>
    <w:rsid w:val="003251BC"/>
    <w:rsid w:val="00325631"/>
    <w:rsid w:val="003264C8"/>
    <w:rsid w:val="00326941"/>
    <w:rsid w:val="003274B5"/>
    <w:rsid w:val="00330726"/>
    <w:rsid w:val="003308CF"/>
    <w:rsid w:val="0033149D"/>
    <w:rsid w:val="00331746"/>
    <w:rsid w:val="00331959"/>
    <w:rsid w:val="00331989"/>
    <w:rsid w:val="0033364C"/>
    <w:rsid w:val="00334024"/>
    <w:rsid w:val="00334CD8"/>
    <w:rsid w:val="00335141"/>
    <w:rsid w:val="003352B9"/>
    <w:rsid w:val="00335AE8"/>
    <w:rsid w:val="00336D77"/>
    <w:rsid w:val="00337311"/>
    <w:rsid w:val="00337B0A"/>
    <w:rsid w:val="00337E37"/>
    <w:rsid w:val="00341769"/>
    <w:rsid w:val="0034189B"/>
    <w:rsid w:val="00341B98"/>
    <w:rsid w:val="00342BF1"/>
    <w:rsid w:val="00343EBB"/>
    <w:rsid w:val="00344498"/>
    <w:rsid w:val="00344835"/>
    <w:rsid w:val="003449A6"/>
    <w:rsid w:val="00344E00"/>
    <w:rsid w:val="0034519A"/>
    <w:rsid w:val="00346AFF"/>
    <w:rsid w:val="00346C9A"/>
    <w:rsid w:val="003503B2"/>
    <w:rsid w:val="003503B7"/>
    <w:rsid w:val="00350E19"/>
    <w:rsid w:val="003511C4"/>
    <w:rsid w:val="0035126C"/>
    <w:rsid w:val="00351453"/>
    <w:rsid w:val="0035193F"/>
    <w:rsid w:val="00352247"/>
    <w:rsid w:val="00352425"/>
    <w:rsid w:val="00352751"/>
    <w:rsid w:val="00352A16"/>
    <w:rsid w:val="00352AD9"/>
    <w:rsid w:val="003534B2"/>
    <w:rsid w:val="003545D5"/>
    <w:rsid w:val="003552B0"/>
    <w:rsid w:val="00355368"/>
    <w:rsid w:val="003558D0"/>
    <w:rsid w:val="00355991"/>
    <w:rsid w:val="003567EA"/>
    <w:rsid w:val="00356EDA"/>
    <w:rsid w:val="00357576"/>
    <w:rsid w:val="003576D7"/>
    <w:rsid w:val="003577C1"/>
    <w:rsid w:val="00357B52"/>
    <w:rsid w:val="003601CE"/>
    <w:rsid w:val="003604DC"/>
    <w:rsid w:val="003605A1"/>
    <w:rsid w:val="00360D82"/>
    <w:rsid w:val="003616F5"/>
    <w:rsid w:val="0036219D"/>
    <w:rsid w:val="00362C34"/>
    <w:rsid w:val="00363D8A"/>
    <w:rsid w:val="00363E0A"/>
    <w:rsid w:val="00363F68"/>
    <w:rsid w:val="003642F2"/>
    <w:rsid w:val="00364600"/>
    <w:rsid w:val="00365081"/>
    <w:rsid w:val="003650A2"/>
    <w:rsid w:val="00365657"/>
    <w:rsid w:val="00365D07"/>
    <w:rsid w:val="0036659A"/>
    <w:rsid w:val="00366A05"/>
    <w:rsid w:val="003675AE"/>
    <w:rsid w:val="0036774E"/>
    <w:rsid w:val="00367C57"/>
    <w:rsid w:val="00370008"/>
    <w:rsid w:val="003708B2"/>
    <w:rsid w:val="003709AC"/>
    <w:rsid w:val="00371880"/>
    <w:rsid w:val="00371E0C"/>
    <w:rsid w:val="00372C54"/>
    <w:rsid w:val="00372DA0"/>
    <w:rsid w:val="003735BC"/>
    <w:rsid w:val="0037387C"/>
    <w:rsid w:val="00374EBE"/>
    <w:rsid w:val="00375690"/>
    <w:rsid w:val="00375DA0"/>
    <w:rsid w:val="00376161"/>
    <w:rsid w:val="00376A76"/>
    <w:rsid w:val="003772C6"/>
    <w:rsid w:val="00377F8F"/>
    <w:rsid w:val="003827D5"/>
    <w:rsid w:val="00383416"/>
    <w:rsid w:val="0038452A"/>
    <w:rsid w:val="003847A4"/>
    <w:rsid w:val="00384AF7"/>
    <w:rsid w:val="00385927"/>
    <w:rsid w:val="00385E27"/>
    <w:rsid w:val="0038742C"/>
    <w:rsid w:val="00390197"/>
    <w:rsid w:val="00390B9B"/>
    <w:rsid w:val="00391D18"/>
    <w:rsid w:val="00391DC9"/>
    <w:rsid w:val="003925DD"/>
    <w:rsid w:val="0039303C"/>
    <w:rsid w:val="00393B4C"/>
    <w:rsid w:val="003944A5"/>
    <w:rsid w:val="003945F6"/>
    <w:rsid w:val="0039548F"/>
    <w:rsid w:val="003954CB"/>
    <w:rsid w:val="0039586E"/>
    <w:rsid w:val="003966F5"/>
    <w:rsid w:val="003973B3"/>
    <w:rsid w:val="003976A0"/>
    <w:rsid w:val="00397B95"/>
    <w:rsid w:val="00397DD2"/>
    <w:rsid w:val="003A015A"/>
    <w:rsid w:val="003A0E6B"/>
    <w:rsid w:val="003A18A8"/>
    <w:rsid w:val="003A27E5"/>
    <w:rsid w:val="003A2EBD"/>
    <w:rsid w:val="003A3337"/>
    <w:rsid w:val="003A3ACB"/>
    <w:rsid w:val="003A4081"/>
    <w:rsid w:val="003A518B"/>
    <w:rsid w:val="003A5264"/>
    <w:rsid w:val="003A5928"/>
    <w:rsid w:val="003A5AB4"/>
    <w:rsid w:val="003A5C4A"/>
    <w:rsid w:val="003A6296"/>
    <w:rsid w:val="003A6BB6"/>
    <w:rsid w:val="003A74C2"/>
    <w:rsid w:val="003A79C9"/>
    <w:rsid w:val="003A7F68"/>
    <w:rsid w:val="003B0104"/>
    <w:rsid w:val="003B0BCF"/>
    <w:rsid w:val="003B12DC"/>
    <w:rsid w:val="003B1F71"/>
    <w:rsid w:val="003B21AD"/>
    <w:rsid w:val="003B2475"/>
    <w:rsid w:val="003B2540"/>
    <w:rsid w:val="003B27F1"/>
    <w:rsid w:val="003B36C1"/>
    <w:rsid w:val="003B3EF3"/>
    <w:rsid w:val="003B3FA5"/>
    <w:rsid w:val="003B4213"/>
    <w:rsid w:val="003B4CA5"/>
    <w:rsid w:val="003B5359"/>
    <w:rsid w:val="003B6D09"/>
    <w:rsid w:val="003B7B3D"/>
    <w:rsid w:val="003B7D0B"/>
    <w:rsid w:val="003B7EDD"/>
    <w:rsid w:val="003B7F85"/>
    <w:rsid w:val="003C058B"/>
    <w:rsid w:val="003C0663"/>
    <w:rsid w:val="003C081F"/>
    <w:rsid w:val="003C0C7C"/>
    <w:rsid w:val="003C12B3"/>
    <w:rsid w:val="003C1E4F"/>
    <w:rsid w:val="003C1F72"/>
    <w:rsid w:val="003C235A"/>
    <w:rsid w:val="003C24B8"/>
    <w:rsid w:val="003C27CC"/>
    <w:rsid w:val="003C47AB"/>
    <w:rsid w:val="003C4A68"/>
    <w:rsid w:val="003C4F19"/>
    <w:rsid w:val="003C5259"/>
    <w:rsid w:val="003C53F8"/>
    <w:rsid w:val="003C6EB0"/>
    <w:rsid w:val="003D2088"/>
    <w:rsid w:val="003D258F"/>
    <w:rsid w:val="003D35E3"/>
    <w:rsid w:val="003D43E5"/>
    <w:rsid w:val="003D4F98"/>
    <w:rsid w:val="003D538A"/>
    <w:rsid w:val="003D566C"/>
    <w:rsid w:val="003D5A75"/>
    <w:rsid w:val="003D5F1C"/>
    <w:rsid w:val="003D5F7E"/>
    <w:rsid w:val="003D64BC"/>
    <w:rsid w:val="003D6FA4"/>
    <w:rsid w:val="003D6FBF"/>
    <w:rsid w:val="003D70F5"/>
    <w:rsid w:val="003D7C8D"/>
    <w:rsid w:val="003E0707"/>
    <w:rsid w:val="003E0C48"/>
    <w:rsid w:val="003E576B"/>
    <w:rsid w:val="003E6324"/>
    <w:rsid w:val="003E6731"/>
    <w:rsid w:val="003E748E"/>
    <w:rsid w:val="003E756F"/>
    <w:rsid w:val="003E767B"/>
    <w:rsid w:val="003E7C44"/>
    <w:rsid w:val="003E7D09"/>
    <w:rsid w:val="003F0EEE"/>
    <w:rsid w:val="003F0FC6"/>
    <w:rsid w:val="003F1071"/>
    <w:rsid w:val="003F164D"/>
    <w:rsid w:val="003F1EDF"/>
    <w:rsid w:val="003F1F67"/>
    <w:rsid w:val="003F29E1"/>
    <w:rsid w:val="003F2A68"/>
    <w:rsid w:val="003F2E0C"/>
    <w:rsid w:val="003F3931"/>
    <w:rsid w:val="003F3950"/>
    <w:rsid w:val="003F4A2C"/>
    <w:rsid w:val="003F4D81"/>
    <w:rsid w:val="003F4F3D"/>
    <w:rsid w:val="003F50BB"/>
    <w:rsid w:val="003F50EB"/>
    <w:rsid w:val="003F541E"/>
    <w:rsid w:val="003F6114"/>
    <w:rsid w:val="003F6638"/>
    <w:rsid w:val="003F6F57"/>
    <w:rsid w:val="003F7AB1"/>
    <w:rsid w:val="00400956"/>
    <w:rsid w:val="00400C58"/>
    <w:rsid w:val="00401033"/>
    <w:rsid w:val="0040171B"/>
    <w:rsid w:val="004018C3"/>
    <w:rsid w:val="00402A05"/>
    <w:rsid w:val="00402C19"/>
    <w:rsid w:val="00403341"/>
    <w:rsid w:val="0040403D"/>
    <w:rsid w:val="0040502C"/>
    <w:rsid w:val="004051E7"/>
    <w:rsid w:val="004053CB"/>
    <w:rsid w:val="00405ACD"/>
    <w:rsid w:val="00406648"/>
    <w:rsid w:val="00406A86"/>
    <w:rsid w:val="00406EBF"/>
    <w:rsid w:val="004072A2"/>
    <w:rsid w:val="004104B3"/>
    <w:rsid w:val="00410DC9"/>
    <w:rsid w:val="00410FB1"/>
    <w:rsid w:val="00414217"/>
    <w:rsid w:val="004148CE"/>
    <w:rsid w:val="00414F59"/>
    <w:rsid w:val="00415BAE"/>
    <w:rsid w:val="00417BA9"/>
    <w:rsid w:val="00417EC1"/>
    <w:rsid w:val="00417FED"/>
    <w:rsid w:val="004202F2"/>
    <w:rsid w:val="0042154A"/>
    <w:rsid w:val="00421630"/>
    <w:rsid w:val="00422347"/>
    <w:rsid w:val="00422448"/>
    <w:rsid w:val="004224FB"/>
    <w:rsid w:val="004227F7"/>
    <w:rsid w:val="004229E0"/>
    <w:rsid w:val="00423000"/>
    <w:rsid w:val="00423321"/>
    <w:rsid w:val="00423A91"/>
    <w:rsid w:val="0042403D"/>
    <w:rsid w:val="00424939"/>
    <w:rsid w:val="00424976"/>
    <w:rsid w:val="00424A58"/>
    <w:rsid w:val="00425A23"/>
    <w:rsid w:val="004269ED"/>
    <w:rsid w:val="00427258"/>
    <w:rsid w:val="00427454"/>
    <w:rsid w:val="00427E0D"/>
    <w:rsid w:val="00427FD0"/>
    <w:rsid w:val="00430169"/>
    <w:rsid w:val="00430286"/>
    <w:rsid w:val="0043028B"/>
    <w:rsid w:val="00430FEA"/>
    <w:rsid w:val="004316F7"/>
    <w:rsid w:val="00431700"/>
    <w:rsid w:val="00431948"/>
    <w:rsid w:val="00431B23"/>
    <w:rsid w:val="004333CE"/>
    <w:rsid w:val="00433723"/>
    <w:rsid w:val="00434942"/>
    <w:rsid w:val="00434A9D"/>
    <w:rsid w:val="00435A1E"/>
    <w:rsid w:val="004375BC"/>
    <w:rsid w:val="004377D9"/>
    <w:rsid w:val="00440465"/>
    <w:rsid w:val="00440951"/>
    <w:rsid w:val="00440D3C"/>
    <w:rsid w:val="00441399"/>
    <w:rsid w:val="00443187"/>
    <w:rsid w:val="004431A6"/>
    <w:rsid w:val="00443467"/>
    <w:rsid w:val="0044356C"/>
    <w:rsid w:val="0044367D"/>
    <w:rsid w:val="004437D3"/>
    <w:rsid w:val="0044427F"/>
    <w:rsid w:val="00444373"/>
    <w:rsid w:val="004443CB"/>
    <w:rsid w:val="00445BD5"/>
    <w:rsid w:val="00445FFD"/>
    <w:rsid w:val="0044629E"/>
    <w:rsid w:val="00447226"/>
    <w:rsid w:val="00450734"/>
    <w:rsid w:val="0045137D"/>
    <w:rsid w:val="00451756"/>
    <w:rsid w:val="00451DDC"/>
    <w:rsid w:val="004521A4"/>
    <w:rsid w:val="00452416"/>
    <w:rsid w:val="00453283"/>
    <w:rsid w:val="00453351"/>
    <w:rsid w:val="004540A5"/>
    <w:rsid w:val="004540ED"/>
    <w:rsid w:val="004542A2"/>
    <w:rsid w:val="004543B4"/>
    <w:rsid w:val="004543D3"/>
    <w:rsid w:val="0045441A"/>
    <w:rsid w:val="004548F6"/>
    <w:rsid w:val="004550B2"/>
    <w:rsid w:val="0045564A"/>
    <w:rsid w:val="0045622F"/>
    <w:rsid w:val="00456C9E"/>
    <w:rsid w:val="00456F81"/>
    <w:rsid w:val="00457D9E"/>
    <w:rsid w:val="004602F0"/>
    <w:rsid w:val="00460D52"/>
    <w:rsid w:val="00461394"/>
    <w:rsid w:val="004613F9"/>
    <w:rsid w:val="004617E3"/>
    <w:rsid w:val="00461B8B"/>
    <w:rsid w:val="00461E52"/>
    <w:rsid w:val="00461FA7"/>
    <w:rsid w:val="00462244"/>
    <w:rsid w:val="004624C7"/>
    <w:rsid w:val="00462D91"/>
    <w:rsid w:val="00462DC9"/>
    <w:rsid w:val="00463031"/>
    <w:rsid w:val="004633D6"/>
    <w:rsid w:val="00464F92"/>
    <w:rsid w:val="00465D45"/>
    <w:rsid w:val="00465E9F"/>
    <w:rsid w:val="00466295"/>
    <w:rsid w:val="00466460"/>
    <w:rsid w:val="004665CC"/>
    <w:rsid w:val="00467E6C"/>
    <w:rsid w:val="00467F8D"/>
    <w:rsid w:val="00470D0D"/>
    <w:rsid w:val="00471BF8"/>
    <w:rsid w:val="0047229D"/>
    <w:rsid w:val="0047249A"/>
    <w:rsid w:val="00472E4B"/>
    <w:rsid w:val="00472ED5"/>
    <w:rsid w:val="004738A1"/>
    <w:rsid w:val="00473D23"/>
    <w:rsid w:val="00473FBA"/>
    <w:rsid w:val="0047459C"/>
    <w:rsid w:val="00474867"/>
    <w:rsid w:val="004751D5"/>
    <w:rsid w:val="004769E6"/>
    <w:rsid w:val="00476F3B"/>
    <w:rsid w:val="00477839"/>
    <w:rsid w:val="004801C0"/>
    <w:rsid w:val="004805E0"/>
    <w:rsid w:val="00480B37"/>
    <w:rsid w:val="004811CC"/>
    <w:rsid w:val="004819F0"/>
    <w:rsid w:val="00481B74"/>
    <w:rsid w:val="00481D56"/>
    <w:rsid w:val="004826E1"/>
    <w:rsid w:val="00483234"/>
    <w:rsid w:val="00483F82"/>
    <w:rsid w:val="0048407F"/>
    <w:rsid w:val="004844B9"/>
    <w:rsid w:val="004845F3"/>
    <w:rsid w:val="0048471E"/>
    <w:rsid w:val="0048542A"/>
    <w:rsid w:val="00485BA6"/>
    <w:rsid w:val="00485D1B"/>
    <w:rsid w:val="00485D1C"/>
    <w:rsid w:val="00485FAB"/>
    <w:rsid w:val="00486ACD"/>
    <w:rsid w:val="00486EB2"/>
    <w:rsid w:val="0049008E"/>
    <w:rsid w:val="0049020C"/>
    <w:rsid w:val="00491001"/>
    <w:rsid w:val="0049112B"/>
    <w:rsid w:val="004917AA"/>
    <w:rsid w:val="00491AE9"/>
    <w:rsid w:val="004925B3"/>
    <w:rsid w:val="00493381"/>
    <w:rsid w:val="004934A0"/>
    <w:rsid w:val="00493A01"/>
    <w:rsid w:val="00493D55"/>
    <w:rsid w:val="0049469E"/>
    <w:rsid w:val="00494792"/>
    <w:rsid w:val="00494830"/>
    <w:rsid w:val="004948D2"/>
    <w:rsid w:val="004948E5"/>
    <w:rsid w:val="00495522"/>
    <w:rsid w:val="0049646F"/>
    <w:rsid w:val="004967C0"/>
    <w:rsid w:val="0049693B"/>
    <w:rsid w:val="0049717C"/>
    <w:rsid w:val="004975A8"/>
    <w:rsid w:val="00497678"/>
    <w:rsid w:val="00497F68"/>
    <w:rsid w:val="004A0E08"/>
    <w:rsid w:val="004A108B"/>
    <w:rsid w:val="004A1978"/>
    <w:rsid w:val="004A19DD"/>
    <w:rsid w:val="004A1F24"/>
    <w:rsid w:val="004A2275"/>
    <w:rsid w:val="004A32FA"/>
    <w:rsid w:val="004A3DD6"/>
    <w:rsid w:val="004A3DEA"/>
    <w:rsid w:val="004A404D"/>
    <w:rsid w:val="004A453B"/>
    <w:rsid w:val="004A4E01"/>
    <w:rsid w:val="004A58C0"/>
    <w:rsid w:val="004A5CBD"/>
    <w:rsid w:val="004A62A7"/>
    <w:rsid w:val="004A6593"/>
    <w:rsid w:val="004A75E2"/>
    <w:rsid w:val="004B03ED"/>
    <w:rsid w:val="004B1826"/>
    <w:rsid w:val="004B1995"/>
    <w:rsid w:val="004B219B"/>
    <w:rsid w:val="004B2668"/>
    <w:rsid w:val="004B3603"/>
    <w:rsid w:val="004B3DD3"/>
    <w:rsid w:val="004B401A"/>
    <w:rsid w:val="004B4168"/>
    <w:rsid w:val="004B46D6"/>
    <w:rsid w:val="004B4862"/>
    <w:rsid w:val="004B4D25"/>
    <w:rsid w:val="004B4EAA"/>
    <w:rsid w:val="004B51B6"/>
    <w:rsid w:val="004B569C"/>
    <w:rsid w:val="004B592E"/>
    <w:rsid w:val="004B5A08"/>
    <w:rsid w:val="004B5E3F"/>
    <w:rsid w:val="004B663D"/>
    <w:rsid w:val="004B6672"/>
    <w:rsid w:val="004B6AD6"/>
    <w:rsid w:val="004B6D20"/>
    <w:rsid w:val="004B7840"/>
    <w:rsid w:val="004C04CD"/>
    <w:rsid w:val="004C059F"/>
    <w:rsid w:val="004C1980"/>
    <w:rsid w:val="004C2EEA"/>
    <w:rsid w:val="004C303C"/>
    <w:rsid w:val="004C31DC"/>
    <w:rsid w:val="004C3A47"/>
    <w:rsid w:val="004C3D99"/>
    <w:rsid w:val="004C3F5C"/>
    <w:rsid w:val="004C411C"/>
    <w:rsid w:val="004C4574"/>
    <w:rsid w:val="004C5814"/>
    <w:rsid w:val="004C5C9D"/>
    <w:rsid w:val="004C603F"/>
    <w:rsid w:val="004C6278"/>
    <w:rsid w:val="004C6482"/>
    <w:rsid w:val="004C6F07"/>
    <w:rsid w:val="004D0432"/>
    <w:rsid w:val="004D0735"/>
    <w:rsid w:val="004D103B"/>
    <w:rsid w:val="004D11DD"/>
    <w:rsid w:val="004D126D"/>
    <w:rsid w:val="004D18CD"/>
    <w:rsid w:val="004D258D"/>
    <w:rsid w:val="004D30CA"/>
    <w:rsid w:val="004D3219"/>
    <w:rsid w:val="004D32BD"/>
    <w:rsid w:val="004D396E"/>
    <w:rsid w:val="004D3F33"/>
    <w:rsid w:val="004D43ED"/>
    <w:rsid w:val="004D494A"/>
    <w:rsid w:val="004D4984"/>
    <w:rsid w:val="004D4F3F"/>
    <w:rsid w:val="004D506A"/>
    <w:rsid w:val="004D63A2"/>
    <w:rsid w:val="004D6880"/>
    <w:rsid w:val="004D6883"/>
    <w:rsid w:val="004D6BFB"/>
    <w:rsid w:val="004D6F44"/>
    <w:rsid w:val="004D71F2"/>
    <w:rsid w:val="004D76AF"/>
    <w:rsid w:val="004E0CE3"/>
    <w:rsid w:val="004E0DDF"/>
    <w:rsid w:val="004E108E"/>
    <w:rsid w:val="004E1A32"/>
    <w:rsid w:val="004E1ACE"/>
    <w:rsid w:val="004E23B6"/>
    <w:rsid w:val="004E266D"/>
    <w:rsid w:val="004E27CC"/>
    <w:rsid w:val="004E2804"/>
    <w:rsid w:val="004E31AC"/>
    <w:rsid w:val="004E3649"/>
    <w:rsid w:val="004E398B"/>
    <w:rsid w:val="004E4233"/>
    <w:rsid w:val="004E48D4"/>
    <w:rsid w:val="004E4DA7"/>
    <w:rsid w:val="004E4EC3"/>
    <w:rsid w:val="004E59F6"/>
    <w:rsid w:val="004E5E1C"/>
    <w:rsid w:val="004E5F98"/>
    <w:rsid w:val="004E6345"/>
    <w:rsid w:val="004E6956"/>
    <w:rsid w:val="004E6D12"/>
    <w:rsid w:val="004E7378"/>
    <w:rsid w:val="004E7417"/>
    <w:rsid w:val="004E7814"/>
    <w:rsid w:val="004F0685"/>
    <w:rsid w:val="004F0938"/>
    <w:rsid w:val="004F095B"/>
    <w:rsid w:val="004F1101"/>
    <w:rsid w:val="004F1273"/>
    <w:rsid w:val="004F1463"/>
    <w:rsid w:val="004F1688"/>
    <w:rsid w:val="004F170E"/>
    <w:rsid w:val="004F1992"/>
    <w:rsid w:val="004F2751"/>
    <w:rsid w:val="004F2C35"/>
    <w:rsid w:val="004F3281"/>
    <w:rsid w:val="004F3924"/>
    <w:rsid w:val="004F3A70"/>
    <w:rsid w:val="004F3C62"/>
    <w:rsid w:val="004F50FC"/>
    <w:rsid w:val="004F51A2"/>
    <w:rsid w:val="004F51CE"/>
    <w:rsid w:val="004F55DD"/>
    <w:rsid w:val="004F5F07"/>
    <w:rsid w:val="004F6372"/>
    <w:rsid w:val="004F70B8"/>
    <w:rsid w:val="004F72E1"/>
    <w:rsid w:val="004F77B9"/>
    <w:rsid w:val="004F7EF1"/>
    <w:rsid w:val="00500C2E"/>
    <w:rsid w:val="005011E2"/>
    <w:rsid w:val="0050140F"/>
    <w:rsid w:val="0050167F"/>
    <w:rsid w:val="005016D5"/>
    <w:rsid w:val="0050362E"/>
    <w:rsid w:val="00503D8E"/>
    <w:rsid w:val="00505105"/>
    <w:rsid w:val="00505713"/>
    <w:rsid w:val="005060C1"/>
    <w:rsid w:val="0050674F"/>
    <w:rsid w:val="00506B49"/>
    <w:rsid w:val="00506FA6"/>
    <w:rsid w:val="00507100"/>
    <w:rsid w:val="00507B31"/>
    <w:rsid w:val="00510557"/>
    <w:rsid w:val="005110E0"/>
    <w:rsid w:val="005117A3"/>
    <w:rsid w:val="005120CB"/>
    <w:rsid w:val="00512817"/>
    <w:rsid w:val="00512AB4"/>
    <w:rsid w:val="00512C28"/>
    <w:rsid w:val="005138C7"/>
    <w:rsid w:val="005144ED"/>
    <w:rsid w:val="005150B5"/>
    <w:rsid w:val="00515215"/>
    <w:rsid w:val="005153C8"/>
    <w:rsid w:val="005156D8"/>
    <w:rsid w:val="00515B72"/>
    <w:rsid w:val="00515F9C"/>
    <w:rsid w:val="00516513"/>
    <w:rsid w:val="00516BD9"/>
    <w:rsid w:val="00516DFB"/>
    <w:rsid w:val="00517F86"/>
    <w:rsid w:val="00520A70"/>
    <w:rsid w:val="00520AF0"/>
    <w:rsid w:val="005213B2"/>
    <w:rsid w:val="0052175B"/>
    <w:rsid w:val="00522C2C"/>
    <w:rsid w:val="0052321C"/>
    <w:rsid w:val="00523512"/>
    <w:rsid w:val="00523DAA"/>
    <w:rsid w:val="00524AED"/>
    <w:rsid w:val="00524FF4"/>
    <w:rsid w:val="0052520C"/>
    <w:rsid w:val="005252DC"/>
    <w:rsid w:val="005256AB"/>
    <w:rsid w:val="005256F2"/>
    <w:rsid w:val="00526763"/>
    <w:rsid w:val="005267E3"/>
    <w:rsid w:val="00526DBB"/>
    <w:rsid w:val="00526FD0"/>
    <w:rsid w:val="00526FD1"/>
    <w:rsid w:val="00527026"/>
    <w:rsid w:val="00527120"/>
    <w:rsid w:val="00527C31"/>
    <w:rsid w:val="00530634"/>
    <w:rsid w:val="00530D2A"/>
    <w:rsid w:val="00531897"/>
    <w:rsid w:val="0053207A"/>
    <w:rsid w:val="00532457"/>
    <w:rsid w:val="0053309B"/>
    <w:rsid w:val="005337DF"/>
    <w:rsid w:val="005338F4"/>
    <w:rsid w:val="00533F39"/>
    <w:rsid w:val="00534003"/>
    <w:rsid w:val="0053465D"/>
    <w:rsid w:val="00535754"/>
    <w:rsid w:val="005357CA"/>
    <w:rsid w:val="0053631B"/>
    <w:rsid w:val="005363AF"/>
    <w:rsid w:val="005365DD"/>
    <w:rsid w:val="0053677D"/>
    <w:rsid w:val="005368C5"/>
    <w:rsid w:val="005377B5"/>
    <w:rsid w:val="00540424"/>
    <w:rsid w:val="005405F6"/>
    <w:rsid w:val="005406D4"/>
    <w:rsid w:val="00541100"/>
    <w:rsid w:val="00541547"/>
    <w:rsid w:val="00541B67"/>
    <w:rsid w:val="00541C61"/>
    <w:rsid w:val="00542240"/>
    <w:rsid w:val="0054319A"/>
    <w:rsid w:val="00543342"/>
    <w:rsid w:val="00543953"/>
    <w:rsid w:val="00543F1F"/>
    <w:rsid w:val="005441AB"/>
    <w:rsid w:val="005444C4"/>
    <w:rsid w:val="00544BC5"/>
    <w:rsid w:val="00545281"/>
    <w:rsid w:val="00545508"/>
    <w:rsid w:val="00545E5A"/>
    <w:rsid w:val="0054646D"/>
    <w:rsid w:val="005465F6"/>
    <w:rsid w:val="005466D8"/>
    <w:rsid w:val="0054679E"/>
    <w:rsid w:val="00547436"/>
    <w:rsid w:val="00547A7A"/>
    <w:rsid w:val="00551698"/>
    <w:rsid w:val="005517C5"/>
    <w:rsid w:val="005522EB"/>
    <w:rsid w:val="00552CFC"/>
    <w:rsid w:val="00553C7C"/>
    <w:rsid w:val="00553E07"/>
    <w:rsid w:val="00554A2E"/>
    <w:rsid w:val="005555AE"/>
    <w:rsid w:val="005555CA"/>
    <w:rsid w:val="00555994"/>
    <w:rsid w:val="00555DDB"/>
    <w:rsid w:val="00556A84"/>
    <w:rsid w:val="00556CA4"/>
    <w:rsid w:val="00557133"/>
    <w:rsid w:val="00557BC6"/>
    <w:rsid w:val="00557E79"/>
    <w:rsid w:val="00557EFD"/>
    <w:rsid w:val="0056044D"/>
    <w:rsid w:val="00560523"/>
    <w:rsid w:val="005605D5"/>
    <w:rsid w:val="00560B19"/>
    <w:rsid w:val="005613EA"/>
    <w:rsid w:val="00561EC6"/>
    <w:rsid w:val="00561F63"/>
    <w:rsid w:val="005623B7"/>
    <w:rsid w:val="005626C2"/>
    <w:rsid w:val="00562864"/>
    <w:rsid w:val="00562A59"/>
    <w:rsid w:val="00563313"/>
    <w:rsid w:val="00565442"/>
    <w:rsid w:val="00566023"/>
    <w:rsid w:val="00566CDE"/>
    <w:rsid w:val="005673A5"/>
    <w:rsid w:val="005677A8"/>
    <w:rsid w:val="00567FD8"/>
    <w:rsid w:val="0057047C"/>
    <w:rsid w:val="005704F7"/>
    <w:rsid w:val="00570643"/>
    <w:rsid w:val="0057120E"/>
    <w:rsid w:val="005714A8"/>
    <w:rsid w:val="00571A71"/>
    <w:rsid w:val="00572AD7"/>
    <w:rsid w:val="00573BD3"/>
    <w:rsid w:val="00574678"/>
    <w:rsid w:val="005751B0"/>
    <w:rsid w:val="005754D3"/>
    <w:rsid w:val="00577A06"/>
    <w:rsid w:val="00577E28"/>
    <w:rsid w:val="00580A9D"/>
    <w:rsid w:val="00582A61"/>
    <w:rsid w:val="00582B52"/>
    <w:rsid w:val="00582BC8"/>
    <w:rsid w:val="00582D0F"/>
    <w:rsid w:val="00583708"/>
    <w:rsid w:val="005837D6"/>
    <w:rsid w:val="00583A2E"/>
    <w:rsid w:val="005840BA"/>
    <w:rsid w:val="005842E3"/>
    <w:rsid w:val="0058483E"/>
    <w:rsid w:val="00584CFD"/>
    <w:rsid w:val="00584F84"/>
    <w:rsid w:val="005852CC"/>
    <w:rsid w:val="005863E3"/>
    <w:rsid w:val="005868DB"/>
    <w:rsid w:val="0058691D"/>
    <w:rsid w:val="00586EAA"/>
    <w:rsid w:val="00587841"/>
    <w:rsid w:val="00587E55"/>
    <w:rsid w:val="00590165"/>
    <w:rsid w:val="0059017E"/>
    <w:rsid w:val="005911A7"/>
    <w:rsid w:val="005917BC"/>
    <w:rsid w:val="00592780"/>
    <w:rsid w:val="00592AA0"/>
    <w:rsid w:val="00592ECB"/>
    <w:rsid w:val="00592FF5"/>
    <w:rsid w:val="0059369E"/>
    <w:rsid w:val="0059384A"/>
    <w:rsid w:val="00593AE1"/>
    <w:rsid w:val="00594151"/>
    <w:rsid w:val="00594BD0"/>
    <w:rsid w:val="005951D1"/>
    <w:rsid w:val="005955FD"/>
    <w:rsid w:val="00595DA8"/>
    <w:rsid w:val="005962FE"/>
    <w:rsid w:val="00597DCF"/>
    <w:rsid w:val="005A0066"/>
    <w:rsid w:val="005A0DC0"/>
    <w:rsid w:val="005A0F10"/>
    <w:rsid w:val="005A27C8"/>
    <w:rsid w:val="005A3A87"/>
    <w:rsid w:val="005A3AA4"/>
    <w:rsid w:val="005A3F57"/>
    <w:rsid w:val="005A5019"/>
    <w:rsid w:val="005A5BD1"/>
    <w:rsid w:val="005A6166"/>
    <w:rsid w:val="005A6836"/>
    <w:rsid w:val="005A755D"/>
    <w:rsid w:val="005A78E7"/>
    <w:rsid w:val="005A7E88"/>
    <w:rsid w:val="005B00DC"/>
    <w:rsid w:val="005B08C0"/>
    <w:rsid w:val="005B0A22"/>
    <w:rsid w:val="005B16AD"/>
    <w:rsid w:val="005B1FD9"/>
    <w:rsid w:val="005B2C5E"/>
    <w:rsid w:val="005B3078"/>
    <w:rsid w:val="005B3369"/>
    <w:rsid w:val="005B36B2"/>
    <w:rsid w:val="005B443E"/>
    <w:rsid w:val="005B4F99"/>
    <w:rsid w:val="005B501E"/>
    <w:rsid w:val="005B525A"/>
    <w:rsid w:val="005B580D"/>
    <w:rsid w:val="005B5985"/>
    <w:rsid w:val="005B59FC"/>
    <w:rsid w:val="005B5B1B"/>
    <w:rsid w:val="005B5BBE"/>
    <w:rsid w:val="005B5E85"/>
    <w:rsid w:val="005B5F56"/>
    <w:rsid w:val="005B6284"/>
    <w:rsid w:val="005B6B02"/>
    <w:rsid w:val="005B6BA4"/>
    <w:rsid w:val="005B6CC8"/>
    <w:rsid w:val="005B6E0D"/>
    <w:rsid w:val="005B6ED7"/>
    <w:rsid w:val="005B7A5D"/>
    <w:rsid w:val="005B7ADB"/>
    <w:rsid w:val="005C00C7"/>
    <w:rsid w:val="005C012F"/>
    <w:rsid w:val="005C091B"/>
    <w:rsid w:val="005C0CC2"/>
    <w:rsid w:val="005C0DDD"/>
    <w:rsid w:val="005C1573"/>
    <w:rsid w:val="005C15CD"/>
    <w:rsid w:val="005C1822"/>
    <w:rsid w:val="005C1910"/>
    <w:rsid w:val="005C1DD9"/>
    <w:rsid w:val="005C21AC"/>
    <w:rsid w:val="005C2496"/>
    <w:rsid w:val="005C2524"/>
    <w:rsid w:val="005C2CD9"/>
    <w:rsid w:val="005C306C"/>
    <w:rsid w:val="005C32BC"/>
    <w:rsid w:val="005C3873"/>
    <w:rsid w:val="005C3F06"/>
    <w:rsid w:val="005C4542"/>
    <w:rsid w:val="005C4F95"/>
    <w:rsid w:val="005C6A7E"/>
    <w:rsid w:val="005D027F"/>
    <w:rsid w:val="005D044B"/>
    <w:rsid w:val="005D0610"/>
    <w:rsid w:val="005D07DA"/>
    <w:rsid w:val="005D13D9"/>
    <w:rsid w:val="005D14FA"/>
    <w:rsid w:val="005D16F2"/>
    <w:rsid w:val="005D179B"/>
    <w:rsid w:val="005D1B12"/>
    <w:rsid w:val="005D250B"/>
    <w:rsid w:val="005D29D8"/>
    <w:rsid w:val="005D2AFC"/>
    <w:rsid w:val="005D2C56"/>
    <w:rsid w:val="005D2E4B"/>
    <w:rsid w:val="005D31B9"/>
    <w:rsid w:val="005D31D3"/>
    <w:rsid w:val="005D346E"/>
    <w:rsid w:val="005D36C7"/>
    <w:rsid w:val="005D3D44"/>
    <w:rsid w:val="005D42BF"/>
    <w:rsid w:val="005D4A4C"/>
    <w:rsid w:val="005D4F94"/>
    <w:rsid w:val="005D5A88"/>
    <w:rsid w:val="005D5EDC"/>
    <w:rsid w:val="005D6542"/>
    <w:rsid w:val="005D6632"/>
    <w:rsid w:val="005D66AC"/>
    <w:rsid w:val="005D73E0"/>
    <w:rsid w:val="005D745C"/>
    <w:rsid w:val="005D7993"/>
    <w:rsid w:val="005E08DF"/>
    <w:rsid w:val="005E0C55"/>
    <w:rsid w:val="005E0EAA"/>
    <w:rsid w:val="005E0FF8"/>
    <w:rsid w:val="005E11BB"/>
    <w:rsid w:val="005E2C6D"/>
    <w:rsid w:val="005E3296"/>
    <w:rsid w:val="005E33A2"/>
    <w:rsid w:val="005E3475"/>
    <w:rsid w:val="005E3A5E"/>
    <w:rsid w:val="005E4CB2"/>
    <w:rsid w:val="005E5EF2"/>
    <w:rsid w:val="005E6076"/>
    <w:rsid w:val="005E6682"/>
    <w:rsid w:val="005E67B9"/>
    <w:rsid w:val="005E6926"/>
    <w:rsid w:val="005E6CFD"/>
    <w:rsid w:val="005E70D0"/>
    <w:rsid w:val="005F017F"/>
    <w:rsid w:val="005F087E"/>
    <w:rsid w:val="005F0D33"/>
    <w:rsid w:val="005F0E58"/>
    <w:rsid w:val="005F1247"/>
    <w:rsid w:val="005F14D2"/>
    <w:rsid w:val="005F179A"/>
    <w:rsid w:val="005F25FB"/>
    <w:rsid w:val="005F293F"/>
    <w:rsid w:val="005F302F"/>
    <w:rsid w:val="005F343F"/>
    <w:rsid w:val="005F4215"/>
    <w:rsid w:val="005F4DCD"/>
    <w:rsid w:val="005F5577"/>
    <w:rsid w:val="005F62C1"/>
    <w:rsid w:val="005F6D27"/>
    <w:rsid w:val="005F6E2C"/>
    <w:rsid w:val="005F720E"/>
    <w:rsid w:val="005F7778"/>
    <w:rsid w:val="00600FCF"/>
    <w:rsid w:val="006016DC"/>
    <w:rsid w:val="00601819"/>
    <w:rsid w:val="00601D8F"/>
    <w:rsid w:val="00602287"/>
    <w:rsid w:val="0060289B"/>
    <w:rsid w:val="006029D5"/>
    <w:rsid w:val="006034D6"/>
    <w:rsid w:val="006036ED"/>
    <w:rsid w:val="006037BE"/>
    <w:rsid w:val="00604749"/>
    <w:rsid w:val="00604A0D"/>
    <w:rsid w:val="00604EC5"/>
    <w:rsid w:val="00605447"/>
    <w:rsid w:val="00605553"/>
    <w:rsid w:val="006057AC"/>
    <w:rsid w:val="006057D2"/>
    <w:rsid w:val="00605EBD"/>
    <w:rsid w:val="00605FB2"/>
    <w:rsid w:val="006064E5"/>
    <w:rsid w:val="00607EDA"/>
    <w:rsid w:val="00607FC1"/>
    <w:rsid w:val="0061020C"/>
    <w:rsid w:val="006102E9"/>
    <w:rsid w:val="00610681"/>
    <w:rsid w:val="00610ACE"/>
    <w:rsid w:val="00610E48"/>
    <w:rsid w:val="00610F1A"/>
    <w:rsid w:val="00611097"/>
    <w:rsid w:val="006127D2"/>
    <w:rsid w:val="00612CAE"/>
    <w:rsid w:val="00612F4D"/>
    <w:rsid w:val="00613B8C"/>
    <w:rsid w:val="006140E7"/>
    <w:rsid w:val="00614473"/>
    <w:rsid w:val="006148F8"/>
    <w:rsid w:val="00614FBA"/>
    <w:rsid w:val="00615344"/>
    <w:rsid w:val="00615995"/>
    <w:rsid w:val="00616092"/>
    <w:rsid w:val="00617196"/>
    <w:rsid w:val="0061798E"/>
    <w:rsid w:val="006200B1"/>
    <w:rsid w:val="0062037C"/>
    <w:rsid w:val="00620EDC"/>
    <w:rsid w:val="0062142F"/>
    <w:rsid w:val="00621EAD"/>
    <w:rsid w:val="00622215"/>
    <w:rsid w:val="0062241C"/>
    <w:rsid w:val="0062276B"/>
    <w:rsid w:val="006239D3"/>
    <w:rsid w:val="00623A23"/>
    <w:rsid w:val="00624E84"/>
    <w:rsid w:val="006252BC"/>
    <w:rsid w:val="006258A1"/>
    <w:rsid w:val="00625DB1"/>
    <w:rsid w:val="006265C4"/>
    <w:rsid w:val="00626871"/>
    <w:rsid w:val="00626F8E"/>
    <w:rsid w:val="006273E8"/>
    <w:rsid w:val="00630255"/>
    <w:rsid w:val="00630595"/>
    <w:rsid w:val="006311F1"/>
    <w:rsid w:val="006313EB"/>
    <w:rsid w:val="00631F83"/>
    <w:rsid w:val="00632444"/>
    <w:rsid w:val="00632670"/>
    <w:rsid w:val="0063368A"/>
    <w:rsid w:val="00633C55"/>
    <w:rsid w:val="00634006"/>
    <w:rsid w:val="006346F1"/>
    <w:rsid w:val="00634C41"/>
    <w:rsid w:val="00635178"/>
    <w:rsid w:val="00635316"/>
    <w:rsid w:val="00636371"/>
    <w:rsid w:val="0063689A"/>
    <w:rsid w:val="00636D85"/>
    <w:rsid w:val="006373EE"/>
    <w:rsid w:val="006375D7"/>
    <w:rsid w:val="0063767B"/>
    <w:rsid w:val="00637697"/>
    <w:rsid w:val="00637906"/>
    <w:rsid w:val="00637964"/>
    <w:rsid w:val="00640F1F"/>
    <w:rsid w:val="00641428"/>
    <w:rsid w:val="006414D7"/>
    <w:rsid w:val="006426EC"/>
    <w:rsid w:val="00643158"/>
    <w:rsid w:val="00643382"/>
    <w:rsid w:val="00643826"/>
    <w:rsid w:val="00643A49"/>
    <w:rsid w:val="00643DBA"/>
    <w:rsid w:val="0064474B"/>
    <w:rsid w:val="006448F9"/>
    <w:rsid w:val="00645591"/>
    <w:rsid w:val="00645A4B"/>
    <w:rsid w:val="006460FC"/>
    <w:rsid w:val="0064729B"/>
    <w:rsid w:val="00647B0C"/>
    <w:rsid w:val="00650046"/>
    <w:rsid w:val="00650BC2"/>
    <w:rsid w:val="00650F31"/>
    <w:rsid w:val="0065173D"/>
    <w:rsid w:val="00652EBF"/>
    <w:rsid w:val="00653C78"/>
    <w:rsid w:val="0065476D"/>
    <w:rsid w:val="006549C8"/>
    <w:rsid w:val="006549D4"/>
    <w:rsid w:val="00654E80"/>
    <w:rsid w:val="00655E41"/>
    <w:rsid w:val="00656450"/>
    <w:rsid w:val="00657E4A"/>
    <w:rsid w:val="00660808"/>
    <w:rsid w:val="00660AE5"/>
    <w:rsid w:val="0066148C"/>
    <w:rsid w:val="0066162B"/>
    <w:rsid w:val="006616B2"/>
    <w:rsid w:val="00661F85"/>
    <w:rsid w:val="0066208A"/>
    <w:rsid w:val="006622E2"/>
    <w:rsid w:val="00662B03"/>
    <w:rsid w:val="00663BCC"/>
    <w:rsid w:val="00663BFE"/>
    <w:rsid w:val="00664788"/>
    <w:rsid w:val="006649D1"/>
    <w:rsid w:val="006649EE"/>
    <w:rsid w:val="00664FDE"/>
    <w:rsid w:val="00665475"/>
    <w:rsid w:val="006654E4"/>
    <w:rsid w:val="00665635"/>
    <w:rsid w:val="00666186"/>
    <w:rsid w:val="00666A12"/>
    <w:rsid w:val="00666B5F"/>
    <w:rsid w:val="00667DE9"/>
    <w:rsid w:val="006703E6"/>
    <w:rsid w:val="0067041C"/>
    <w:rsid w:val="00670607"/>
    <w:rsid w:val="00670E37"/>
    <w:rsid w:val="00671557"/>
    <w:rsid w:val="0067192C"/>
    <w:rsid w:val="006724C5"/>
    <w:rsid w:val="0067283E"/>
    <w:rsid w:val="0067286C"/>
    <w:rsid w:val="00672DFA"/>
    <w:rsid w:val="00672E0A"/>
    <w:rsid w:val="00673BF9"/>
    <w:rsid w:val="00673CA5"/>
    <w:rsid w:val="006746FE"/>
    <w:rsid w:val="006760BD"/>
    <w:rsid w:val="006768E2"/>
    <w:rsid w:val="00676F03"/>
    <w:rsid w:val="00677136"/>
    <w:rsid w:val="006773BC"/>
    <w:rsid w:val="00677DD4"/>
    <w:rsid w:val="00677ED4"/>
    <w:rsid w:val="006802CB"/>
    <w:rsid w:val="006803A0"/>
    <w:rsid w:val="006807FE"/>
    <w:rsid w:val="00680F46"/>
    <w:rsid w:val="0068102A"/>
    <w:rsid w:val="00681EBD"/>
    <w:rsid w:val="006828B8"/>
    <w:rsid w:val="00682A0A"/>
    <w:rsid w:val="00682CDD"/>
    <w:rsid w:val="00684BA8"/>
    <w:rsid w:val="006851B1"/>
    <w:rsid w:val="00685778"/>
    <w:rsid w:val="0068578A"/>
    <w:rsid w:val="0068592C"/>
    <w:rsid w:val="006860DC"/>
    <w:rsid w:val="006865AD"/>
    <w:rsid w:val="006867D1"/>
    <w:rsid w:val="00686814"/>
    <w:rsid w:val="00686DDF"/>
    <w:rsid w:val="00686FCA"/>
    <w:rsid w:val="00690C8A"/>
    <w:rsid w:val="00691263"/>
    <w:rsid w:val="006913DF"/>
    <w:rsid w:val="00691BD9"/>
    <w:rsid w:val="00691FE3"/>
    <w:rsid w:val="00692B76"/>
    <w:rsid w:val="00692CFF"/>
    <w:rsid w:val="006938C6"/>
    <w:rsid w:val="00693EA8"/>
    <w:rsid w:val="006940F4"/>
    <w:rsid w:val="00694594"/>
    <w:rsid w:val="00694EBA"/>
    <w:rsid w:val="00695706"/>
    <w:rsid w:val="00695C35"/>
    <w:rsid w:val="00695D10"/>
    <w:rsid w:val="006962FC"/>
    <w:rsid w:val="00696760"/>
    <w:rsid w:val="00697257"/>
    <w:rsid w:val="006A0423"/>
    <w:rsid w:val="006A0B7D"/>
    <w:rsid w:val="006A0CF2"/>
    <w:rsid w:val="006A0FB1"/>
    <w:rsid w:val="006A117F"/>
    <w:rsid w:val="006A140E"/>
    <w:rsid w:val="006A1735"/>
    <w:rsid w:val="006A19DE"/>
    <w:rsid w:val="006A1EA5"/>
    <w:rsid w:val="006A21AF"/>
    <w:rsid w:val="006A2B1F"/>
    <w:rsid w:val="006A3CFD"/>
    <w:rsid w:val="006A4B67"/>
    <w:rsid w:val="006A4D52"/>
    <w:rsid w:val="006A4DC2"/>
    <w:rsid w:val="006A4EA4"/>
    <w:rsid w:val="006A4F95"/>
    <w:rsid w:val="006A5BA1"/>
    <w:rsid w:val="006A5C90"/>
    <w:rsid w:val="006A62BC"/>
    <w:rsid w:val="006A668F"/>
    <w:rsid w:val="006A7F7B"/>
    <w:rsid w:val="006B0A42"/>
    <w:rsid w:val="006B0EE2"/>
    <w:rsid w:val="006B0F4F"/>
    <w:rsid w:val="006B1A13"/>
    <w:rsid w:val="006B1B1D"/>
    <w:rsid w:val="006B23CA"/>
    <w:rsid w:val="006B24EE"/>
    <w:rsid w:val="006B2AFE"/>
    <w:rsid w:val="006B394D"/>
    <w:rsid w:val="006B3CF2"/>
    <w:rsid w:val="006B40CE"/>
    <w:rsid w:val="006B459B"/>
    <w:rsid w:val="006B4BB0"/>
    <w:rsid w:val="006B5ABA"/>
    <w:rsid w:val="006B6B70"/>
    <w:rsid w:val="006B6F57"/>
    <w:rsid w:val="006B7053"/>
    <w:rsid w:val="006B757B"/>
    <w:rsid w:val="006B7E37"/>
    <w:rsid w:val="006C04AD"/>
    <w:rsid w:val="006C0535"/>
    <w:rsid w:val="006C0ED1"/>
    <w:rsid w:val="006C0F45"/>
    <w:rsid w:val="006C0F6C"/>
    <w:rsid w:val="006C1724"/>
    <w:rsid w:val="006C1E1B"/>
    <w:rsid w:val="006C3429"/>
    <w:rsid w:val="006C34FE"/>
    <w:rsid w:val="006C3CC7"/>
    <w:rsid w:val="006C3D7E"/>
    <w:rsid w:val="006C3DC5"/>
    <w:rsid w:val="006C3F75"/>
    <w:rsid w:val="006C46E5"/>
    <w:rsid w:val="006C4BDD"/>
    <w:rsid w:val="006C5277"/>
    <w:rsid w:val="006C5992"/>
    <w:rsid w:val="006C5F45"/>
    <w:rsid w:val="006C6024"/>
    <w:rsid w:val="006C6292"/>
    <w:rsid w:val="006C65F1"/>
    <w:rsid w:val="006C6E97"/>
    <w:rsid w:val="006C6F0D"/>
    <w:rsid w:val="006C7062"/>
    <w:rsid w:val="006C77F4"/>
    <w:rsid w:val="006C7825"/>
    <w:rsid w:val="006D01BD"/>
    <w:rsid w:val="006D0A0B"/>
    <w:rsid w:val="006D166E"/>
    <w:rsid w:val="006D25A5"/>
    <w:rsid w:val="006D26B5"/>
    <w:rsid w:val="006D2899"/>
    <w:rsid w:val="006D2AC5"/>
    <w:rsid w:val="006D2E54"/>
    <w:rsid w:val="006D2FCE"/>
    <w:rsid w:val="006D359C"/>
    <w:rsid w:val="006D3F62"/>
    <w:rsid w:val="006D4065"/>
    <w:rsid w:val="006D4BAA"/>
    <w:rsid w:val="006D5559"/>
    <w:rsid w:val="006D58FA"/>
    <w:rsid w:val="006D5A56"/>
    <w:rsid w:val="006D5F9B"/>
    <w:rsid w:val="006D6A30"/>
    <w:rsid w:val="006D6E65"/>
    <w:rsid w:val="006D7393"/>
    <w:rsid w:val="006D75DD"/>
    <w:rsid w:val="006D7AED"/>
    <w:rsid w:val="006E03D0"/>
    <w:rsid w:val="006E0859"/>
    <w:rsid w:val="006E0EA9"/>
    <w:rsid w:val="006E1067"/>
    <w:rsid w:val="006E14A8"/>
    <w:rsid w:val="006E16EA"/>
    <w:rsid w:val="006E1CD1"/>
    <w:rsid w:val="006E2030"/>
    <w:rsid w:val="006E22D4"/>
    <w:rsid w:val="006E2837"/>
    <w:rsid w:val="006E2B0B"/>
    <w:rsid w:val="006E2BCE"/>
    <w:rsid w:val="006E34A4"/>
    <w:rsid w:val="006E410E"/>
    <w:rsid w:val="006E42E2"/>
    <w:rsid w:val="006E4766"/>
    <w:rsid w:val="006E4DC2"/>
    <w:rsid w:val="006E60F8"/>
    <w:rsid w:val="006E6D7D"/>
    <w:rsid w:val="006E6E37"/>
    <w:rsid w:val="006E7024"/>
    <w:rsid w:val="006E71A7"/>
    <w:rsid w:val="006E7556"/>
    <w:rsid w:val="006E7C59"/>
    <w:rsid w:val="006F00CB"/>
    <w:rsid w:val="006F0458"/>
    <w:rsid w:val="006F0745"/>
    <w:rsid w:val="006F07A9"/>
    <w:rsid w:val="006F0964"/>
    <w:rsid w:val="006F0F78"/>
    <w:rsid w:val="006F1001"/>
    <w:rsid w:val="006F1336"/>
    <w:rsid w:val="006F18D0"/>
    <w:rsid w:val="006F20A3"/>
    <w:rsid w:val="006F323E"/>
    <w:rsid w:val="006F3CFA"/>
    <w:rsid w:val="006F3D4E"/>
    <w:rsid w:val="006F45F1"/>
    <w:rsid w:val="006F4741"/>
    <w:rsid w:val="006F4828"/>
    <w:rsid w:val="006F5F65"/>
    <w:rsid w:val="006F6012"/>
    <w:rsid w:val="006F60F9"/>
    <w:rsid w:val="006F7B47"/>
    <w:rsid w:val="00700E57"/>
    <w:rsid w:val="0070111D"/>
    <w:rsid w:val="0070120C"/>
    <w:rsid w:val="0070173A"/>
    <w:rsid w:val="0070187A"/>
    <w:rsid w:val="00702102"/>
    <w:rsid w:val="00702196"/>
    <w:rsid w:val="0070224F"/>
    <w:rsid w:val="00703388"/>
    <w:rsid w:val="00703D69"/>
    <w:rsid w:val="007042BE"/>
    <w:rsid w:val="0070572A"/>
    <w:rsid w:val="00706A3C"/>
    <w:rsid w:val="00707026"/>
    <w:rsid w:val="00707CA5"/>
    <w:rsid w:val="00707FB0"/>
    <w:rsid w:val="007107C6"/>
    <w:rsid w:val="00710F45"/>
    <w:rsid w:val="00711090"/>
    <w:rsid w:val="00711ABC"/>
    <w:rsid w:val="0071208F"/>
    <w:rsid w:val="00712361"/>
    <w:rsid w:val="00712AFB"/>
    <w:rsid w:val="00713085"/>
    <w:rsid w:val="007137B6"/>
    <w:rsid w:val="007138CD"/>
    <w:rsid w:val="0071390A"/>
    <w:rsid w:val="00713E0C"/>
    <w:rsid w:val="00714017"/>
    <w:rsid w:val="00714153"/>
    <w:rsid w:val="00714C2D"/>
    <w:rsid w:val="00714D7C"/>
    <w:rsid w:val="00716915"/>
    <w:rsid w:val="007169D9"/>
    <w:rsid w:val="00716A63"/>
    <w:rsid w:val="00717497"/>
    <w:rsid w:val="0071776A"/>
    <w:rsid w:val="007202C6"/>
    <w:rsid w:val="0072045D"/>
    <w:rsid w:val="00720DD8"/>
    <w:rsid w:val="00720F2D"/>
    <w:rsid w:val="00721048"/>
    <w:rsid w:val="007213FC"/>
    <w:rsid w:val="00721430"/>
    <w:rsid w:val="00721518"/>
    <w:rsid w:val="00722E5C"/>
    <w:rsid w:val="007239EB"/>
    <w:rsid w:val="00724650"/>
    <w:rsid w:val="00724B5C"/>
    <w:rsid w:val="007252A1"/>
    <w:rsid w:val="00725D84"/>
    <w:rsid w:val="0072601A"/>
    <w:rsid w:val="0072646D"/>
    <w:rsid w:val="007265F1"/>
    <w:rsid w:val="0072754D"/>
    <w:rsid w:val="007307D6"/>
    <w:rsid w:val="00730DF0"/>
    <w:rsid w:val="00730E65"/>
    <w:rsid w:val="0073104F"/>
    <w:rsid w:val="0073127B"/>
    <w:rsid w:val="007318CD"/>
    <w:rsid w:val="00732243"/>
    <w:rsid w:val="0073227F"/>
    <w:rsid w:val="00732DC5"/>
    <w:rsid w:val="00733C9C"/>
    <w:rsid w:val="0073444F"/>
    <w:rsid w:val="0073479D"/>
    <w:rsid w:val="00735A04"/>
    <w:rsid w:val="007374CA"/>
    <w:rsid w:val="007378DA"/>
    <w:rsid w:val="00737C5D"/>
    <w:rsid w:val="00737E52"/>
    <w:rsid w:val="00737E82"/>
    <w:rsid w:val="00740681"/>
    <w:rsid w:val="007409F7"/>
    <w:rsid w:val="00740E2D"/>
    <w:rsid w:val="00740EDA"/>
    <w:rsid w:val="0074188D"/>
    <w:rsid w:val="00741C6F"/>
    <w:rsid w:val="00742149"/>
    <w:rsid w:val="00742E8F"/>
    <w:rsid w:val="00742FFF"/>
    <w:rsid w:val="00743441"/>
    <w:rsid w:val="00743A56"/>
    <w:rsid w:val="00743CCC"/>
    <w:rsid w:val="00743D97"/>
    <w:rsid w:val="00744EDE"/>
    <w:rsid w:val="00746C72"/>
    <w:rsid w:val="00746D33"/>
    <w:rsid w:val="0074746E"/>
    <w:rsid w:val="007477D3"/>
    <w:rsid w:val="00747AAA"/>
    <w:rsid w:val="00747D89"/>
    <w:rsid w:val="00747FAD"/>
    <w:rsid w:val="00750022"/>
    <w:rsid w:val="007502DD"/>
    <w:rsid w:val="007503CF"/>
    <w:rsid w:val="007505C2"/>
    <w:rsid w:val="0075061E"/>
    <w:rsid w:val="00751A53"/>
    <w:rsid w:val="00751C3C"/>
    <w:rsid w:val="00752927"/>
    <w:rsid w:val="00752D76"/>
    <w:rsid w:val="00753545"/>
    <w:rsid w:val="007543E7"/>
    <w:rsid w:val="00754586"/>
    <w:rsid w:val="007549EF"/>
    <w:rsid w:val="00754B73"/>
    <w:rsid w:val="00754C15"/>
    <w:rsid w:val="007552DC"/>
    <w:rsid w:val="007553FF"/>
    <w:rsid w:val="007556E2"/>
    <w:rsid w:val="00755ADB"/>
    <w:rsid w:val="00755BD1"/>
    <w:rsid w:val="007567E5"/>
    <w:rsid w:val="00756852"/>
    <w:rsid w:val="00756E34"/>
    <w:rsid w:val="007571D0"/>
    <w:rsid w:val="0075746A"/>
    <w:rsid w:val="007577F1"/>
    <w:rsid w:val="00761F67"/>
    <w:rsid w:val="00762544"/>
    <w:rsid w:val="007626C2"/>
    <w:rsid w:val="00762F86"/>
    <w:rsid w:val="00762FDB"/>
    <w:rsid w:val="0076384E"/>
    <w:rsid w:val="0076399E"/>
    <w:rsid w:val="007639B2"/>
    <w:rsid w:val="00763FF1"/>
    <w:rsid w:val="00764B19"/>
    <w:rsid w:val="00764DEB"/>
    <w:rsid w:val="00764E09"/>
    <w:rsid w:val="00765E57"/>
    <w:rsid w:val="0076638F"/>
    <w:rsid w:val="007665E0"/>
    <w:rsid w:val="00767993"/>
    <w:rsid w:val="00767EB0"/>
    <w:rsid w:val="00770A1E"/>
    <w:rsid w:val="00770C71"/>
    <w:rsid w:val="00771063"/>
    <w:rsid w:val="007714C0"/>
    <w:rsid w:val="0077253D"/>
    <w:rsid w:val="00772560"/>
    <w:rsid w:val="00773BFF"/>
    <w:rsid w:val="00773D86"/>
    <w:rsid w:val="00773E2B"/>
    <w:rsid w:val="007741EE"/>
    <w:rsid w:val="007742C8"/>
    <w:rsid w:val="00775BD8"/>
    <w:rsid w:val="00776677"/>
    <w:rsid w:val="00776D09"/>
    <w:rsid w:val="00777093"/>
    <w:rsid w:val="007776C4"/>
    <w:rsid w:val="00777730"/>
    <w:rsid w:val="00777E20"/>
    <w:rsid w:val="007804AB"/>
    <w:rsid w:val="0078070C"/>
    <w:rsid w:val="007808D2"/>
    <w:rsid w:val="0078146A"/>
    <w:rsid w:val="00781884"/>
    <w:rsid w:val="00782B94"/>
    <w:rsid w:val="0078312C"/>
    <w:rsid w:val="00783623"/>
    <w:rsid w:val="0078370C"/>
    <w:rsid w:val="00783B20"/>
    <w:rsid w:val="007843A7"/>
    <w:rsid w:val="0078447D"/>
    <w:rsid w:val="00784A77"/>
    <w:rsid w:val="00784E49"/>
    <w:rsid w:val="0078545F"/>
    <w:rsid w:val="007861F7"/>
    <w:rsid w:val="0078632E"/>
    <w:rsid w:val="007865D6"/>
    <w:rsid w:val="00786B5B"/>
    <w:rsid w:val="0078715E"/>
    <w:rsid w:val="007871F6"/>
    <w:rsid w:val="00787C65"/>
    <w:rsid w:val="007900AD"/>
    <w:rsid w:val="0079049C"/>
    <w:rsid w:val="00790C5F"/>
    <w:rsid w:val="0079174B"/>
    <w:rsid w:val="00791AAD"/>
    <w:rsid w:val="00791C34"/>
    <w:rsid w:val="00791DA4"/>
    <w:rsid w:val="00792436"/>
    <w:rsid w:val="00792A8A"/>
    <w:rsid w:val="00793E10"/>
    <w:rsid w:val="00793EFA"/>
    <w:rsid w:val="007943DE"/>
    <w:rsid w:val="00795177"/>
    <w:rsid w:val="00795717"/>
    <w:rsid w:val="00796C4A"/>
    <w:rsid w:val="007976C5"/>
    <w:rsid w:val="00797CB0"/>
    <w:rsid w:val="007A010F"/>
    <w:rsid w:val="007A0A31"/>
    <w:rsid w:val="007A0A80"/>
    <w:rsid w:val="007A131F"/>
    <w:rsid w:val="007A1518"/>
    <w:rsid w:val="007A1BA7"/>
    <w:rsid w:val="007A258F"/>
    <w:rsid w:val="007A2DD1"/>
    <w:rsid w:val="007A3966"/>
    <w:rsid w:val="007A4BF3"/>
    <w:rsid w:val="007A523B"/>
    <w:rsid w:val="007A564A"/>
    <w:rsid w:val="007A57B7"/>
    <w:rsid w:val="007A6894"/>
    <w:rsid w:val="007A68E4"/>
    <w:rsid w:val="007A7336"/>
    <w:rsid w:val="007A7BA8"/>
    <w:rsid w:val="007B13A4"/>
    <w:rsid w:val="007B13C8"/>
    <w:rsid w:val="007B16D5"/>
    <w:rsid w:val="007B2182"/>
    <w:rsid w:val="007B2AB2"/>
    <w:rsid w:val="007B3A41"/>
    <w:rsid w:val="007B3B6E"/>
    <w:rsid w:val="007B3CCC"/>
    <w:rsid w:val="007B45B3"/>
    <w:rsid w:val="007B47BE"/>
    <w:rsid w:val="007B55D6"/>
    <w:rsid w:val="007B568D"/>
    <w:rsid w:val="007B5DED"/>
    <w:rsid w:val="007B5F19"/>
    <w:rsid w:val="007B730F"/>
    <w:rsid w:val="007B7332"/>
    <w:rsid w:val="007B7B03"/>
    <w:rsid w:val="007B7B2B"/>
    <w:rsid w:val="007C007C"/>
    <w:rsid w:val="007C03F6"/>
    <w:rsid w:val="007C1A94"/>
    <w:rsid w:val="007C1ED8"/>
    <w:rsid w:val="007C2734"/>
    <w:rsid w:val="007C3243"/>
    <w:rsid w:val="007C3CE5"/>
    <w:rsid w:val="007C3F44"/>
    <w:rsid w:val="007C4922"/>
    <w:rsid w:val="007C4B11"/>
    <w:rsid w:val="007C4D4F"/>
    <w:rsid w:val="007C53CA"/>
    <w:rsid w:val="007C571D"/>
    <w:rsid w:val="007C574B"/>
    <w:rsid w:val="007C5F84"/>
    <w:rsid w:val="007C6161"/>
    <w:rsid w:val="007C674E"/>
    <w:rsid w:val="007C6B97"/>
    <w:rsid w:val="007C7130"/>
    <w:rsid w:val="007D168A"/>
    <w:rsid w:val="007D18F6"/>
    <w:rsid w:val="007D1E10"/>
    <w:rsid w:val="007D2413"/>
    <w:rsid w:val="007D2D23"/>
    <w:rsid w:val="007D2F77"/>
    <w:rsid w:val="007D311F"/>
    <w:rsid w:val="007D3345"/>
    <w:rsid w:val="007D3A80"/>
    <w:rsid w:val="007D3D21"/>
    <w:rsid w:val="007D3FA7"/>
    <w:rsid w:val="007D44CF"/>
    <w:rsid w:val="007D4701"/>
    <w:rsid w:val="007D56C8"/>
    <w:rsid w:val="007D5918"/>
    <w:rsid w:val="007D5AB2"/>
    <w:rsid w:val="007D6FE8"/>
    <w:rsid w:val="007D752C"/>
    <w:rsid w:val="007E1252"/>
    <w:rsid w:val="007E1C2B"/>
    <w:rsid w:val="007E28B2"/>
    <w:rsid w:val="007E381E"/>
    <w:rsid w:val="007E394B"/>
    <w:rsid w:val="007E3A19"/>
    <w:rsid w:val="007E3EB1"/>
    <w:rsid w:val="007E3F2B"/>
    <w:rsid w:val="007E41EC"/>
    <w:rsid w:val="007E4698"/>
    <w:rsid w:val="007E4C65"/>
    <w:rsid w:val="007E4D81"/>
    <w:rsid w:val="007E584B"/>
    <w:rsid w:val="007E58F9"/>
    <w:rsid w:val="007E609F"/>
    <w:rsid w:val="007E615F"/>
    <w:rsid w:val="007E65EB"/>
    <w:rsid w:val="007E6758"/>
    <w:rsid w:val="007E6A45"/>
    <w:rsid w:val="007E7028"/>
    <w:rsid w:val="007E737A"/>
    <w:rsid w:val="007E7728"/>
    <w:rsid w:val="007E79A3"/>
    <w:rsid w:val="007E7C62"/>
    <w:rsid w:val="007E7DBF"/>
    <w:rsid w:val="007F0783"/>
    <w:rsid w:val="007F0902"/>
    <w:rsid w:val="007F0B3A"/>
    <w:rsid w:val="007F0B89"/>
    <w:rsid w:val="007F1275"/>
    <w:rsid w:val="007F15FB"/>
    <w:rsid w:val="007F199B"/>
    <w:rsid w:val="007F1F0C"/>
    <w:rsid w:val="007F1FE0"/>
    <w:rsid w:val="007F2001"/>
    <w:rsid w:val="007F272C"/>
    <w:rsid w:val="007F281E"/>
    <w:rsid w:val="007F2A04"/>
    <w:rsid w:val="007F33CF"/>
    <w:rsid w:val="007F3691"/>
    <w:rsid w:val="007F4C8A"/>
    <w:rsid w:val="007F5905"/>
    <w:rsid w:val="007F5AD1"/>
    <w:rsid w:val="007F6C5C"/>
    <w:rsid w:val="007F73D7"/>
    <w:rsid w:val="007F7540"/>
    <w:rsid w:val="0080067F"/>
    <w:rsid w:val="008006DA"/>
    <w:rsid w:val="00800BD5"/>
    <w:rsid w:val="00802253"/>
    <w:rsid w:val="008025CB"/>
    <w:rsid w:val="00802BC4"/>
    <w:rsid w:val="00803941"/>
    <w:rsid w:val="00803CB9"/>
    <w:rsid w:val="00803D3D"/>
    <w:rsid w:val="00803E56"/>
    <w:rsid w:val="00803F14"/>
    <w:rsid w:val="00804108"/>
    <w:rsid w:val="0080442F"/>
    <w:rsid w:val="008059C9"/>
    <w:rsid w:val="0080613E"/>
    <w:rsid w:val="00806347"/>
    <w:rsid w:val="00806C40"/>
    <w:rsid w:val="00807252"/>
    <w:rsid w:val="00807B8F"/>
    <w:rsid w:val="00810181"/>
    <w:rsid w:val="00810BBA"/>
    <w:rsid w:val="008110CA"/>
    <w:rsid w:val="008117EB"/>
    <w:rsid w:val="00811A73"/>
    <w:rsid w:val="00811B8A"/>
    <w:rsid w:val="00812749"/>
    <w:rsid w:val="00812890"/>
    <w:rsid w:val="0081331C"/>
    <w:rsid w:val="0081387E"/>
    <w:rsid w:val="00813C37"/>
    <w:rsid w:val="008141C7"/>
    <w:rsid w:val="0081434D"/>
    <w:rsid w:val="00814A20"/>
    <w:rsid w:val="00814C6F"/>
    <w:rsid w:val="00814EAE"/>
    <w:rsid w:val="008156D6"/>
    <w:rsid w:val="00815F9C"/>
    <w:rsid w:val="008162F7"/>
    <w:rsid w:val="00816579"/>
    <w:rsid w:val="008166E2"/>
    <w:rsid w:val="00816B89"/>
    <w:rsid w:val="00816F8F"/>
    <w:rsid w:val="00817E86"/>
    <w:rsid w:val="0082017D"/>
    <w:rsid w:val="00820B4F"/>
    <w:rsid w:val="00820B84"/>
    <w:rsid w:val="00820F0E"/>
    <w:rsid w:val="008215A0"/>
    <w:rsid w:val="0082166C"/>
    <w:rsid w:val="008224B9"/>
    <w:rsid w:val="0082254C"/>
    <w:rsid w:val="00822E58"/>
    <w:rsid w:val="00822F1C"/>
    <w:rsid w:val="00823843"/>
    <w:rsid w:val="00823857"/>
    <w:rsid w:val="008240B7"/>
    <w:rsid w:val="00824244"/>
    <w:rsid w:val="00824545"/>
    <w:rsid w:val="00824F70"/>
    <w:rsid w:val="008251CE"/>
    <w:rsid w:val="008255B9"/>
    <w:rsid w:val="00825699"/>
    <w:rsid w:val="008256F5"/>
    <w:rsid w:val="00825A88"/>
    <w:rsid w:val="008266D7"/>
    <w:rsid w:val="008269B2"/>
    <w:rsid w:val="008273B5"/>
    <w:rsid w:val="00827DFB"/>
    <w:rsid w:val="00830133"/>
    <w:rsid w:val="00830BA3"/>
    <w:rsid w:val="00830CA0"/>
    <w:rsid w:val="00830DC5"/>
    <w:rsid w:val="00831352"/>
    <w:rsid w:val="00831367"/>
    <w:rsid w:val="008315B4"/>
    <w:rsid w:val="00832AEC"/>
    <w:rsid w:val="00832CBB"/>
    <w:rsid w:val="0083365B"/>
    <w:rsid w:val="00833BB4"/>
    <w:rsid w:val="00833C81"/>
    <w:rsid w:val="00834276"/>
    <w:rsid w:val="00834C50"/>
    <w:rsid w:val="00834C73"/>
    <w:rsid w:val="00834E22"/>
    <w:rsid w:val="00835977"/>
    <w:rsid w:val="00836A35"/>
    <w:rsid w:val="00836F94"/>
    <w:rsid w:val="00837EC6"/>
    <w:rsid w:val="008401C3"/>
    <w:rsid w:val="00840411"/>
    <w:rsid w:val="00840858"/>
    <w:rsid w:val="00840E04"/>
    <w:rsid w:val="00840F3D"/>
    <w:rsid w:val="008420AC"/>
    <w:rsid w:val="008428C8"/>
    <w:rsid w:val="00842D9A"/>
    <w:rsid w:val="0084304E"/>
    <w:rsid w:val="0084372E"/>
    <w:rsid w:val="008446D2"/>
    <w:rsid w:val="00844C28"/>
    <w:rsid w:val="00844D5E"/>
    <w:rsid w:val="00844D65"/>
    <w:rsid w:val="00844DA2"/>
    <w:rsid w:val="00845116"/>
    <w:rsid w:val="008454C7"/>
    <w:rsid w:val="00845B92"/>
    <w:rsid w:val="0084603C"/>
    <w:rsid w:val="00846555"/>
    <w:rsid w:val="00846EA5"/>
    <w:rsid w:val="00847523"/>
    <w:rsid w:val="008475BC"/>
    <w:rsid w:val="008477EC"/>
    <w:rsid w:val="00847B5E"/>
    <w:rsid w:val="00850D50"/>
    <w:rsid w:val="00850F2C"/>
    <w:rsid w:val="008515FF"/>
    <w:rsid w:val="00851A93"/>
    <w:rsid w:val="00852D80"/>
    <w:rsid w:val="00852F63"/>
    <w:rsid w:val="0085384D"/>
    <w:rsid w:val="00853B46"/>
    <w:rsid w:val="008542EA"/>
    <w:rsid w:val="008546B1"/>
    <w:rsid w:val="00854C07"/>
    <w:rsid w:val="00854E0F"/>
    <w:rsid w:val="0085517D"/>
    <w:rsid w:val="00855415"/>
    <w:rsid w:val="008555BF"/>
    <w:rsid w:val="0085644F"/>
    <w:rsid w:val="00856883"/>
    <w:rsid w:val="0085795A"/>
    <w:rsid w:val="00857CDA"/>
    <w:rsid w:val="00857EF9"/>
    <w:rsid w:val="00860360"/>
    <w:rsid w:val="00860661"/>
    <w:rsid w:val="00860697"/>
    <w:rsid w:val="00860BFD"/>
    <w:rsid w:val="00860EF4"/>
    <w:rsid w:val="0086127B"/>
    <w:rsid w:val="008613A1"/>
    <w:rsid w:val="0086306F"/>
    <w:rsid w:val="0086318A"/>
    <w:rsid w:val="00863361"/>
    <w:rsid w:val="008633AC"/>
    <w:rsid w:val="0086401E"/>
    <w:rsid w:val="008642CE"/>
    <w:rsid w:val="0086460E"/>
    <w:rsid w:val="00864F5C"/>
    <w:rsid w:val="008656D0"/>
    <w:rsid w:val="00865B4D"/>
    <w:rsid w:val="00865CE5"/>
    <w:rsid w:val="00865D19"/>
    <w:rsid w:val="00866223"/>
    <w:rsid w:val="00867020"/>
    <w:rsid w:val="008676CB"/>
    <w:rsid w:val="00867ACC"/>
    <w:rsid w:val="00867F4B"/>
    <w:rsid w:val="008709D3"/>
    <w:rsid w:val="00870BD0"/>
    <w:rsid w:val="00870D59"/>
    <w:rsid w:val="00870FE8"/>
    <w:rsid w:val="008710E8"/>
    <w:rsid w:val="00871D89"/>
    <w:rsid w:val="00871E2B"/>
    <w:rsid w:val="00872111"/>
    <w:rsid w:val="00872498"/>
    <w:rsid w:val="00872B78"/>
    <w:rsid w:val="008730E4"/>
    <w:rsid w:val="00873FFD"/>
    <w:rsid w:val="00874214"/>
    <w:rsid w:val="0087470E"/>
    <w:rsid w:val="00875C37"/>
    <w:rsid w:val="00875D89"/>
    <w:rsid w:val="00876114"/>
    <w:rsid w:val="008761E3"/>
    <w:rsid w:val="008777C0"/>
    <w:rsid w:val="0088038F"/>
    <w:rsid w:val="00880594"/>
    <w:rsid w:val="008810F4"/>
    <w:rsid w:val="0088115D"/>
    <w:rsid w:val="00882242"/>
    <w:rsid w:val="0088229D"/>
    <w:rsid w:val="008824FC"/>
    <w:rsid w:val="0088306D"/>
    <w:rsid w:val="008836B2"/>
    <w:rsid w:val="00883C70"/>
    <w:rsid w:val="00883F3A"/>
    <w:rsid w:val="00884D70"/>
    <w:rsid w:val="00885BEB"/>
    <w:rsid w:val="00886581"/>
    <w:rsid w:val="00886D66"/>
    <w:rsid w:val="00890277"/>
    <w:rsid w:val="00890F44"/>
    <w:rsid w:val="00891179"/>
    <w:rsid w:val="008913F1"/>
    <w:rsid w:val="008914B1"/>
    <w:rsid w:val="008914BB"/>
    <w:rsid w:val="0089184E"/>
    <w:rsid w:val="00891FAD"/>
    <w:rsid w:val="008925DC"/>
    <w:rsid w:val="00892AFE"/>
    <w:rsid w:val="0089321E"/>
    <w:rsid w:val="008939C6"/>
    <w:rsid w:val="00894698"/>
    <w:rsid w:val="00894DEA"/>
    <w:rsid w:val="00894F18"/>
    <w:rsid w:val="00894FA2"/>
    <w:rsid w:val="008951DF"/>
    <w:rsid w:val="008954B1"/>
    <w:rsid w:val="008954BF"/>
    <w:rsid w:val="008956B9"/>
    <w:rsid w:val="00895B25"/>
    <w:rsid w:val="00896877"/>
    <w:rsid w:val="00897A34"/>
    <w:rsid w:val="008A00D2"/>
    <w:rsid w:val="008A2882"/>
    <w:rsid w:val="008A2D99"/>
    <w:rsid w:val="008A30E3"/>
    <w:rsid w:val="008A3197"/>
    <w:rsid w:val="008A31DD"/>
    <w:rsid w:val="008A3A0A"/>
    <w:rsid w:val="008A3CC0"/>
    <w:rsid w:val="008A4246"/>
    <w:rsid w:val="008A4656"/>
    <w:rsid w:val="008A5536"/>
    <w:rsid w:val="008A6705"/>
    <w:rsid w:val="008B0022"/>
    <w:rsid w:val="008B06E7"/>
    <w:rsid w:val="008B07C6"/>
    <w:rsid w:val="008B07CD"/>
    <w:rsid w:val="008B15F2"/>
    <w:rsid w:val="008B1AD8"/>
    <w:rsid w:val="008B2CE1"/>
    <w:rsid w:val="008B327E"/>
    <w:rsid w:val="008B35EB"/>
    <w:rsid w:val="008B367A"/>
    <w:rsid w:val="008B3746"/>
    <w:rsid w:val="008B3EED"/>
    <w:rsid w:val="008B4485"/>
    <w:rsid w:val="008B4A34"/>
    <w:rsid w:val="008B4A54"/>
    <w:rsid w:val="008B5329"/>
    <w:rsid w:val="008B6BE5"/>
    <w:rsid w:val="008B6CD0"/>
    <w:rsid w:val="008B75A6"/>
    <w:rsid w:val="008C04BC"/>
    <w:rsid w:val="008C098B"/>
    <w:rsid w:val="008C1ADC"/>
    <w:rsid w:val="008C2729"/>
    <w:rsid w:val="008C34C2"/>
    <w:rsid w:val="008C3584"/>
    <w:rsid w:val="008C35D8"/>
    <w:rsid w:val="008C3B1B"/>
    <w:rsid w:val="008C4AF7"/>
    <w:rsid w:val="008C59E2"/>
    <w:rsid w:val="008C5A7B"/>
    <w:rsid w:val="008C638D"/>
    <w:rsid w:val="008C72CC"/>
    <w:rsid w:val="008C78EB"/>
    <w:rsid w:val="008C7ABD"/>
    <w:rsid w:val="008D0362"/>
    <w:rsid w:val="008D0A82"/>
    <w:rsid w:val="008D0CA1"/>
    <w:rsid w:val="008D0F47"/>
    <w:rsid w:val="008D134A"/>
    <w:rsid w:val="008D1930"/>
    <w:rsid w:val="008D270D"/>
    <w:rsid w:val="008D2CF7"/>
    <w:rsid w:val="008D2D10"/>
    <w:rsid w:val="008D2EC5"/>
    <w:rsid w:val="008D335F"/>
    <w:rsid w:val="008D34A4"/>
    <w:rsid w:val="008D34CD"/>
    <w:rsid w:val="008D41A8"/>
    <w:rsid w:val="008D4201"/>
    <w:rsid w:val="008D4901"/>
    <w:rsid w:val="008D4CA6"/>
    <w:rsid w:val="008D5200"/>
    <w:rsid w:val="008D5947"/>
    <w:rsid w:val="008D5D89"/>
    <w:rsid w:val="008D705F"/>
    <w:rsid w:val="008D79D2"/>
    <w:rsid w:val="008D7A0C"/>
    <w:rsid w:val="008D7C25"/>
    <w:rsid w:val="008E0095"/>
    <w:rsid w:val="008E0538"/>
    <w:rsid w:val="008E0A04"/>
    <w:rsid w:val="008E0B7B"/>
    <w:rsid w:val="008E0CA4"/>
    <w:rsid w:val="008E0DD1"/>
    <w:rsid w:val="008E114C"/>
    <w:rsid w:val="008E118C"/>
    <w:rsid w:val="008E124C"/>
    <w:rsid w:val="008E12AF"/>
    <w:rsid w:val="008E15F6"/>
    <w:rsid w:val="008E181A"/>
    <w:rsid w:val="008E1B94"/>
    <w:rsid w:val="008E2754"/>
    <w:rsid w:val="008E2D33"/>
    <w:rsid w:val="008E3821"/>
    <w:rsid w:val="008E40ED"/>
    <w:rsid w:val="008E438B"/>
    <w:rsid w:val="008E472A"/>
    <w:rsid w:val="008E4F1F"/>
    <w:rsid w:val="008E59CD"/>
    <w:rsid w:val="008E68C1"/>
    <w:rsid w:val="008E68D7"/>
    <w:rsid w:val="008E6D18"/>
    <w:rsid w:val="008E77B1"/>
    <w:rsid w:val="008E7D74"/>
    <w:rsid w:val="008F0358"/>
    <w:rsid w:val="008F074F"/>
    <w:rsid w:val="008F0FBC"/>
    <w:rsid w:val="008F10BD"/>
    <w:rsid w:val="008F151E"/>
    <w:rsid w:val="008F18D6"/>
    <w:rsid w:val="008F1AC2"/>
    <w:rsid w:val="008F2371"/>
    <w:rsid w:val="008F25CE"/>
    <w:rsid w:val="008F38AB"/>
    <w:rsid w:val="008F42D7"/>
    <w:rsid w:val="008F4DFA"/>
    <w:rsid w:val="008F5006"/>
    <w:rsid w:val="008F543D"/>
    <w:rsid w:val="008F5E60"/>
    <w:rsid w:val="008F5FEF"/>
    <w:rsid w:val="008F604A"/>
    <w:rsid w:val="008F7756"/>
    <w:rsid w:val="008F7FD7"/>
    <w:rsid w:val="009000E7"/>
    <w:rsid w:val="009005AA"/>
    <w:rsid w:val="00900BE6"/>
    <w:rsid w:val="00900C31"/>
    <w:rsid w:val="009013A1"/>
    <w:rsid w:val="00901430"/>
    <w:rsid w:val="00901AF2"/>
    <w:rsid w:val="00901C9A"/>
    <w:rsid w:val="0090248F"/>
    <w:rsid w:val="009030C4"/>
    <w:rsid w:val="00903487"/>
    <w:rsid w:val="009037F5"/>
    <w:rsid w:val="00904961"/>
    <w:rsid w:val="009052EC"/>
    <w:rsid w:val="00905583"/>
    <w:rsid w:val="00905E48"/>
    <w:rsid w:val="009061C6"/>
    <w:rsid w:val="0090645F"/>
    <w:rsid w:val="00906AA1"/>
    <w:rsid w:val="00906AF4"/>
    <w:rsid w:val="0090760C"/>
    <w:rsid w:val="009079EA"/>
    <w:rsid w:val="00907B94"/>
    <w:rsid w:val="009103D0"/>
    <w:rsid w:val="009105A4"/>
    <w:rsid w:val="009109D2"/>
    <w:rsid w:val="00910BCF"/>
    <w:rsid w:val="00910F52"/>
    <w:rsid w:val="00911A4E"/>
    <w:rsid w:val="00911AA5"/>
    <w:rsid w:val="0091230A"/>
    <w:rsid w:val="009134BF"/>
    <w:rsid w:val="00913611"/>
    <w:rsid w:val="009136BE"/>
    <w:rsid w:val="009137D2"/>
    <w:rsid w:val="009137FE"/>
    <w:rsid w:val="00913CC8"/>
    <w:rsid w:val="00914243"/>
    <w:rsid w:val="00915D22"/>
    <w:rsid w:val="00915E01"/>
    <w:rsid w:val="00915F84"/>
    <w:rsid w:val="00916111"/>
    <w:rsid w:val="00916536"/>
    <w:rsid w:val="00916940"/>
    <w:rsid w:val="00917799"/>
    <w:rsid w:val="00917E1D"/>
    <w:rsid w:val="00920597"/>
    <w:rsid w:val="00920CF2"/>
    <w:rsid w:val="0092120D"/>
    <w:rsid w:val="009215D4"/>
    <w:rsid w:val="00921D3D"/>
    <w:rsid w:val="009221D2"/>
    <w:rsid w:val="00922CA8"/>
    <w:rsid w:val="009230CF"/>
    <w:rsid w:val="00923C48"/>
    <w:rsid w:val="00923D20"/>
    <w:rsid w:val="00924032"/>
    <w:rsid w:val="009243A2"/>
    <w:rsid w:val="0092467E"/>
    <w:rsid w:val="00925B83"/>
    <w:rsid w:val="00925E96"/>
    <w:rsid w:val="00925F0E"/>
    <w:rsid w:val="009260C6"/>
    <w:rsid w:val="009263F8"/>
    <w:rsid w:val="009270E0"/>
    <w:rsid w:val="0092717D"/>
    <w:rsid w:val="00927546"/>
    <w:rsid w:val="009306B0"/>
    <w:rsid w:val="00931038"/>
    <w:rsid w:val="009318FA"/>
    <w:rsid w:val="0093196E"/>
    <w:rsid w:val="00932F0B"/>
    <w:rsid w:val="0093359E"/>
    <w:rsid w:val="00933607"/>
    <w:rsid w:val="00934623"/>
    <w:rsid w:val="009370A4"/>
    <w:rsid w:val="00937444"/>
    <w:rsid w:val="0094035D"/>
    <w:rsid w:val="009409DC"/>
    <w:rsid w:val="009409F8"/>
    <w:rsid w:val="00940A3D"/>
    <w:rsid w:val="00940C7D"/>
    <w:rsid w:val="00940D8C"/>
    <w:rsid w:val="00940E4D"/>
    <w:rsid w:val="009417D0"/>
    <w:rsid w:val="009419E8"/>
    <w:rsid w:val="00941D2D"/>
    <w:rsid w:val="00942DCC"/>
    <w:rsid w:val="00944631"/>
    <w:rsid w:val="009447AE"/>
    <w:rsid w:val="00944E21"/>
    <w:rsid w:val="00945D1E"/>
    <w:rsid w:val="00945F5D"/>
    <w:rsid w:val="00946ABA"/>
    <w:rsid w:val="00947160"/>
    <w:rsid w:val="00947BA5"/>
    <w:rsid w:val="009507E5"/>
    <w:rsid w:val="00950A11"/>
    <w:rsid w:val="00950EB1"/>
    <w:rsid w:val="009517A2"/>
    <w:rsid w:val="00951813"/>
    <w:rsid w:val="0095195F"/>
    <w:rsid w:val="0095285F"/>
    <w:rsid w:val="009532F3"/>
    <w:rsid w:val="009539FA"/>
    <w:rsid w:val="00954137"/>
    <w:rsid w:val="00954792"/>
    <w:rsid w:val="00954882"/>
    <w:rsid w:val="009551C7"/>
    <w:rsid w:val="009555CD"/>
    <w:rsid w:val="00955ACE"/>
    <w:rsid w:val="009562A0"/>
    <w:rsid w:val="00956A3B"/>
    <w:rsid w:val="0095753F"/>
    <w:rsid w:val="009578C2"/>
    <w:rsid w:val="00957E6A"/>
    <w:rsid w:val="00960AD7"/>
    <w:rsid w:val="00960D27"/>
    <w:rsid w:val="0096235D"/>
    <w:rsid w:val="009628B5"/>
    <w:rsid w:val="00962DE5"/>
    <w:rsid w:val="0096309E"/>
    <w:rsid w:val="00963318"/>
    <w:rsid w:val="0096382E"/>
    <w:rsid w:val="00963A25"/>
    <w:rsid w:val="00963A27"/>
    <w:rsid w:val="00963C1D"/>
    <w:rsid w:val="00963DC4"/>
    <w:rsid w:val="009647EE"/>
    <w:rsid w:val="0096502D"/>
    <w:rsid w:val="00965136"/>
    <w:rsid w:val="00965354"/>
    <w:rsid w:val="009656E1"/>
    <w:rsid w:val="009659A4"/>
    <w:rsid w:val="009666D3"/>
    <w:rsid w:val="00966872"/>
    <w:rsid w:val="00966A02"/>
    <w:rsid w:val="00966B34"/>
    <w:rsid w:val="00966F63"/>
    <w:rsid w:val="0096719B"/>
    <w:rsid w:val="00967E3E"/>
    <w:rsid w:val="00970E91"/>
    <w:rsid w:val="00970F5D"/>
    <w:rsid w:val="0097112E"/>
    <w:rsid w:val="0097145F"/>
    <w:rsid w:val="00971CE2"/>
    <w:rsid w:val="00971F0C"/>
    <w:rsid w:val="00972A53"/>
    <w:rsid w:val="0097377D"/>
    <w:rsid w:val="00974578"/>
    <w:rsid w:val="009748CC"/>
    <w:rsid w:val="00974AA3"/>
    <w:rsid w:val="00974B7F"/>
    <w:rsid w:val="00975022"/>
    <w:rsid w:val="009751DC"/>
    <w:rsid w:val="00976A52"/>
    <w:rsid w:val="00977EB0"/>
    <w:rsid w:val="00980446"/>
    <w:rsid w:val="00980845"/>
    <w:rsid w:val="00982291"/>
    <w:rsid w:val="00982984"/>
    <w:rsid w:val="009829D9"/>
    <w:rsid w:val="009835B1"/>
    <w:rsid w:val="00984BE9"/>
    <w:rsid w:val="00985323"/>
    <w:rsid w:val="009857E4"/>
    <w:rsid w:val="00985B04"/>
    <w:rsid w:val="00985D9B"/>
    <w:rsid w:val="009860F7"/>
    <w:rsid w:val="00986544"/>
    <w:rsid w:val="00986AE6"/>
    <w:rsid w:val="00986FBA"/>
    <w:rsid w:val="009875EF"/>
    <w:rsid w:val="00987878"/>
    <w:rsid w:val="00987C9E"/>
    <w:rsid w:val="00990579"/>
    <w:rsid w:val="00991AC6"/>
    <w:rsid w:val="00991D02"/>
    <w:rsid w:val="00991DB0"/>
    <w:rsid w:val="00992276"/>
    <w:rsid w:val="00992FB6"/>
    <w:rsid w:val="00993290"/>
    <w:rsid w:val="00993903"/>
    <w:rsid w:val="00993D29"/>
    <w:rsid w:val="00994149"/>
    <w:rsid w:val="00994626"/>
    <w:rsid w:val="0099491F"/>
    <w:rsid w:val="009951FA"/>
    <w:rsid w:val="009959D5"/>
    <w:rsid w:val="00995D51"/>
    <w:rsid w:val="00996083"/>
    <w:rsid w:val="009961A0"/>
    <w:rsid w:val="00996798"/>
    <w:rsid w:val="0099722D"/>
    <w:rsid w:val="00997D6A"/>
    <w:rsid w:val="00997F88"/>
    <w:rsid w:val="009A0891"/>
    <w:rsid w:val="009A10FF"/>
    <w:rsid w:val="009A1996"/>
    <w:rsid w:val="009A19F2"/>
    <w:rsid w:val="009A2082"/>
    <w:rsid w:val="009A22AC"/>
    <w:rsid w:val="009A2CA3"/>
    <w:rsid w:val="009A2FBF"/>
    <w:rsid w:val="009A30FB"/>
    <w:rsid w:val="009A3120"/>
    <w:rsid w:val="009A375F"/>
    <w:rsid w:val="009A3801"/>
    <w:rsid w:val="009A3E7E"/>
    <w:rsid w:val="009A4465"/>
    <w:rsid w:val="009A4923"/>
    <w:rsid w:val="009A56E2"/>
    <w:rsid w:val="009A5C34"/>
    <w:rsid w:val="009A5DC1"/>
    <w:rsid w:val="009A6F66"/>
    <w:rsid w:val="009A781D"/>
    <w:rsid w:val="009B0472"/>
    <w:rsid w:val="009B08E2"/>
    <w:rsid w:val="009B15ED"/>
    <w:rsid w:val="009B1A2E"/>
    <w:rsid w:val="009B1DBA"/>
    <w:rsid w:val="009B286F"/>
    <w:rsid w:val="009B3535"/>
    <w:rsid w:val="009B468A"/>
    <w:rsid w:val="009B4D53"/>
    <w:rsid w:val="009B571B"/>
    <w:rsid w:val="009B6964"/>
    <w:rsid w:val="009B6973"/>
    <w:rsid w:val="009B6B5C"/>
    <w:rsid w:val="009B6E46"/>
    <w:rsid w:val="009B73FB"/>
    <w:rsid w:val="009B759A"/>
    <w:rsid w:val="009B7B69"/>
    <w:rsid w:val="009B7B75"/>
    <w:rsid w:val="009B7C97"/>
    <w:rsid w:val="009B7FC0"/>
    <w:rsid w:val="009C04AA"/>
    <w:rsid w:val="009C0D73"/>
    <w:rsid w:val="009C164E"/>
    <w:rsid w:val="009C19C7"/>
    <w:rsid w:val="009C1AD5"/>
    <w:rsid w:val="009C1ADF"/>
    <w:rsid w:val="009C1D74"/>
    <w:rsid w:val="009C2091"/>
    <w:rsid w:val="009C22BE"/>
    <w:rsid w:val="009C245F"/>
    <w:rsid w:val="009C2C40"/>
    <w:rsid w:val="009C3E4D"/>
    <w:rsid w:val="009C4143"/>
    <w:rsid w:val="009C4346"/>
    <w:rsid w:val="009C43A0"/>
    <w:rsid w:val="009C4C4E"/>
    <w:rsid w:val="009C5A66"/>
    <w:rsid w:val="009C5E12"/>
    <w:rsid w:val="009C6333"/>
    <w:rsid w:val="009C73CC"/>
    <w:rsid w:val="009C7520"/>
    <w:rsid w:val="009D03B0"/>
    <w:rsid w:val="009D0B37"/>
    <w:rsid w:val="009D0BB5"/>
    <w:rsid w:val="009D0D1C"/>
    <w:rsid w:val="009D1367"/>
    <w:rsid w:val="009D1612"/>
    <w:rsid w:val="009D1DF6"/>
    <w:rsid w:val="009D24EC"/>
    <w:rsid w:val="009D2842"/>
    <w:rsid w:val="009D2BCC"/>
    <w:rsid w:val="009D40A3"/>
    <w:rsid w:val="009D4A15"/>
    <w:rsid w:val="009D4A93"/>
    <w:rsid w:val="009D502D"/>
    <w:rsid w:val="009D5B12"/>
    <w:rsid w:val="009D5E9E"/>
    <w:rsid w:val="009D649B"/>
    <w:rsid w:val="009D6A64"/>
    <w:rsid w:val="009D6D05"/>
    <w:rsid w:val="009D71B2"/>
    <w:rsid w:val="009D727D"/>
    <w:rsid w:val="009D7873"/>
    <w:rsid w:val="009D7BE2"/>
    <w:rsid w:val="009D7C7E"/>
    <w:rsid w:val="009E1BA6"/>
    <w:rsid w:val="009E1CC6"/>
    <w:rsid w:val="009E204B"/>
    <w:rsid w:val="009E2817"/>
    <w:rsid w:val="009E2D60"/>
    <w:rsid w:val="009E2E2F"/>
    <w:rsid w:val="009E2E3C"/>
    <w:rsid w:val="009E2EF5"/>
    <w:rsid w:val="009E3412"/>
    <w:rsid w:val="009E4672"/>
    <w:rsid w:val="009E46C7"/>
    <w:rsid w:val="009E4AA3"/>
    <w:rsid w:val="009E4D13"/>
    <w:rsid w:val="009E4E30"/>
    <w:rsid w:val="009E5D1F"/>
    <w:rsid w:val="009E60AA"/>
    <w:rsid w:val="009E6265"/>
    <w:rsid w:val="009E64B2"/>
    <w:rsid w:val="009E72E4"/>
    <w:rsid w:val="009E7586"/>
    <w:rsid w:val="009F0186"/>
    <w:rsid w:val="009F038F"/>
    <w:rsid w:val="009F0B81"/>
    <w:rsid w:val="009F1C94"/>
    <w:rsid w:val="009F1DDE"/>
    <w:rsid w:val="009F1E6F"/>
    <w:rsid w:val="009F2A2E"/>
    <w:rsid w:val="009F2A90"/>
    <w:rsid w:val="009F3887"/>
    <w:rsid w:val="009F63BA"/>
    <w:rsid w:val="009F6667"/>
    <w:rsid w:val="009F6AEB"/>
    <w:rsid w:val="009F6CF6"/>
    <w:rsid w:val="009F7A4E"/>
    <w:rsid w:val="009F7A86"/>
    <w:rsid w:val="009F7AEA"/>
    <w:rsid w:val="00A00D3E"/>
    <w:rsid w:val="00A0178D"/>
    <w:rsid w:val="00A017D1"/>
    <w:rsid w:val="00A020A8"/>
    <w:rsid w:val="00A02C6A"/>
    <w:rsid w:val="00A02F8E"/>
    <w:rsid w:val="00A03BC5"/>
    <w:rsid w:val="00A042C6"/>
    <w:rsid w:val="00A04452"/>
    <w:rsid w:val="00A04D35"/>
    <w:rsid w:val="00A055F0"/>
    <w:rsid w:val="00A05905"/>
    <w:rsid w:val="00A0595A"/>
    <w:rsid w:val="00A05D58"/>
    <w:rsid w:val="00A0604E"/>
    <w:rsid w:val="00A0616A"/>
    <w:rsid w:val="00A065AF"/>
    <w:rsid w:val="00A06607"/>
    <w:rsid w:val="00A0667B"/>
    <w:rsid w:val="00A0668B"/>
    <w:rsid w:val="00A0694F"/>
    <w:rsid w:val="00A072CC"/>
    <w:rsid w:val="00A07A2A"/>
    <w:rsid w:val="00A10061"/>
    <w:rsid w:val="00A10321"/>
    <w:rsid w:val="00A10623"/>
    <w:rsid w:val="00A113FB"/>
    <w:rsid w:val="00A11ED4"/>
    <w:rsid w:val="00A123AF"/>
    <w:rsid w:val="00A12B8F"/>
    <w:rsid w:val="00A14437"/>
    <w:rsid w:val="00A15903"/>
    <w:rsid w:val="00A15A67"/>
    <w:rsid w:val="00A1618F"/>
    <w:rsid w:val="00A1694D"/>
    <w:rsid w:val="00A16950"/>
    <w:rsid w:val="00A20055"/>
    <w:rsid w:val="00A20084"/>
    <w:rsid w:val="00A20091"/>
    <w:rsid w:val="00A205DC"/>
    <w:rsid w:val="00A2088B"/>
    <w:rsid w:val="00A21620"/>
    <w:rsid w:val="00A229F3"/>
    <w:rsid w:val="00A2388A"/>
    <w:rsid w:val="00A23D25"/>
    <w:rsid w:val="00A23EA4"/>
    <w:rsid w:val="00A247D2"/>
    <w:rsid w:val="00A24879"/>
    <w:rsid w:val="00A24B50"/>
    <w:rsid w:val="00A24CC3"/>
    <w:rsid w:val="00A25180"/>
    <w:rsid w:val="00A252C0"/>
    <w:rsid w:val="00A2565D"/>
    <w:rsid w:val="00A258FC"/>
    <w:rsid w:val="00A25CF7"/>
    <w:rsid w:val="00A26758"/>
    <w:rsid w:val="00A268A5"/>
    <w:rsid w:val="00A30D71"/>
    <w:rsid w:val="00A311A2"/>
    <w:rsid w:val="00A3179B"/>
    <w:rsid w:val="00A31ABF"/>
    <w:rsid w:val="00A322CF"/>
    <w:rsid w:val="00A32FEA"/>
    <w:rsid w:val="00A33DA0"/>
    <w:rsid w:val="00A344A1"/>
    <w:rsid w:val="00A35269"/>
    <w:rsid w:val="00A3526F"/>
    <w:rsid w:val="00A355F8"/>
    <w:rsid w:val="00A35C49"/>
    <w:rsid w:val="00A35F5A"/>
    <w:rsid w:val="00A3674D"/>
    <w:rsid w:val="00A36CB4"/>
    <w:rsid w:val="00A3737D"/>
    <w:rsid w:val="00A379DF"/>
    <w:rsid w:val="00A37C10"/>
    <w:rsid w:val="00A40386"/>
    <w:rsid w:val="00A406D9"/>
    <w:rsid w:val="00A40A0A"/>
    <w:rsid w:val="00A417E4"/>
    <w:rsid w:val="00A41C2B"/>
    <w:rsid w:val="00A42776"/>
    <w:rsid w:val="00A43000"/>
    <w:rsid w:val="00A433C6"/>
    <w:rsid w:val="00A43AF8"/>
    <w:rsid w:val="00A43E0A"/>
    <w:rsid w:val="00A43EF8"/>
    <w:rsid w:val="00A44F14"/>
    <w:rsid w:val="00A450C4"/>
    <w:rsid w:val="00A452A7"/>
    <w:rsid w:val="00A45D5F"/>
    <w:rsid w:val="00A461F9"/>
    <w:rsid w:val="00A462B6"/>
    <w:rsid w:val="00A46618"/>
    <w:rsid w:val="00A467BC"/>
    <w:rsid w:val="00A46B81"/>
    <w:rsid w:val="00A47178"/>
    <w:rsid w:val="00A47EDB"/>
    <w:rsid w:val="00A5003D"/>
    <w:rsid w:val="00A50A30"/>
    <w:rsid w:val="00A50CDA"/>
    <w:rsid w:val="00A51500"/>
    <w:rsid w:val="00A51BBE"/>
    <w:rsid w:val="00A51C9E"/>
    <w:rsid w:val="00A522C1"/>
    <w:rsid w:val="00A528A8"/>
    <w:rsid w:val="00A52B0F"/>
    <w:rsid w:val="00A5307F"/>
    <w:rsid w:val="00A53197"/>
    <w:rsid w:val="00A53B1F"/>
    <w:rsid w:val="00A544D3"/>
    <w:rsid w:val="00A548B7"/>
    <w:rsid w:val="00A54FB6"/>
    <w:rsid w:val="00A55280"/>
    <w:rsid w:val="00A57033"/>
    <w:rsid w:val="00A57300"/>
    <w:rsid w:val="00A57A47"/>
    <w:rsid w:val="00A57FA8"/>
    <w:rsid w:val="00A60400"/>
    <w:rsid w:val="00A612CA"/>
    <w:rsid w:val="00A62E7D"/>
    <w:rsid w:val="00A63502"/>
    <w:rsid w:val="00A635FA"/>
    <w:rsid w:val="00A63A98"/>
    <w:rsid w:val="00A63F0B"/>
    <w:rsid w:val="00A64E5A"/>
    <w:rsid w:val="00A651B0"/>
    <w:rsid w:val="00A6658E"/>
    <w:rsid w:val="00A6715B"/>
    <w:rsid w:val="00A67310"/>
    <w:rsid w:val="00A67B04"/>
    <w:rsid w:val="00A67DA7"/>
    <w:rsid w:val="00A700D0"/>
    <w:rsid w:val="00A70546"/>
    <w:rsid w:val="00A70F02"/>
    <w:rsid w:val="00A71BB6"/>
    <w:rsid w:val="00A72CF9"/>
    <w:rsid w:val="00A72D1B"/>
    <w:rsid w:val="00A736E5"/>
    <w:rsid w:val="00A73AD6"/>
    <w:rsid w:val="00A73BD8"/>
    <w:rsid w:val="00A73C4A"/>
    <w:rsid w:val="00A73CD6"/>
    <w:rsid w:val="00A73FA9"/>
    <w:rsid w:val="00A73FF4"/>
    <w:rsid w:val="00A74AF7"/>
    <w:rsid w:val="00A74F5F"/>
    <w:rsid w:val="00A75056"/>
    <w:rsid w:val="00A7512B"/>
    <w:rsid w:val="00A7591E"/>
    <w:rsid w:val="00A75F14"/>
    <w:rsid w:val="00A766F1"/>
    <w:rsid w:val="00A771A8"/>
    <w:rsid w:val="00A77429"/>
    <w:rsid w:val="00A77DA7"/>
    <w:rsid w:val="00A8046F"/>
    <w:rsid w:val="00A806C6"/>
    <w:rsid w:val="00A8143B"/>
    <w:rsid w:val="00A819BD"/>
    <w:rsid w:val="00A81B7B"/>
    <w:rsid w:val="00A8241C"/>
    <w:rsid w:val="00A82AEB"/>
    <w:rsid w:val="00A82FF4"/>
    <w:rsid w:val="00A83106"/>
    <w:rsid w:val="00A833A1"/>
    <w:rsid w:val="00A83673"/>
    <w:rsid w:val="00A8385F"/>
    <w:rsid w:val="00A84E64"/>
    <w:rsid w:val="00A857E9"/>
    <w:rsid w:val="00A862EE"/>
    <w:rsid w:val="00A86FDD"/>
    <w:rsid w:val="00A87D78"/>
    <w:rsid w:val="00A9025B"/>
    <w:rsid w:val="00A90476"/>
    <w:rsid w:val="00A9083A"/>
    <w:rsid w:val="00A90B0A"/>
    <w:rsid w:val="00A9151A"/>
    <w:rsid w:val="00A91797"/>
    <w:rsid w:val="00A91D1C"/>
    <w:rsid w:val="00A91E12"/>
    <w:rsid w:val="00A91E23"/>
    <w:rsid w:val="00A92BA1"/>
    <w:rsid w:val="00A93576"/>
    <w:rsid w:val="00A948AE"/>
    <w:rsid w:val="00A95D44"/>
    <w:rsid w:val="00A96805"/>
    <w:rsid w:val="00A977CE"/>
    <w:rsid w:val="00A977D4"/>
    <w:rsid w:val="00AA06DE"/>
    <w:rsid w:val="00AA07D1"/>
    <w:rsid w:val="00AA12FF"/>
    <w:rsid w:val="00AA144B"/>
    <w:rsid w:val="00AA2290"/>
    <w:rsid w:val="00AA2725"/>
    <w:rsid w:val="00AA3CFE"/>
    <w:rsid w:val="00AA4471"/>
    <w:rsid w:val="00AA46B0"/>
    <w:rsid w:val="00AA5179"/>
    <w:rsid w:val="00AA60D6"/>
    <w:rsid w:val="00AA6DF9"/>
    <w:rsid w:val="00AA718F"/>
    <w:rsid w:val="00AA7D9F"/>
    <w:rsid w:val="00AB0136"/>
    <w:rsid w:val="00AB0391"/>
    <w:rsid w:val="00AB0566"/>
    <w:rsid w:val="00AB0595"/>
    <w:rsid w:val="00AB06D9"/>
    <w:rsid w:val="00AB0C82"/>
    <w:rsid w:val="00AB0CC7"/>
    <w:rsid w:val="00AB1ED0"/>
    <w:rsid w:val="00AB246D"/>
    <w:rsid w:val="00AB256A"/>
    <w:rsid w:val="00AB2D1A"/>
    <w:rsid w:val="00AB3043"/>
    <w:rsid w:val="00AB371C"/>
    <w:rsid w:val="00AB4755"/>
    <w:rsid w:val="00AB49AB"/>
    <w:rsid w:val="00AB6C71"/>
    <w:rsid w:val="00AB6D0F"/>
    <w:rsid w:val="00AB7565"/>
    <w:rsid w:val="00AC00AB"/>
    <w:rsid w:val="00AC0846"/>
    <w:rsid w:val="00AC095B"/>
    <w:rsid w:val="00AC118F"/>
    <w:rsid w:val="00AC1356"/>
    <w:rsid w:val="00AC139C"/>
    <w:rsid w:val="00AC1731"/>
    <w:rsid w:val="00AC1AC0"/>
    <w:rsid w:val="00AC1C4A"/>
    <w:rsid w:val="00AC1CFF"/>
    <w:rsid w:val="00AC223F"/>
    <w:rsid w:val="00AC225C"/>
    <w:rsid w:val="00AC2405"/>
    <w:rsid w:val="00AC26CD"/>
    <w:rsid w:val="00AC28BD"/>
    <w:rsid w:val="00AC2B2A"/>
    <w:rsid w:val="00AC2B8D"/>
    <w:rsid w:val="00AC2F35"/>
    <w:rsid w:val="00AC3B06"/>
    <w:rsid w:val="00AC3D45"/>
    <w:rsid w:val="00AC44FA"/>
    <w:rsid w:val="00AC458A"/>
    <w:rsid w:val="00AC46F1"/>
    <w:rsid w:val="00AC47BB"/>
    <w:rsid w:val="00AC4A66"/>
    <w:rsid w:val="00AC4EDB"/>
    <w:rsid w:val="00AC5ECF"/>
    <w:rsid w:val="00AC5F9E"/>
    <w:rsid w:val="00AC620F"/>
    <w:rsid w:val="00AC695E"/>
    <w:rsid w:val="00AC6B19"/>
    <w:rsid w:val="00AC6BA0"/>
    <w:rsid w:val="00AC734A"/>
    <w:rsid w:val="00AC742C"/>
    <w:rsid w:val="00AC7F2C"/>
    <w:rsid w:val="00AD0DBF"/>
    <w:rsid w:val="00AD0EE8"/>
    <w:rsid w:val="00AD161E"/>
    <w:rsid w:val="00AD196A"/>
    <w:rsid w:val="00AD1FE0"/>
    <w:rsid w:val="00AD27A4"/>
    <w:rsid w:val="00AD28A4"/>
    <w:rsid w:val="00AD3023"/>
    <w:rsid w:val="00AD3568"/>
    <w:rsid w:val="00AD370A"/>
    <w:rsid w:val="00AD43C6"/>
    <w:rsid w:val="00AD477C"/>
    <w:rsid w:val="00AD4D06"/>
    <w:rsid w:val="00AD566D"/>
    <w:rsid w:val="00AD5C08"/>
    <w:rsid w:val="00AD630C"/>
    <w:rsid w:val="00AE0926"/>
    <w:rsid w:val="00AE096B"/>
    <w:rsid w:val="00AE0AEA"/>
    <w:rsid w:val="00AE15A1"/>
    <w:rsid w:val="00AE1743"/>
    <w:rsid w:val="00AE1CC3"/>
    <w:rsid w:val="00AE1EB2"/>
    <w:rsid w:val="00AE2A13"/>
    <w:rsid w:val="00AE2E36"/>
    <w:rsid w:val="00AE3710"/>
    <w:rsid w:val="00AE376B"/>
    <w:rsid w:val="00AE3E52"/>
    <w:rsid w:val="00AE400E"/>
    <w:rsid w:val="00AE461D"/>
    <w:rsid w:val="00AE4D49"/>
    <w:rsid w:val="00AE5AC7"/>
    <w:rsid w:val="00AE5DBA"/>
    <w:rsid w:val="00AE757E"/>
    <w:rsid w:val="00AE7728"/>
    <w:rsid w:val="00AE7EF4"/>
    <w:rsid w:val="00AF035C"/>
    <w:rsid w:val="00AF048A"/>
    <w:rsid w:val="00AF10C8"/>
    <w:rsid w:val="00AF174F"/>
    <w:rsid w:val="00AF270E"/>
    <w:rsid w:val="00AF2CE5"/>
    <w:rsid w:val="00AF308C"/>
    <w:rsid w:val="00AF35CE"/>
    <w:rsid w:val="00AF3AD4"/>
    <w:rsid w:val="00AF3B96"/>
    <w:rsid w:val="00AF3C03"/>
    <w:rsid w:val="00AF45FD"/>
    <w:rsid w:val="00AF4EEF"/>
    <w:rsid w:val="00AF4F14"/>
    <w:rsid w:val="00AF50CB"/>
    <w:rsid w:val="00AF58CB"/>
    <w:rsid w:val="00AF6705"/>
    <w:rsid w:val="00AF751A"/>
    <w:rsid w:val="00B006C9"/>
    <w:rsid w:val="00B009FE"/>
    <w:rsid w:val="00B0211B"/>
    <w:rsid w:val="00B0215E"/>
    <w:rsid w:val="00B031EF"/>
    <w:rsid w:val="00B036DC"/>
    <w:rsid w:val="00B03D9A"/>
    <w:rsid w:val="00B04509"/>
    <w:rsid w:val="00B053F9"/>
    <w:rsid w:val="00B05407"/>
    <w:rsid w:val="00B058B8"/>
    <w:rsid w:val="00B05A11"/>
    <w:rsid w:val="00B05A18"/>
    <w:rsid w:val="00B0660E"/>
    <w:rsid w:val="00B0669B"/>
    <w:rsid w:val="00B06AAD"/>
    <w:rsid w:val="00B06C37"/>
    <w:rsid w:val="00B06F48"/>
    <w:rsid w:val="00B0719C"/>
    <w:rsid w:val="00B07254"/>
    <w:rsid w:val="00B10625"/>
    <w:rsid w:val="00B10731"/>
    <w:rsid w:val="00B11023"/>
    <w:rsid w:val="00B1104A"/>
    <w:rsid w:val="00B118C3"/>
    <w:rsid w:val="00B118CE"/>
    <w:rsid w:val="00B119BF"/>
    <w:rsid w:val="00B12211"/>
    <w:rsid w:val="00B12562"/>
    <w:rsid w:val="00B12621"/>
    <w:rsid w:val="00B1394F"/>
    <w:rsid w:val="00B13E57"/>
    <w:rsid w:val="00B15A6F"/>
    <w:rsid w:val="00B15CAC"/>
    <w:rsid w:val="00B16DAE"/>
    <w:rsid w:val="00B1703D"/>
    <w:rsid w:val="00B17079"/>
    <w:rsid w:val="00B17180"/>
    <w:rsid w:val="00B1719C"/>
    <w:rsid w:val="00B17201"/>
    <w:rsid w:val="00B207FD"/>
    <w:rsid w:val="00B209DC"/>
    <w:rsid w:val="00B20EB4"/>
    <w:rsid w:val="00B20FE5"/>
    <w:rsid w:val="00B21DB5"/>
    <w:rsid w:val="00B23434"/>
    <w:rsid w:val="00B238CE"/>
    <w:rsid w:val="00B23CBC"/>
    <w:rsid w:val="00B23E9E"/>
    <w:rsid w:val="00B24529"/>
    <w:rsid w:val="00B24630"/>
    <w:rsid w:val="00B24EA9"/>
    <w:rsid w:val="00B24EF3"/>
    <w:rsid w:val="00B26E7A"/>
    <w:rsid w:val="00B272A4"/>
    <w:rsid w:val="00B2753B"/>
    <w:rsid w:val="00B30043"/>
    <w:rsid w:val="00B30E44"/>
    <w:rsid w:val="00B31F8C"/>
    <w:rsid w:val="00B324FC"/>
    <w:rsid w:val="00B32AEA"/>
    <w:rsid w:val="00B33B4C"/>
    <w:rsid w:val="00B33E02"/>
    <w:rsid w:val="00B34608"/>
    <w:rsid w:val="00B34FF7"/>
    <w:rsid w:val="00B359AA"/>
    <w:rsid w:val="00B36D96"/>
    <w:rsid w:val="00B40473"/>
    <w:rsid w:val="00B40561"/>
    <w:rsid w:val="00B40C15"/>
    <w:rsid w:val="00B41AAE"/>
    <w:rsid w:val="00B41DBB"/>
    <w:rsid w:val="00B42A72"/>
    <w:rsid w:val="00B435D3"/>
    <w:rsid w:val="00B43A42"/>
    <w:rsid w:val="00B44115"/>
    <w:rsid w:val="00B44C29"/>
    <w:rsid w:val="00B45115"/>
    <w:rsid w:val="00B453A1"/>
    <w:rsid w:val="00B453A2"/>
    <w:rsid w:val="00B45E00"/>
    <w:rsid w:val="00B45F1A"/>
    <w:rsid w:val="00B45F81"/>
    <w:rsid w:val="00B45FD8"/>
    <w:rsid w:val="00B4608C"/>
    <w:rsid w:val="00B46260"/>
    <w:rsid w:val="00B46F98"/>
    <w:rsid w:val="00B50570"/>
    <w:rsid w:val="00B50EAE"/>
    <w:rsid w:val="00B512DB"/>
    <w:rsid w:val="00B51EC0"/>
    <w:rsid w:val="00B5229C"/>
    <w:rsid w:val="00B52462"/>
    <w:rsid w:val="00B524A3"/>
    <w:rsid w:val="00B5258A"/>
    <w:rsid w:val="00B52B5C"/>
    <w:rsid w:val="00B52FB5"/>
    <w:rsid w:val="00B53092"/>
    <w:rsid w:val="00B532F2"/>
    <w:rsid w:val="00B53C93"/>
    <w:rsid w:val="00B5444B"/>
    <w:rsid w:val="00B54A76"/>
    <w:rsid w:val="00B550CA"/>
    <w:rsid w:val="00B55479"/>
    <w:rsid w:val="00B56939"/>
    <w:rsid w:val="00B569BC"/>
    <w:rsid w:val="00B5702D"/>
    <w:rsid w:val="00B5735B"/>
    <w:rsid w:val="00B6010F"/>
    <w:rsid w:val="00B60BA5"/>
    <w:rsid w:val="00B6154C"/>
    <w:rsid w:val="00B61C21"/>
    <w:rsid w:val="00B61C66"/>
    <w:rsid w:val="00B627AA"/>
    <w:rsid w:val="00B62E54"/>
    <w:rsid w:val="00B6334C"/>
    <w:rsid w:val="00B636FF"/>
    <w:rsid w:val="00B63C17"/>
    <w:rsid w:val="00B6533C"/>
    <w:rsid w:val="00B6535B"/>
    <w:rsid w:val="00B65841"/>
    <w:rsid w:val="00B659C2"/>
    <w:rsid w:val="00B65A73"/>
    <w:rsid w:val="00B67011"/>
    <w:rsid w:val="00B7120D"/>
    <w:rsid w:val="00B72AD5"/>
    <w:rsid w:val="00B738CA"/>
    <w:rsid w:val="00B73B80"/>
    <w:rsid w:val="00B74327"/>
    <w:rsid w:val="00B74371"/>
    <w:rsid w:val="00B74BD6"/>
    <w:rsid w:val="00B7527C"/>
    <w:rsid w:val="00B7561D"/>
    <w:rsid w:val="00B763F1"/>
    <w:rsid w:val="00B76681"/>
    <w:rsid w:val="00B7673F"/>
    <w:rsid w:val="00B76D6B"/>
    <w:rsid w:val="00B77175"/>
    <w:rsid w:val="00B77C5A"/>
    <w:rsid w:val="00B805F0"/>
    <w:rsid w:val="00B80C86"/>
    <w:rsid w:val="00B80CA0"/>
    <w:rsid w:val="00B80D0B"/>
    <w:rsid w:val="00B80E42"/>
    <w:rsid w:val="00B80FE4"/>
    <w:rsid w:val="00B816B6"/>
    <w:rsid w:val="00B81745"/>
    <w:rsid w:val="00B82589"/>
    <w:rsid w:val="00B82636"/>
    <w:rsid w:val="00B82C17"/>
    <w:rsid w:val="00B838BC"/>
    <w:rsid w:val="00B83E76"/>
    <w:rsid w:val="00B841A9"/>
    <w:rsid w:val="00B847AA"/>
    <w:rsid w:val="00B84944"/>
    <w:rsid w:val="00B8530D"/>
    <w:rsid w:val="00B85BB7"/>
    <w:rsid w:val="00B85F24"/>
    <w:rsid w:val="00B85F81"/>
    <w:rsid w:val="00B86545"/>
    <w:rsid w:val="00B86E30"/>
    <w:rsid w:val="00B87206"/>
    <w:rsid w:val="00B87274"/>
    <w:rsid w:val="00B87361"/>
    <w:rsid w:val="00B878FD"/>
    <w:rsid w:val="00B87B3A"/>
    <w:rsid w:val="00B902F9"/>
    <w:rsid w:val="00B915C7"/>
    <w:rsid w:val="00B91905"/>
    <w:rsid w:val="00B93B52"/>
    <w:rsid w:val="00B93BA1"/>
    <w:rsid w:val="00B94945"/>
    <w:rsid w:val="00B94A0E"/>
    <w:rsid w:val="00B94EFC"/>
    <w:rsid w:val="00B95771"/>
    <w:rsid w:val="00B95790"/>
    <w:rsid w:val="00B9603E"/>
    <w:rsid w:val="00B967F0"/>
    <w:rsid w:val="00B96A22"/>
    <w:rsid w:val="00B970C1"/>
    <w:rsid w:val="00B97681"/>
    <w:rsid w:val="00B97CAA"/>
    <w:rsid w:val="00B97E3E"/>
    <w:rsid w:val="00BA03EE"/>
    <w:rsid w:val="00BA0678"/>
    <w:rsid w:val="00BA0A15"/>
    <w:rsid w:val="00BA0E19"/>
    <w:rsid w:val="00BA1378"/>
    <w:rsid w:val="00BA140E"/>
    <w:rsid w:val="00BA1F5B"/>
    <w:rsid w:val="00BA2BC5"/>
    <w:rsid w:val="00BA3B01"/>
    <w:rsid w:val="00BA3E27"/>
    <w:rsid w:val="00BA40B5"/>
    <w:rsid w:val="00BA40D8"/>
    <w:rsid w:val="00BA494F"/>
    <w:rsid w:val="00BA692D"/>
    <w:rsid w:val="00BA6992"/>
    <w:rsid w:val="00BA6E73"/>
    <w:rsid w:val="00BA7977"/>
    <w:rsid w:val="00BA7FA7"/>
    <w:rsid w:val="00BB04FF"/>
    <w:rsid w:val="00BB08A5"/>
    <w:rsid w:val="00BB0AD9"/>
    <w:rsid w:val="00BB127E"/>
    <w:rsid w:val="00BB13E5"/>
    <w:rsid w:val="00BB14B5"/>
    <w:rsid w:val="00BB1EEB"/>
    <w:rsid w:val="00BB2048"/>
    <w:rsid w:val="00BB35AF"/>
    <w:rsid w:val="00BB39FA"/>
    <w:rsid w:val="00BB3FC5"/>
    <w:rsid w:val="00BB40D9"/>
    <w:rsid w:val="00BB48DA"/>
    <w:rsid w:val="00BB5212"/>
    <w:rsid w:val="00BB5219"/>
    <w:rsid w:val="00BB5FDB"/>
    <w:rsid w:val="00BB6392"/>
    <w:rsid w:val="00BB6770"/>
    <w:rsid w:val="00BB6EE3"/>
    <w:rsid w:val="00BB7854"/>
    <w:rsid w:val="00BB7B9B"/>
    <w:rsid w:val="00BB7D23"/>
    <w:rsid w:val="00BC028E"/>
    <w:rsid w:val="00BC081B"/>
    <w:rsid w:val="00BC0E51"/>
    <w:rsid w:val="00BC196A"/>
    <w:rsid w:val="00BC1D4D"/>
    <w:rsid w:val="00BC2614"/>
    <w:rsid w:val="00BC2E62"/>
    <w:rsid w:val="00BC35BD"/>
    <w:rsid w:val="00BC3EE0"/>
    <w:rsid w:val="00BC400E"/>
    <w:rsid w:val="00BC4671"/>
    <w:rsid w:val="00BC584B"/>
    <w:rsid w:val="00BC5E24"/>
    <w:rsid w:val="00BC7410"/>
    <w:rsid w:val="00BC7C27"/>
    <w:rsid w:val="00BC7D48"/>
    <w:rsid w:val="00BC7FA2"/>
    <w:rsid w:val="00BD097B"/>
    <w:rsid w:val="00BD0A52"/>
    <w:rsid w:val="00BD0E36"/>
    <w:rsid w:val="00BD0EA9"/>
    <w:rsid w:val="00BD120C"/>
    <w:rsid w:val="00BD151E"/>
    <w:rsid w:val="00BD16DB"/>
    <w:rsid w:val="00BD27CA"/>
    <w:rsid w:val="00BD3505"/>
    <w:rsid w:val="00BD352E"/>
    <w:rsid w:val="00BD3AE8"/>
    <w:rsid w:val="00BD4A64"/>
    <w:rsid w:val="00BD5023"/>
    <w:rsid w:val="00BD5971"/>
    <w:rsid w:val="00BD6244"/>
    <w:rsid w:val="00BD637D"/>
    <w:rsid w:val="00BD6983"/>
    <w:rsid w:val="00BD7BF1"/>
    <w:rsid w:val="00BD7D61"/>
    <w:rsid w:val="00BD7DB1"/>
    <w:rsid w:val="00BE0304"/>
    <w:rsid w:val="00BE0312"/>
    <w:rsid w:val="00BE0F3B"/>
    <w:rsid w:val="00BE0F7D"/>
    <w:rsid w:val="00BE1BCA"/>
    <w:rsid w:val="00BE2002"/>
    <w:rsid w:val="00BE20AC"/>
    <w:rsid w:val="00BE2134"/>
    <w:rsid w:val="00BE238C"/>
    <w:rsid w:val="00BE2A3F"/>
    <w:rsid w:val="00BE2F96"/>
    <w:rsid w:val="00BE33D3"/>
    <w:rsid w:val="00BE37F7"/>
    <w:rsid w:val="00BE431F"/>
    <w:rsid w:val="00BE4609"/>
    <w:rsid w:val="00BE4635"/>
    <w:rsid w:val="00BE56A1"/>
    <w:rsid w:val="00BE612F"/>
    <w:rsid w:val="00BE6207"/>
    <w:rsid w:val="00BE6B8C"/>
    <w:rsid w:val="00BE6E63"/>
    <w:rsid w:val="00BE7305"/>
    <w:rsid w:val="00BE77A7"/>
    <w:rsid w:val="00BE7833"/>
    <w:rsid w:val="00BE7B73"/>
    <w:rsid w:val="00BE7D32"/>
    <w:rsid w:val="00BE7E02"/>
    <w:rsid w:val="00BF0A64"/>
    <w:rsid w:val="00BF165F"/>
    <w:rsid w:val="00BF1693"/>
    <w:rsid w:val="00BF1C98"/>
    <w:rsid w:val="00BF1FBB"/>
    <w:rsid w:val="00BF212D"/>
    <w:rsid w:val="00BF21B3"/>
    <w:rsid w:val="00BF21CE"/>
    <w:rsid w:val="00BF2244"/>
    <w:rsid w:val="00BF27C7"/>
    <w:rsid w:val="00BF2A28"/>
    <w:rsid w:val="00BF2CD2"/>
    <w:rsid w:val="00BF2ECB"/>
    <w:rsid w:val="00BF3CF6"/>
    <w:rsid w:val="00BF3EA7"/>
    <w:rsid w:val="00BF519F"/>
    <w:rsid w:val="00BF5763"/>
    <w:rsid w:val="00BF5D60"/>
    <w:rsid w:val="00BF62A2"/>
    <w:rsid w:val="00BF62FE"/>
    <w:rsid w:val="00BF6417"/>
    <w:rsid w:val="00BF68D6"/>
    <w:rsid w:val="00BF7247"/>
    <w:rsid w:val="00BF7FC5"/>
    <w:rsid w:val="00C00157"/>
    <w:rsid w:val="00C00719"/>
    <w:rsid w:val="00C01467"/>
    <w:rsid w:val="00C01F77"/>
    <w:rsid w:val="00C025B9"/>
    <w:rsid w:val="00C02CAF"/>
    <w:rsid w:val="00C030F4"/>
    <w:rsid w:val="00C03300"/>
    <w:rsid w:val="00C0354B"/>
    <w:rsid w:val="00C0375E"/>
    <w:rsid w:val="00C042D4"/>
    <w:rsid w:val="00C0431D"/>
    <w:rsid w:val="00C043CE"/>
    <w:rsid w:val="00C0455C"/>
    <w:rsid w:val="00C04D8D"/>
    <w:rsid w:val="00C05223"/>
    <w:rsid w:val="00C05399"/>
    <w:rsid w:val="00C05B25"/>
    <w:rsid w:val="00C0629C"/>
    <w:rsid w:val="00C0664D"/>
    <w:rsid w:val="00C0668E"/>
    <w:rsid w:val="00C0696C"/>
    <w:rsid w:val="00C069ED"/>
    <w:rsid w:val="00C1010D"/>
    <w:rsid w:val="00C10654"/>
    <w:rsid w:val="00C10ACD"/>
    <w:rsid w:val="00C110D9"/>
    <w:rsid w:val="00C116DB"/>
    <w:rsid w:val="00C11BE7"/>
    <w:rsid w:val="00C134EB"/>
    <w:rsid w:val="00C14BC1"/>
    <w:rsid w:val="00C1552D"/>
    <w:rsid w:val="00C15BFF"/>
    <w:rsid w:val="00C15F8B"/>
    <w:rsid w:val="00C16059"/>
    <w:rsid w:val="00C16083"/>
    <w:rsid w:val="00C161D9"/>
    <w:rsid w:val="00C16551"/>
    <w:rsid w:val="00C1677E"/>
    <w:rsid w:val="00C168D8"/>
    <w:rsid w:val="00C1694B"/>
    <w:rsid w:val="00C16D55"/>
    <w:rsid w:val="00C176F1"/>
    <w:rsid w:val="00C1777B"/>
    <w:rsid w:val="00C17B6E"/>
    <w:rsid w:val="00C20486"/>
    <w:rsid w:val="00C20546"/>
    <w:rsid w:val="00C20EAC"/>
    <w:rsid w:val="00C21741"/>
    <w:rsid w:val="00C21ADC"/>
    <w:rsid w:val="00C2234A"/>
    <w:rsid w:val="00C225A5"/>
    <w:rsid w:val="00C22C81"/>
    <w:rsid w:val="00C22F83"/>
    <w:rsid w:val="00C23183"/>
    <w:rsid w:val="00C237A7"/>
    <w:rsid w:val="00C23F03"/>
    <w:rsid w:val="00C243F2"/>
    <w:rsid w:val="00C24A07"/>
    <w:rsid w:val="00C24D54"/>
    <w:rsid w:val="00C24D67"/>
    <w:rsid w:val="00C24D8A"/>
    <w:rsid w:val="00C24F43"/>
    <w:rsid w:val="00C25598"/>
    <w:rsid w:val="00C258AE"/>
    <w:rsid w:val="00C26517"/>
    <w:rsid w:val="00C26906"/>
    <w:rsid w:val="00C27268"/>
    <w:rsid w:val="00C273E6"/>
    <w:rsid w:val="00C31515"/>
    <w:rsid w:val="00C3184E"/>
    <w:rsid w:val="00C31C85"/>
    <w:rsid w:val="00C31DEF"/>
    <w:rsid w:val="00C32FEA"/>
    <w:rsid w:val="00C3309D"/>
    <w:rsid w:val="00C33821"/>
    <w:rsid w:val="00C355E2"/>
    <w:rsid w:val="00C3633A"/>
    <w:rsid w:val="00C36B5D"/>
    <w:rsid w:val="00C37F6A"/>
    <w:rsid w:val="00C412CA"/>
    <w:rsid w:val="00C41512"/>
    <w:rsid w:val="00C4170F"/>
    <w:rsid w:val="00C41750"/>
    <w:rsid w:val="00C42097"/>
    <w:rsid w:val="00C434AC"/>
    <w:rsid w:val="00C43740"/>
    <w:rsid w:val="00C4376D"/>
    <w:rsid w:val="00C438F2"/>
    <w:rsid w:val="00C43D32"/>
    <w:rsid w:val="00C443C1"/>
    <w:rsid w:val="00C447BD"/>
    <w:rsid w:val="00C449E6"/>
    <w:rsid w:val="00C44CE0"/>
    <w:rsid w:val="00C451E6"/>
    <w:rsid w:val="00C452C8"/>
    <w:rsid w:val="00C4558F"/>
    <w:rsid w:val="00C461FA"/>
    <w:rsid w:val="00C4653F"/>
    <w:rsid w:val="00C46578"/>
    <w:rsid w:val="00C46742"/>
    <w:rsid w:val="00C46FCB"/>
    <w:rsid w:val="00C47D01"/>
    <w:rsid w:val="00C51305"/>
    <w:rsid w:val="00C516D4"/>
    <w:rsid w:val="00C51BE9"/>
    <w:rsid w:val="00C51BEF"/>
    <w:rsid w:val="00C51E1F"/>
    <w:rsid w:val="00C52127"/>
    <w:rsid w:val="00C5247F"/>
    <w:rsid w:val="00C532D9"/>
    <w:rsid w:val="00C53B3E"/>
    <w:rsid w:val="00C542C1"/>
    <w:rsid w:val="00C549CF"/>
    <w:rsid w:val="00C54A40"/>
    <w:rsid w:val="00C54B73"/>
    <w:rsid w:val="00C553CA"/>
    <w:rsid w:val="00C55CC8"/>
    <w:rsid w:val="00C55E95"/>
    <w:rsid w:val="00C56B0A"/>
    <w:rsid w:val="00C56CA2"/>
    <w:rsid w:val="00C570D4"/>
    <w:rsid w:val="00C57485"/>
    <w:rsid w:val="00C5773B"/>
    <w:rsid w:val="00C579CC"/>
    <w:rsid w:val="00C57BDB"/>
    <w:rsid w:val="00C57F29"/>
    <w:rsid w:val="00C615DC"/>
    <w:rsid w:val="00C63802"/>
    <w:rsid w:val="00C63EAC"/>
    <w:rsid w:val="00C64107"/>
    <w:rsid w:val="00C64AE1"/>
    <w:rsid w:val="00C65572"/>
    <w:rsid w:val="00C65649"/>
    <w:rsid w:val="00C66746"/>
    <w:rsid w:val="00C66849"/>
    <w:rsid w:val="00C6747F"/>
    <w:rsid w:val="00C67A59"/>
    <w:rsid w:val="00C67B12"/>
    <w:rsid w:val="00C7084A"/>
    <w:rsid w:val="00C70E81"/>
    <w:rsid w:val="00C71554"/>
    <w:rsid w:val="00C7158A"/>
    <w:rsid w:val="00C720DD"/>
    <w:rsid w:val="00C72173"/>
    <w:rsid w:val="00C73178"/>
    <w:rsid w:val="00C731F0"/>
    <w:rsid w:val="00C739D1"/>
    <w:rsid w:val="00C756D1"/>
    <w:rsid w:val="00C75867"/>
    <w:rsid w:val="00C75D11"/>
    <w:rsid w:val="00C764AC"/>
    <w:rsid w:val="00C77BDD"/>
    <w:rsid w:val="00C801C9"/>
    <w:rsid w:val="00C8070C"/>
    <w:rsid w:val="00C80A17"/>
    <w:rsid w:val="00C8146E"/>
    <w:rsid w:val="00C81727"/>
    <w:rsid w:val="00C82500"/>
    <w:rsid w:val="00C83356"/>
    <w:rsid w:val="00C83AC4"/>
    <w:rsid w:val="00C83D3E"/>
    <w:rsid w:val="00C83E69"/>
    <w:rsid w:val="00C8415C"/>
    <w:rsid w:val="00C845E1"/>
    <w:rsid w:val="00C8486A"/>
    <w:rsid w:val="00C84D26"/>
    <w:rsid w:val="00C84E74"/>
    <w:rsid w:val="00C853DF"/>
    <w:rsid w:val="00C86854"/>
    <w:rsid w:val="00C86A73"/>
    <w:rsid w:val="00C86BC0"/>
    <w:rsid w:val="00C86E0C"/>
    <w:rsid w:val="00C87158"/>
    <w:rsid w:val="00C9023E"/>
    <w:rsid w:val="00C90484"/>
    <w:rsid w:val="00C90E03"/>
    <w:rsid w:val="00C90E3E"/>
    <w:rsid w:val="00C90F23"/>
    <w:rsid w:val="00C91D19"/>
    <w:rsid w:val="00C920CC"/>
    <w:rsid w:val="00C929B7"/>
    <w:rsid w:val="00C93208"/>
    <w:rsid w:val="00C939D0"/>
    <w:rsid w:val="00C93CE4"/>
    <w:rsid w:val="00C93E87"/>
    <w:rsid w:val="00C94C37"/>
    <w:rsid w:val="00C951F9"/>
    <w:rsid w:val="00C9542E"/>
    <w:rsid w:val="00C9550C"/>
    <w:rsid w:val="00C96CE7"/>
    <w:rsid w:val="00CA0D2B"/>
    <w:rsid w:val="00CA1FC7"/>
    <w:rsid w:val="00CA2EE2"/>
    <w:rsid w:val="00CA34B4"/>
    <w:rsid w:val="00CA36E5"/>
    <w:rsid w:val="00CA3D11"/>
    <w:rsid w:val="00CA410B"/>
    <w:rsid w:val="00CA4158"/>
    <w:rsid w:val="00CA44B8"/>
    <w:rsid w:val="00CA4706"/>
    <w:rsid w:val="00CA5003"/>
    <w:rsid w:val="00CA507A"/>
    <w:rsid w:val="00CA5744"/>
    <w:rsid w:val="00CA58C9"/>
    <w:rsid w:val="00CA5D73"/>
    <w:rsid w:val="00CA698E"/>
    <w:rsid w:val="00CB01BA"/>
    <w:rsid w:val="00CB08AE"/>
    <w:rsid w:val="00CB0ABE"/>
    <w:rsid w:val="00CB0D2C"/>
    <w:rsid w:val="00CB1429"/>
    <w:rsid w:val="00CB1783"/>
    <w:rsid w:val="00CB1CBB"/>
    <w:rsid w:val="00CB2626"/>
    <w:rsid w:val="00CB2718"/>
    <w:rsid w:val="00CB2B16"/>
    <w:rsid w:val="00CB39F5"/>
    <w:rsid w:val="00CB3EB6"/>
    <w:rsid w:val="00CB4063"/>
    <w:rsid w:val="00CB4338"/>
    <w:rsid w:val="00CB4BB6"/>
    <w:rsid w:val="00CB4C1E"/>
    <w:rsid w:val="00CB4C74"/>
    <w:rsid w:val="00CB57FA"/>
    <w:rsid w:val="00CB61A2"/>
    <w:rsid w:val="00CB671C"/>
    <w:rsid w:val="00CB6C16"/>
    <w:rsid w:val="00CB6E21"/>
    <w:rsid w:val="00CB7115"/>
    <w:rsid w:val="00CB72C8"/>
    <w:rsid w:val="00CB74AC"/>
    <w:rsid w:val="00CB7A5D"/>
    <w:rsid w:val="00CB7D08"/>
    <w:rsid w:val="00CC02E3"/>
    <w:rsid w:val="00CC0B36"/>
    <w:rsid w:val="00CC0BA0"/>
    <w:rsid w:val="00CC15E2"/>
    <w:rsid w:val="00CC1F2A"/>
    <w:rsid w:val="00CC25C2"/>
    <w:rsid w:val="00CC3F94"/>
    <w:rsid w:val="00CC45BB"/>
    <w:rsid w:val="00CC4A76"/>
    <w:rsid w:val="00CC5C7A"/>
    <w:rsid w:val="00CC5ECB"/>
    <w:rsid w:val="00CC6016"/>
    <w:rsid w:val="00CC615C"/>
    <w:rsid w:val="00CC622E"/>
    <w:rsid w:val="00CC62FD"/>
    <w:rsid w:val="00CC7631"/>
    <w:rsid w:val="00CC771D"/>
    <w:rsid w:val="00CC7EC3"/>
    <w:rsid w:val="00CD01FA"/>
    <w:rsid w:val="00CD1C3A"/>
    <w:rsid w:val="00CD2665"/>
    <w:rsid w:val="00CD3109"/>
    <w:rsid w:val="00CD342A"/>
    <w:rsid w:val="00CD35A8"/>
    <w:rsid w:val="00CD3BF3"/>
    <w:rsid w:val="00CD4925"/>
    <w:rsid w:val="00CD524A"/>
    <w:rsid w:val="00CD569C"/>
    <w:rsid w:val="00CD5809"/>
    <w:rsid w:val="00CD5DC6"/>
    <w:rsid w:val="00CD62D7"/>
    <w:rsid w:val="00CD6724"/>
    <w:rsid w:val="00CD6BC4"/>
    <w:rsid w:val="00CD7450"/>
    <w:rsid w:val="00CD76D2"/>
    <w:rsid w:val="00CE0C17"/>
    <w:rsid w:val="00CE124D"/>
    <w:rsid w:val="00CE1475"/>
    <w:rsid w:val="00CE272F"/>
    <w:rsid w:val="00CE27BE"/>
    <w:rsid w:val="00CE294B"/>
    <w:rsid w:val="00CE2B79"/>
    <w:rsid w:val="00CE30D1"/>
    <w:rsid w:val="00CE3766"/>
    <w:rsid w:val="00CE3B61"/>
    <w:rsid w:val="00CE4540"/>
    <w:rsid w:val="00CE5496"/>
    <w:rsid w:val="00CE55F7"/>
    <w:rsid w:val="00CE5B2B"/>
    <w:rsid w:val="00CE6BC7"/>
    <w:rsid w:val="00CF04AA"/>
    <w:rsid w:val="00CF0B7E"/>
    <w:rsid w:val="00CF0C51"/>
    <w:rsid w:val="00CF0DF1"/>
    <w:rsid w:val="00CF1389"/>
    <w:rsid w:val="00CF168E"/>
    <w:rsid w:val="00CF16DB"/>
    <w:rsid w:val="00CF1A3E"/>
    <w:rsid w:val="00CF3036"/>
    <w:rsid w:val="00CF4370"/>
    <w:rsid w:val="00CF4379"/>
    <w:rsid w:val="00CF4437"/>
    <w:rsid w:val="00CF5DFB"/>
    <w:rsid w:val="00CF5E52"/>
    <w:rsid w:val="00CF6738"/>
    <w:rsid w:val="00CF7D7F"/>
    <w:rsid w:val="00D002FE"/>
    <w:rsid w:val="00D014AD"/>
    <w:rsid w:val="00D015AA"/>
    <w:rsid w:val="00D01B2C"/>
    <w:rsid w:val="00D01CF7"/>
    <w:rsid w:val="00D02384"/>
    <w:rsid w:val="00D023A7"/>
    <w:rsid w:val="00D03E01"/>
    <w:rsid w:val="00D04104"/>
    <w:rsid w:val="00D04AD5"/>
    <w:rsid w:val="00D04B50"/>
    <w:rsid w:val="00D05748"/>
    <w:rsid w:val="00D05E53"/>
    <w:rsid w:val="00D05E8E"/>
    <w:rsid w:val="00D05EBA"/>
    <w:rsid w:val="00D06627"/>
    <w:rsid w:val="00D06FDA"/>
    <w:rsid w:val="00D07095"/>
    <w:rsid w:val="00D0717F"/>
    <w:rsid w:val="00D07617"/>
    <w:rsid w:val="00D07B0C"/>
    <w:rsid w:val="00D07DAF"/>
    <w:rsid w:val="00D10276"/>
    <w:rsid w:val="00D10864"/>
    <w:rsid w:val="00D10E51"/>
    <w:rsid w:val="00D112A2"/>
    <w:rsid w:val="00D11846"/>
    <w:rsid w:val="00D11898"/>
    <w:rsid w:val="00D11F38"/>
    <w:rsid w:val="00D11F65"/>
    <w:rsid w:val="00D12860"/>
    <w:rsid w:val="00D12985"/>
    <w:rsid w:val="00D12A2A"/>
    <w:rsid w:val="00D134AA"/>
    <w:rsid w:val="00D137A1"/>
    <w:rsid w:val="00D13FA2"/>
    <w:rsid w:val="00D14167"/>
    <w:rsid w:val="00D14562"/>
    <w:rsid w:val="00D15233"/>
    <w:rsid w:val="00D153AF"/>
    <w:rsid w:val="00D160B1"/>
    <w:rsid w:val="00D161D9"/>
    <w:rsid w:val="00D16222"/>
    <w:rsid w:val="00D16E96"/>
    <w:rsid w:val="00D16F2A"/>
    <w:rsid w:val="00D17659"/>
    <w:rsid w:val="00D17A15"/>
    <w:rsid w:val="00D17A3E"/>
    <w:rsid w:val="00D20D7E"/>
    <w:rsid w:val="00D20E56"/>
    <w:rsid w:val="00D21A11"/>
    <w:rsid w:val="00D22E38"/>
    <w:rsid w:val="00D236A5"/>
    <w:rsid w:val="00D2531F"/>
    <w:rsid w:val="00D25B71"/>
    <w:rsid w:val="00D25C56"/>
    <w:rsid w:val="00D260DE"/>
    <w:rsid w:val="00D26861"/>
    <w:rsid w:val="00D26E3C"/>
    <w:rsid w:val="00D26E48"/>
    <w:rsid w:val="00D2701A"/>
    <w:rsid w:val="00D276A3"/>
    <w:rsid w:val="00D31282"/>
    <w:rsid w:val="00D312FD"/>
    <w:rsid w:val="00D31355"/>
    <w:rsid w:val="00D3188C"/>
    <w:rsid w:val="00D31BAC"/>
    <w:rsid w:val="00D31CE3"/>
    <w:rsid w:val="00D3285F"/>
    <w:rsid w:val="00D3346C"/>
    <w:rsid w:val="00D33806"/>
    <w:rsid w:val="00D342EC"/>
    <w:rsid w:val="00D349F3"/>
    <w:rsid w:val="00D3557C"/>
    <w:rsid w:val="00D35F90"/>
    <w:rsid w:val="00D36010"/>
    <w:rsid w:val="00D361DC"/>
    <w:rsid w:val="00D3683D"/>
    <w:rsid w:val="00D374DB"/>
    <w:rsid w:val="00D37DE8"/>
    <w:rsid w:val="00D400DE"/>
    <w:rsid w:val="00D4091B"/>
    <w:rsid w:val="00D4144C"/>
    <w:rsid w:val="00D4198C"/>
    <w:rsid w:val="00D42811"/>
    <w:rsid w:val="00D42829"/>
    <w:rsid w:val="00D42C0E"/>
    <w:rsid w:val="00D4386B"/>
    <w:rsid w:val="00D43B1B"/>
    <w:rsid w:val="00D43DCD"/>
    <w:rsid w:val="00D44BAF"/>
    <w:rsid w:val="00D455D3"/>
    <w:rsid w:val="00D457DA"/>
    <w:rsid w:val="00D45881"/>
    <w:rsid w:val="00D4615E"/>
    <w:rsid w:val="00D467EA"/>
    <w:rsid w:val="00D46872"/>
    <w:rsid w:val="00D46C35"/>
    <w:rsid w:val="00D47838"/>
    <w:rsid w:val="00D47DE1"/>
    <w:rsid w:val="00D47E5A"/>
    <w:rsid w:val="00D47F63"/>
    <w:rsid w:val="00D50C3C"/>
    <w:rsid w:val="00D513A5"/>
    <w:rsid w:val="00D518AA"/>
    <w:rsid w:val="00D51978"/>
    <w:rsid w:val="00D51B0E"/>
    <w:rsid w:val="00D5259C"/>
    <w:rsid w:val="00D525A6"/>
    <w:rsid w:val="00D52872"/>
    <w:rsid w:val="00D52B3B"/>
    <w:rsid w:val="00D532F4"/>
    <w:rsid w:val="00D53A9D"/>
    <w:rsid w:val="00D53C38"/>
    <w:rsid w:val="00D54BC3"/>
    <w:rsid w:val="00D54D42"/>
    <w:rsid w:val="00D54E89"/>
    <w:rsid w:val="00D55386"/>
    <w:rsid w:val="00D55764"/>
    <w:rsid w:val="00D55BBC"/>
    <w:rsid w:val="00D55D80"/>
    <w:rsid w:val="00D56D96"/>
    <w:rsid w:val="00D56E78"/>
    <w:rsid w:val="00D57491"/>
    <w:rsid w:val="00D57849"/>
    <w:rsid w:val="00D57AC5"/>
    <w:rsid w:val="00D57C1A"/>
    <w:rsid w:val="00D57EF5"/>
    <w:rsid w:val="00D60410"/>
    <w:rsid w:val="00D60900"/>
    <w:rsid w:val="00D61F6F"/>
    <w:rsid w:val="00D61FBB"/>
    <w:rsid w:val="00D62E16"/>
    <w:rsid w:val="00D6366E"/>
    <w:rsid w:val="00D63982"/>
    <w:rsid w:val="00D6427C"/>
    <w:rsid w:val="00D6446A"/>
    <w:rsid w:val="00D6478F"/>
    <w:rsid w:val="00D64B9B"/>
    <w:rsid w:val="00D6525C"/>
    <w:rsid w:val="00D65DC4"/>
    <w:rsid w:val="00D6635F"/>
    <w:rsid w:val="00D67030"/>
    <w:rsid w:val="00D67795"/>
    <w:rsid w:val="00D70463"/>
    <w:rsid w:val="00D7050E"/>
    <w:rsid w:val="00D70C33"/>
    <w:rsid w:val="00D70E28"/>
    <w:rsid w:val="00D70EDE"/>
    <w:rsid w:val="00D72AB6"/>
    <w:rsid w:val="00D73270"/>
    <w:rsid w:val="00D7328A"/>
    <w:rsid w:val="00D73A0C"/>
    <w:rsid w:val="00D74A32"/>
    <w:rsid w:val="00D74A3F"/>
    <w:rsid w:val="00D75EF9"/>
    <w:rsid w:val="00D769D3"/>
    <w:rsid w:val="00D77714"/>
    <w:rsid w:val="00D77D25"/>
    <w:rsid w:val="00D77D2F"/>
    <w:rsid w:val="00D80453"/>
    <w:rsid w:val="00D8070D"/>
    <w:rsid w:val="00D80BEC"/>
    <w:rsid w:val="00D80DD0"/>
    <w:rsid w:val="00D810AA"/>
    <w:rsid w:val="00D8154C"/>
    <w:rsid w:val="00D816A2"/>
    <w:rsid w:val="00D8227D"/>
    <w:rsid w:val="00D82BD6"/>
    <w:rsid w:val="00D83603"/>
    <w:rsid w:val="00D83621"/>
    <w:rsid w:val="00D8372A"/>
    <w:rsid w:val="00D83BE4"/>
    <w:rsid w:val="00D8435B"/>
    <w:rsid w:val="00D8482E"/>
    <w:rsid w:val="00D85B98"/>
    <w:rsid w:val="00D867D0"/>
    <w:rsid w:val="00D86844"/>
    <w:rsid w:val="00D86989"/>
    <w:rsid w:val="00D86E00"/>
    <w:rsid w:val="00D8796F"/>
    <w:rsid w:val="00D87A53"/>
    <w:rsid w:val="00D87C12"/>
    <w:rsid w:val="00D903FA"/>
    <w:rsid w:val="00D904D3"/>
    <w:rsid w:val="00D909EC"/>
    <w:rsid w:val="00D91836"/>
    <w:rsid w:val="00D9196E"/>
    <w:rsid w:val="00D921A4"/>
    <w:rsid w:val="00D93C1E"/>
    <w:rsid w:val="00D93F0B"/>
    <w:rsid w:val="00D94090"/>
    <w:rsid w:val="00D94412"/>
    <w:rsid w:val="00D95D50"/>
    <w:rsid w:val="00D970F0"/>
    <w:rsid w:val="00D97F91"/>
    <w:rsid w:val="00DA0B87"/>
    <w:rsid w:val="00DA116D"/>
    <w:rsid w:val="00DA139B"/>
    <w:rsid w:val="00DA1990"/>
    <w:rsid w:val="00DA1BD3"/>
    <w:rsid w:val="00DA272C"/>
    <w:rsid w:val="00DA32DF"/>
    <w:rsid w:val="00DA3441"/>
    <w:rsid w:val="00DA3F91"/>
    <w:rsid w:val="00DA4FB3"/>
    <w:rsid w:val="00DA51CD"/>
    <w:rsid w:val="00DA53BB"/>
    <w:rsid w:val="00DA53DF"/>
    <w:rsid w:val="00DA5559"/>
    <w:rsid w:val="00DA56F8"/>
    <w:rsid w:val="00DA56FE"/>
    <w:rsid w:val="00DA5C4D"/>
    <w:rsid w:val="00DA6829"/>
    <w:rsid w:val="00DA68C2"/>
    <w:rsid w:val="00DA6B52"/>
    <w:rsid w:val="00DA6C0D"/>
    <w:rsid w:val="00DA6EB3"/>
    <w:rsid w:val="00DA7453"/>
    <w:rsid w:val="00DA7B4D"/>
    <w:rsid w:val="00DA7D37"/>
    <w:rsid w:val="00DB01FA"/>
    <w:rsid w:val="00DB0394"/>
    <w:rsid w:val="00DB08A9"/>
    <w:rsid w:val="00DB08C9"/>
    <w:rsid w:val="00DB0C1F"/>
    <w:rsid w:val="00DB1DAA"/>
    <w:rsid w:val="00DB1E93"/>
    <w:rsid w:val="00DB1F23"/>
    <w:rsid w:val="00DB23D2"/>
    <w:rsid w:val="00DB3007"/>
    <w:rsid w:val="00DB32CA"/>
    <w:rsid w:val="00DB3438"/>
    <w:rsid w:val="00DB37AE"/>
    <w:rsid w:val="00DB3AEC"/>
    <w:rsid w:val="00DB40A1"/>
    <w:rsid w:val="00DB42EF"/>
    <w:rsid w:val="00DB4B26"/>
    <w:rsid w:val="00DB4C92"/>
    <w:rsid w:val="00DB5006"/>
    <w:rsid w:val="00DB612E"/>
    <w:rsid w:val="00DB6CF5"/>
    <w:rsid w:val="00DB6FCB"/>
    <w:rsid w:val="00DB7076"/>
    <w:rsid w:val="00DB727C"/>
    <w:rsid w:val="00DB7556"/>
    <w:rsid w:val="00DB7717"/>
    <w:rsid w:val="00DC0618"/>
    <w:rsid w:val="00DC08AF"/>
    <w:rsid w:val="00DC1563"/>
    <w:rsid w:val="00DC157F"/>
    <w:rsid w:val="00DC1A18"/>
    <w:rsid w:val="00DC1EC8"/>
    <w:rsid w:val="00DC2A7B"/>
    <w:rsid w:val="00DC32AC"/>
    <w:rsid w:val="00DC3C62"/>
    <w:rsid w:val="00DC46BE"/>
    <w:rsid w:val="00DC4841"/>
    <w:rsid w:val="00DC4B7F"/>
    <w:rsid w:val="00DC57F3"/>
    <w:rsid w:val="00DC62C3"/>
    <w:rsid w:val="00DC6A7F"/>
    <w:rsid w:val="00DC715B"/>
    <w:rsid w:val="00DC7207"/>
    <w:rsid w:val="00DC7928"/>
    <w:rsid w:val="00DC7AA0"/>
    <w:rsid w:val="00DC7F5B"/>
    <w:rsid w:val="00DD08C2"/>
    <w:rsid w:val="00DD1556"/>
    <w:rsid w:val="00DD1CEE"/>
    <w:rsid w:val="00DD2189"/>
    <w:rsid w:val="00DD2582"/>
    <w:rsid w:val="00DD2AEA"/>
    <w:rsid w:val="00DD2C76"/>
    <w:rsid w:val="00DD3077"/>
    <w:rsid w:val="00DD32EB"/>
    <w:rsid w:val="00DD3B1E"/>
    <w:rsid w:val="00DD3CC4"/>
    <w:rsid w:val="00DD441C"/>
    <w:rsid w:val="00DD4732"/>
    <w:rsid w:val="00DD4894"/>
    <w:rsid w:val="00DD5214"/>
    <w:rsid w:val="00DD563B"/>
    <w:rsid w:val="00DD61A3"/>
    <w:rsid w:val="00DD626D"/>
    <w:rsid w:val="00DD6742"/>
    <w:rsid w:val="00DD7D29"/>
    <w:rsid w:val="00DD7E33"/>
    <w:rsid w:val="00DE017C"/>
    <w:rsid w:val="00DE0D9D"/>
    <w:rsid w:val="00DE2904"/>
    <w:rsid w:val="00DE353F"/>
    <w:rsid w:val="00DE3661"/>
    <w:rsid w:val="00DE3CBB"/>
    <w:rsid w:val="00DE46DF"/>
    <w:rsid w:val="00DE53B5"/>
    <w:rsid w:val="00DE60B5"/>
    <w:rsid w:val="00DE60D9"/>
    <w:rsid w:val="00DE68E8"/>
    <w:rsid w:val="00DE7154"/>
    <w:rsid w:val="00DE7470"/>
    <w:rsid w:val="00DE7667"/>
    <w:rsid w:val="00DE7D37"/>
    <w:rsid w:val="00DF094A"/>
    <w:rsid w:val="00DF0BA4"/>
    <w:rsid w:val="00DF0BDF"/>
    <w:rsid w:val="00DF0C6E"/>
    <w:rsid w:val="00DF1200"/>
    <w:rsid w:val="00DF1318"/>
    <w:rsid w:val="00DF1967"/>
    <w:rsid w:val="00DF19E8"/>
    <w:rsid w:val="00DF23FD"/>
    <w:rsid w:val="00DF3177"/>
    <w:rsid w:val="00DF3323"/>
    <w:rsid w:val="00DF40D0"/>
    <w:rsid w:val="00DF40ED"/>
    <w:rsid w:val="00DF4546"/>
    <w:rsid w:val="00DF60E1"/>
    <w:rsid w:val="00DF75A1"/>
    <w:rsid w:val="00DF7B05"/>
    <w:rsid w:val="00E003BE"/>
    <w:rsid w:val="00E00AEF"/>
    <w:rsid w:val="00E00FC4"/>
    <w:rsid w:val="00E01442"/>
    <w:rsid w:val="00E01F4D"/>
    <w:rsid w:val="00E026D7"/>
    <w:rsid w:val="00E030A8"/>
    <w:rsid w:val="00E03DA8"/>
    <w:rsid w:val="00E050C1"/>
    <w:rsid w:val="00E05194"/>
    <w:rsid w:val="00E053A3"/>
    <w:rsid w:val="00E05795"/>
    <w:rsid w:val="00E05BAE"/>
    <w:rsid w:val="00E06A14"/>
    <w:rsid w:val="00E06AD7"/>
    <w:rsid w:val="00E07AAF"/>
    <w:rsid w:val="00E10877"/>
    <w:rsid w:val="00E11701"/>
    <w:rsid w:val="00E11D3E"/>
    <w:rsid w:val="00E11E91"/>
    <w:rsid w:val="00E122E4"/>
    <w:rsid w:val="00E12D51"/>
    <w:rsid w:val="00E1309B"/>
    <w:rsid w:val="00E13399"/>
    <w:rsid w:val="00E141DA"/>
    <w:rsid w:val="00E14A39"/>
    <w:rsid w:val="00E14D80"/>
    <w:rsid w:val="00E16183"/>
    <w:rsid w:val="00E16300"/>
    <w:rsid w:val="00E17EFD"/>
    <w:rsid w:val="00E20513"/>
    <w:rsid w:val="00E20680"/>
    <w:rsid w:val="00E209C5"/>
    <w:rsid w:val="00E20BF9"/>
    <w:rsid w:val="00E2184D"/>
    <w:rsid w:val="00E222FC"/>
    <w:rsid w:val="00E22BB4"/>
    <w:rsid w:val="00E2427E"/>
    <w:rsid w:val="00E24815"/>
    <w:rsid w:val="00E2486C"/>
    <w:rsid w:val="00E24C07"/>
    <w:rsid w:val="00E24DC9"/>
    <w:rsid w:val="00E2651D"/>
    <w:rsid w:val="00E265F5"/>
    <w:rsid w:val="00E26A8C"/>
    <w:rsid w:val="00E26B6C"/>
    <w:rsid w:val="00E26DB7"/>
    <w:rsid w:val="00E27F87"/>
    <w:rsid w:val="00E30139"/>
    <w:rsid w:val="00E3054F"/>
    <w:rsid w:val="00E3064B"/>
    <w:rsid w:val="00E30C3D"/>
    <w:rsid w:val="00E30D71"/>
    <w:rsid w:val="00E31638"/>
    <w:rsid w:val="00E31E1D"/>
    <w:rsid w:val="00E321FE"/>
    <w:rsid w:val="00E326C1"/>
    <w:rsid w:val="00E327D5"/>
    <w:rsid w:val="00E328A1"/>
    <w:rsid w:val="00E32BDF"/>
    <w:rsid w:val="00E33A96"/>
    <w:rsid w:val="00E34685"/>
    <w:rsid w:val="00E34B6E"/>
    <w:rsid w:val="00E35419"/>
    <w:rsid w:val="00E354F3"/>
    <w:rsid w:val="00E35649"/>
    <w:rsid w:val="00E35D97"/>
    <w:rsid w:val="00E367FE"/>
    <w:rsid w:val="00E370D5"/>
    <w:rsid w:val="00E3732F"/>
    <w:rsid w:val="00E37891"/>
    <w:rsid w:val="00E37B28"/>
    <w:rsid w:val="00E40AEA"/>
    <w:rsid w:val="00E41084"/>
    <w:rsid w:val="00E41121"/>
    <w:rsid w:val="00E41626"/>
    <w:rsid w:val="00E419B1"/>
    <w:rsid w:val="00E41D20"/>
    <w:rsid w:val="00E41FE7"/>
    <w:rsid w:val="00E4262A"/>
    <w:rsid w:val="00E42824"/>
    <w:rsid w:val="00E42CF2"/>
    <w:rsid w:val="00E44281"/>
    <w:rsid w:val="00E4490A"/>
    <w:rsid w:val="00E45434"/>
    <w:rsid w:val="00E45CA7"/>
    <w:rsid w:val="00E46CB1"/>
    <w:rsid w:val="00E47BD4"/>
    <w:rsid w:val="00E50450"/>
    <w:rsid w:val="00E50855"/>
    <w:rsid w:val="00E51D8B"/>
    <w:rsid w:val="00E51FAF"/>
    <w:rsid w:val="00E52352"/>
    <w:rsid w:val="00E52607"/>
    <w:rsid w:val="00E53661"/>
    <w:rsid w:val="00E54D2E"/>
    <w:rsid w:val="00E55181"/>
    <w:rsid w:val="00E552E2"/>
    <w:rsid w:val="00E55F8F"/>
    <w:rsid w:val="00E564E2"/>
    <w:rsid w:val="00E56681"/>
    <w:rsid w:val="00E57074"/>
    <w:rsid w:val="00E606F9"/>
    <w:rsid w:val="00E60A02"/>
    <w:rsid w:val="00E610C7"/>
    <w:rsid w:val="00E612E4"/>
    <w:rsid w:val="00E61983"/>
    <w:rsid w:val="00E61A15"/>
    <w:rsid w:val="00E62692"/>
    <w:rsid w:val="00E63584"/>
    <w:rsid w:val="00E636FA"/>
    <w:rsid w:val="00E63EA7"/>
    <w:rsid w:val="00E6411B"/>
    <w:rsid w:val="00E641FC"/>
    <w:rsid w:val="00E6625D"/>
    <w:rsid w:val="00E66A07"/>
    <w:rsid w:val="00E67F44"/>
    <w:rsid w:val="00E70133"/>
    <w:rsid w:val="00E70CAD"/>
    <w:rsid w:val="00E70E74"/>
    <w:rsid w:val="00E7146E"/>
    <w:rsid w:val="00E726EF"/>
    <w:rsid w:val="00E728D7"/>
    <w:rsid w:val="00E72B1C"/>
    <w:rsid w:val="00E72D9A"/>
    <w:rsid w:val="00E73EB1"/>
    <w:rsid w:val="00E74258"/>
    <w:rsid w:val="00E74914"/>
    <w:rsid w:val="00E752F4"/>
    <w:rsid w:val="00E75680"/>
    <w:rsid w:val="00E756D5"/>
    <w:rsid w:val="00E75730"/>
    <w:rsid w:val="00E75D47"/>
    <w:rsid w:val="00E75EA2"/>
    <w:rsid w:val="00E76C34"/>
    <w:rsid w:val="00E76D4E"/>
    <w:rsid w:val="00E773B9"/>
    <w:rsid w:val="00E778C9"/>
    <w:rsid w:val="00E80239"/>
    <w:rsid w:val="00E80554"/>
    <w:rsid w:val="00E80A1E"/>
    <w:rsid w:val="00E80C14"/>
    <w:rsid w:val="00E80E4D"/>
    <w:rsid w:val="00E817D2"/>
    <w:rsid w:val="00E81C83"/>
    <w:rsid w:val="00E83364"/>
    <w:rsid w:val="00E8375E"/>
    <w:rsid w:val="00E83842"/>
    <w:rsid w:val="00E83BEB"/>
    <w:rsid w:val="00E83C02"/>
    <w:rsid w:val="00E83E34"/>
    <w:rsid w:val="00E8468F"/>
    <w:rsid w:val="00E85671"/>
    <w:rsid w:val="00E85DB9"/>
    <w:rsid w:val="00E86669"/>
    <w:rsid w:val="00E87641"/>
    <w:rsid w:val="00E87A9C"/>
    <w:rsid w:val="00E87B03"/>
    <w:rsid w:val="00E9001B"/>
    <w:rsid w:val="00E90655"/>
    <w:rsid w:val="00E90C8D"/>
    <w:rsid w:val="00E90ECF"/>
    <w:rsid w:val="00E90FC2"/>
    <w:rsid w:val="00E919CA"/>
    <w:rsid w:val="00E91DD2"/>
    <w:rsid w:val="00E94C9F"/>
    <w:rsid w:val="00E94EE5"/>
    <w:rsid w:val="00E954B7"/>
    <w:rsid w:val="00E95B2B"/>
    <w:rsid w:val="00E95B7E"/>
    <w:rsid w:val="00E95D0E"/>
    <w:rsid w:val="00E96047"/>
    <w:rsid w:val="00E96E93"/>
    <w:rsid w:val="00E97635"/>
    <w:rsid w:val="00E97861"/>
    <w:rsid w:val="00E97A78"/>
    <w:rsid w:val="00EA009D"/>
    <w:rsid w:val="00EA0446"/>
    <w:rsid w:val="00EA0DAE"/>
    <w:rsid w:val="00EA0EA6"/>
    <w:rsid w:val="00EA167A"/>
    <w:rsid w:val="00EA1810"/>
    <w:rsid w:val="00EA2105"/>
    <w:rsid w:val="00EA4BFC"/>
    <w:rsid w:val="00EA5BDB"/>
    <w:rsid w:val="00EA671E"/>
    <w:rsid w:val="00EA6E85"/>
    <w:rsid w:val="00EA7089"/>
    <w:rsid w:val="00EA71AF"/>
    <w:rsid w:val="00EA761C"/>
    <w:rsid w:val="00EA7CEF"/>
    <w:rsid w:val="00EB0260"/>
    <w:rsid w:val="00EB1BEC"/>
    <w:rsid w:val="00EB1D4F"/>
    <w:rsid w:val="00EB1E41"/>
    <w:rsid w:val="00EB25BE"/>
    <w:rsid w:val="00EB3918"/>
    <w:rsid w:val="00EB3E5D"/>
    <w:rsid w:val="00EB4257"/>
    <w:rsid w:val="00EB4617"/>
    <w:rsid w:val="00EB545F"/>
    <w:rsid w:val="00EB557B"/>
    <w:rsid w:val="00EB6D21"/>
    <w:rsid w:val="00EB7899"/>
    <w:rsid w:val="00EB78A1"/>
    <w:rsid w:val="00EB78AD"/>
    <w:rsid w:val="00EC0ED7"/>
    <w:rsid w:val="00EC1321"/>
    <w:rsid w:val="00EC1AEC"/>
    <w:rsid w:val="00EC27BE"/>
    <w:rsid w:val="00EC28C3"/>
    <w:rsid w:val="00EC290B"/>
    <w:rsid w:val="00EC386B"/>
    <w:rsid w:val="00EC3950"/>
    <w:rsid w:val="00EC3AC7"/>
    <w:rsid w:val="00EC3EAC"/>
    <w:rsid w:val="00EC48D5"/>
    <w:rsid w:val="00EC5671"/>
    <w:rsid w:val="00EC5950"/>
    <w:rsid w:val="00EC5ED7"/>
    <w:rsid w:val="00EC6C9D"/>
    <w:rsid w:val="00ED0093"/>
    <w:rsid w:val="00ED04BF"/>
    <w:rsid w:val="00ED0C3C"/>
    <w:rsid w:val="00ED0CCF"/>
    <w:rsid w:val="00ED2526"/>
    <w:rsid w:val="00ED27EE"/>
    <w:rsid w:val="00ED35B4"/>
    <w:rsid w:val="00ED49D3"/>
    <w:rsid w:val="00ED4B5C"/>
    <w:rsid w:val="00ED4CA6"/>
    <w:rsid w:val="00ED4CB2"/>
    <w:rsid w:val="00ED58DE"/>
    <w:rsid w:val="00ED69DB"/>
    <w:rsid w:val="00ED7CF8"/>
    <w:rsid w:val="00ED7E65"/>
    <w:rsid w:val="00ED7F21"/>
    <w:rsid w:val="00EE1842"/>
    <w:rsid w:val="00EE29C9"/>
    <w:rsid w:val="00EE2A9D"/>
    <w:rsid w:val="00EE2AA6"/>
    <w:rsid w:val="00EE2BE0"/>
    <w:rsid w:val="00EE3150"/>
    <w:rsid w:val="00EE322A"/>
    <w:rsid w:val="00EE3B62"/>
    <w:rsid w:val="00EE47CC"/>
    <w:rsid w:val="00EE4BF6"/>
    <w:rsid w:val="00EE5079"/>
    <w:rsid w:val="00EE50C6"/>
    <w:rsid w:val="00EE6592"/>
    <w:rsid w:val="00EE6DB5"/>
    <w:rsid w:val="00EE74AF"/>
    <w:rsid w:val="00EE790F"/>
    <w:rsid w:val="00EF07E7"/>
    <w:rsid w:val="00EF0AF3"/>
    <w:rsid w:val="00EF0EB5"/>
    <w:rsid w:val="00EF15D4"/>
    <w:rsid w:val="00EF204E"/>
    <w:rsid w:val="00EF2443"/>
    <w:rsid w:val="00EF2748"/>
    <w:rsid w:val="00EF2952"/>
    <w:rsid w:val="00EF4503"/>
    <w:rsid w:val="00EF4C15"/>
    <w:rsid w:val="00EF558A"/>
    <w:rsid w:val="00EF5EBF"/>
    <w:rsid w:val="00EF64BA"/>
    <w:rsid w:val="00EF687C"/>
    <w:rsid w:val="00EF6D02"/>
    <w:rsid w:val="00EF6E82"/>
    <w:rsid w:val="00EF726B"/>
    <w:rsid w:val="00EF781A"/>
    <w:rsid w:val="00EF787C"/>
    <w:rsid w:val="00EF78D1"/>
    <w:rsid w:val="00F004C2"/>
    <w:rsid w:val="00F00770"/>
    <w:rsid w:val="00F011A8"/>
    <w:rsid w:val="00F02312"/>
    <w:rsid w:val="00F02AD4"/>
    <w:rsid w:val="00F031E2"/>
    <w:rsid w:val="00F03506"/>
    <w:rsid w:val="00F0425E"/>
    <w:rsid w:val="00F04EAB"/>
    <w:rsid w:val="00F05263"/>
    <w:rsid w:val="00F0596B"/>
    <w:rsid w:val="00F05B12"/>
    <w:rsid w:val="00F0627B"/>
    <w:rsid w:val="00F07463"/>
    <w:rsid w:val="00F07620"/>
    <w:rsid w:val="00F079DD"/>
    <w:rsid w:val="00F07A86"/>
    <w:rsid w:val="00F07EA6"/>
    <w:rsid w:val="00F10A2B"/>
    <w:rsid w:val="00F10C12"/>
    <w:rsid w:val="00F10CD6"/>
    <w:rsid w:val="00F10EE2"/>
    <w:rsid w:val="00F1121E"/>
    <w:rsid w:val="00F11B59"/>
    <w:rsid w:val="00F11B95"/>
    <w:rsid w:val="00F11D9E"/>
    <w:rsid w:val="00F12CE9"/>
    <w:rsid w:val="00F15B4E"/>
    <w:rsid w:val="00F1607E"/>
    <w:rsid w:val="00F16834"/>
    <w:rsid w:val="00F16BBE"/>
    <w:rsid w:val="00F16CC0"/>
    <w:rsid w:val="00F16EEB"/>
    <w:rsid w:val="00F17048"/>
    <w:rsid w:val="00F1707D"/>
    <w:rsid w:val="00F1777B"/>
    <w:rsid w:val="00F17C0D"/>
    <w:rsid w:val="00F17C87"/>
    <w:rsid w:val="00F17D02"/>
    <w:rsid w:val="00F20766"/>
    <w:rsid w:val="00F20857"/>
    <w:rsid w:val="00F209D1"/>
    <w:rsid w:val="00F20B8F"/>
    <w:rsid w:val="00F21538"/>
    <w:rsid w:val="00F21623"/>
    <w:rsid w:val="00F21D4F"/>
    <w:rsid w:val="00F22726"/>
    <w:rsid w:val="00F22C23"/>
    <w:rsid w:val="00F22F26"/>
    <w:rsid w:val="00F23DE3"/>
    <w:rsid w:val="00F24212"/>
    <w:rsid w:val="00F24B76"/>
    <w:rsid w:val="00F24E1D"/>
    <w:rsid w:val="00F25770"/>
    <w:rsid w:val="00F25A12"/>
    <w:rsid w:val="00F25B0D"/>
    <w:rsid w:val="00F25C59"/>
    <w:rsid w:val="00F26912"/>
    <w:rsid w:val="00F26FFE"/>
    <w:rsid w:val="00F270F1"/>
    <w:rsid w:val="00F271C8"/>
    <w:rsid w:val="00F27C33"/>
    <w:rsid w:val="00F30310"/>
    <w:rsid w:val="00F3031A"/>
    <w:rsid w:val="00F30423"/>
    <w:rsid w:val="00F30484"/>
    <w:rsid w:val="00F30523"/>
    <w:rsid w:val="00F30E48"/>
    <w:rsid w:val="00F31F1E"/>
    <w:rsid w:val="00F32490"/>
    <w:rsid w:val="00F32611"/>
    <w:rsid w:val="00F33285"/>
    <w:rsid w:val="00F332C6"/>
    <w:rsid w:val="00F3377D"/>
    <w:rsid w:val="00F33990"/>
    <w:rsid w:val="00F347C9"/>
    <w:rsid w:val="00F35393"/>
    <w:rsid w:val="00F358B9"/>
    <w:rsid w:val="00F35ED9"/>
    <w:rsid w:val="00F36635"/>
    <w:rsid w:val="00F366F8"/>
    <w:rsid w:val="00F3681D"/>
    <w:rsid w:val="00F36B3C"/>
    <w:rsid w:val="00F37C08"/>
    <w:rsid w:val="00F40176"/>
    <w:rsid w:val="00F40C7F"/>
    <w:rsid w:val="00F4117B"/>
    <w:rsid w:val="00F41AF3"/>
    <w:rsid w:val="00F42001"/>
    <w:rsid w:val="00F42320"/>
    <w:rsid w:val="00F427CC"/>
    <w:rsid w:val="00F4280D"/>
    <w:rsid w:val="00F42B52"/>
    <w:rsid w:val="00F42DD9"/>
    <w:rsid w:val="00F43A30"/>
    <w:rsid w:val="00F442F9"/>
    <w:rsid w:val="00F44644"/>
    <w:rsid w:val="00F447BD"/>
    <w:rsid w:val="00F44908"/>
    <w:rsid w:val="00F44A67"/>
    <w:rsid w:val="00F44ADC"/>
    <w:rsid w:val="00F451BA"/>
    <w:rsid w:val="00F45668"/>
    <w:rsid w:val="00F45AAB"/>
    <w:rsid w:val="00F463FB"/>
    <w:rsid w:val="00F46740"/>
    <w:rsid w:val="00F4723F"/>
    <w:rsid w:val="00F47393"/>
    <w:rsid w:val="00F474C9"/>
    <w:rsid w:val="00F508BE"/>
    <w:rsid w:val="00F5113A"/>
    <w:rsid w:val="00F524C9"/>
    <w:rsid w:val="00F5268E"/>
    <w:rsid w:val="00F52696"/>
    <w:rsid w:val="00F52731"/>
    <w:rsid w:val="00F53617"/>
    <w:rsid w:val="00F53699"/>
    <w:rsid w:val="00F539E1"/>
    <w:rsid w:val="00F53B2A"/>
    <w:rsid w:val="00F53C2A"/>
    <w:rsid w:val="00F543A6"/>
    <w:rsid w:val="00F549F3"/>
    <w:rsid w:val="00F54A07"/>
    <w:rsid w:val="00F54A3A"/>
    <w:rsid w:val="00F54EB9"/>
    <w:rsid w:val="00F55566"/>
    <w:rsid w:val="00F558C6"/>
    <w:rsid w:val="00F5670A"/>
    <w:rsid w:val="00F56749"/>
    <w:rsid w:val="00F57E69"/>
    <w:rsid w:val="00F6008E"/>
    <w:rsid w:val="00F60118"/>
    <w:rsid w:val="00F6079E"/>
    <w:rsid w:val="00F61284"/>
    <w:rsid w:val="00F6146C"/>
    <w:rsid w:val="00F61EB9"/>
    <w:rsid w:val="00F61F57"/>
    <w:rsid w:val="00F6256A"/>
    <w:rsid w:val="00F62661"/>
    <w:rsid w:val="00F62D75"/>
    <w:rsid w:val="00F62F78"/>
    <w:rsid w:val="00F63CEB"/>
    <w:rsid w:val="00F64355"/>
    <w:rsid w:val="00F646D8"/>
    <w:rsid w:val="00F648B5"/>
    <w:rsid w:val="00F651E4"/>
    <w:rsid w:val="00F6575A"/>
    <w:rsid w:val="00F65B71"/>
    <w:rsid w:val="00F66010"/>
    <w:rsid w:val="00F70102"/>
    <w:rsid w:val="00F70346"/>
    <w:rsid w:val="00F70DFD"/>
    <w:rsid w:val="00F71328"/>
    <w:rsid w:val="00F72048"/>
    <w:rsid w:val="00F728E7"/>
    <w:rsid w:val="00F72A28"/>
    <w:rsid w:val="00F72D15"/>
    <w:rsid w:val="00F72D61"/>
    <w:rsid w:val="00F735FD"/>
    <w:rsid w:val="00F73798"/>
    <w:rsid w:val="00F74048"/>
    <w:rsid w:val="00F752FB"/>
    <w:rsid w:val="00F75916"/>
    <w:rsid w:val="00F759B0"/>
    <w:rsid w:val="00F76497"/>
    <w:rsid w:val="00F767DE"/>
    <w:rsid w:val="00F81029"/>
    <w:rsid w:val="00F823E7"/>
    <w:rsid w:val="00F82405"/>
    <w:rsid w:val="00F82E44"/>
    <w:rsid w:val="00F831D2"/>
    <w:rsid w:val="00F83AD6"/>
    <w:rsid w:val="00F84039"/>
    <w:rsid w:val="00F84334"/>
    <w:rsid w:val="00F8441E"/>
    <w:rsid w:val="00F849DD"/>
    <w:rsid w:val="00F84D0C"/>
    <w:rsid w:val="00F86361"/>
    <w:rsid w:val="00F8639E"/>
    <w:rsid w:val="00F864EC"/>
    <w:rsid w:val="00F869AF"/>
    <w:rsid w:val="00F86DF4"/>
    <w:rsid w:val="00F86EDB"/>
    <w:rsid w:val="00F872E8"/>
    <w:rsid w:val="00F87433"/>
    <w:rsid w:val="00F903E3"/>
    <w:rsid w:val="00F90C4D"/>
    <w:rsid w:val="00F915C1"/>
    <w:rsid w:val="00F92477"/>
    <w:rsid w:val="00F92804"/>
    <w:rsid w:val="00F92BBA"/>
    <w:rsid w:val="00F92CC8"/>
    <w:rsid w:val="00F93817"/>
    <w:rsid w:val="00F9387D"/>
    <w:rsid w:val="00F9439C"/>
    <w:rsid w:val="00F94764"/>
    <w:rsid w:val="00F959C8"/>
    <w:rsid w:val="00F95A9E"/>
    <w:rsid w:val="00F966F0"/>
    <w:rsid w:val="00F96A13"/>
    <w:rsid w:val="00F96D5A"/>
    <w:rsid w:val="00F97051"/>
    <w:rsid w:val="00FA0188"/>
    <w:rsid w:val="00FA0FB0"/>
    <w:rsid w:val="00FA1446"/>
    <w:rsid w:val="00FA1463"/>
    <w:rsid w:val="00FA1513"/>
    <w:rsid w:val="00FA202F"/>
    <w:rsid w:val="00FA25FD"/>
    <w:rsid w:val="00FA35FD"/>
    <w:rsid w:val="00FA3961"/>
    <w:rsid w:val="00FA47E6"/>
    <w:rsid w:val="00FA6243"/>
    <w:rsid w:val="00FA699B"/>
    <w:rsid w:val="00FA6D8A"/>
    <w:rsid w:val="00FA7084"/>
    <w:rsid w:val="00FA7E66"/>
    <w:rsid w:val="00FB027F"/>
    <w:rsid w:val="00FB070C"/>
    <w:rsid w:val="00FB08AD"/>
    <w:rsid w:val="00FB1E84"/>
    <w:rsid w:val="00FB2738"/>
    <w:rsid w:val="00FB3584"/>
    <w:rsid w:val="00FB4043"/>
    <w:rsid w:val="00FB435A"/>
    <w:rsid w:val="00FB4ACB"/>
    <w:rsid w:val="00FB5635"/>
    <w:rsid w:val="00FB5712"/>
    <w:rsid w:val="00FB5F52"/>
    <w:rsid w:val="00FB6A0A"/>
    <w:rsid w:val="00FB7109"/>
    <w:rsid w:val="00FC117C"/>
    <w:rsid w:val="00FC1CBF"/>
    <w:rsid w:val="00FC1E48"/>
    <w:rsid w:val="00FC1E74"/>
    <w:rsid w:val="00FC2151"/>
    <w:rsid w:val="00FC27B1"/>
    <w:rsid w:val="00FC2F29"/>
    <w:rsid w:val="00FC390A"/>
    <w:rsid w:val="00FC419A"/>
    <w:rsid w:val="00FC4BCD"/>
    <w:rsid w:val="00FC4D35"/>
    <w:rsid w:val="00FC4DC3"/>
    <w:rsid w:val="00FC5409"/>
    <w:rsid w:val="00FC60FA"/>
    <w:rsid w:val="00FC6301"/>
    <w:rsid w:val="00FC7043"/>
    <w:rsid w:val="00FD0542"/>
    <w:rsid w:val="00FD0CF5"/>
    <w:rsid w:val="00FD1304"/>
    <w:rsid w:val="00FD138A"/>
    <w:rsid w:val="00FD1983"/>
    <w:rsid w:val="00FD2A11"/>
    <w:rsid w:val="00FD3391"/>
    <w:rsid w:val="00FD3534"/>
    <w:rsid w:val="00FD35B8"/>
    <w:rsid w:val="00FD38CF"/>
    <w:rsid w:val="00FD3A0E"/>
    <w:rsid w:val="00FD4249"/>
    <w:rsid w:val="00FD42CA"/>
    <w:rsid w:val="00FD439C"/>
    <w:rsid w:val="00FD4BEE"/>
    <w:rsid w:val="00FD4C83"/>
    <w:rsid w:val="00FD51B5"/>
    <w:rsid w:val="00FD58C0"/>
    <w:rsid w:val="00FD5904"/>
    <w:rsid w:val="00FD597F"/>
    <w:rsid w:val="00FD5D17"/>
    <w:rsid w:val="00FD665C"/>
    <w:rsid w:val="00FD6B88"/>
    <w:rsid w:val="00FD711E"/>
    <w:rsid w:val="00FD7241"/>
    <w:rsid w:val="00FD7B4A"/>
    <w:rsid w:val="00FD7EC8"/>
    <w:rsid w:val="00FD7F11"/>
    <w:rsid w:val="00FE0196"/>
    <w:rsid w:val="00FE08E5"/>
    <w:rsid w:val="00FE1BEE"/>
    <w:rsid w:val="00FE1C21"/>
    <w:rsid w:val="00FE1C54"/>
    <w:rsid w:val="00FE3386"/>
    <w:rsid w:val="00FE34E3"/>
    <w:rsid w:val="00FE4C94"/>
    <w:rsid w:val="00FE50DE"/>
    <w:rsid w:val="00FE522B"/>
    <w:rsid w:val="00FE533E"/>
    <w:rsid w:val="00FE5CB6"/>
    <w:rsid w:val="00FE5D32"/>
    <w:rsid w:val="00FE626D"/>
    <w:rsid w:val="00FE6C5D"/>
    <w:rsid w:val="00FE76DE"/>
    <w:rsid w:val="00FF0256"/>
    <w:rsid w:val="00FF058A"/>
    <w:rsid w:val="00FF0D48"/>
    <w:rsid w:val="00FF0E3E"/>
    <w:rsid w:val="00FF1105"/>
    <w:rsid w:val="00FF2571"/>
    <w:rsid w:val="00FF31B0"/>
    <w:rsid w:val="00FF370D"/>
    <w:rsid w:val="00FF3F4F"/>
    <w:rsid w:val="00FF3F9A"/>
    <w:rsid w:val="00FF42D7"/>
    <w:rsid w:val="00FF44A4"/>
    <w:rsid w:val="00FF454E"/>
    <w:rsid w:val="00FF4F82"/>
    <w:rsid w:val="00FF54F4"/>
    <w:rsid w:val="00FF5663"/>
    <w:rsid w:val="00FF58F4"/>
    <w:rsid w:val="00FF67C2"/>
    <w:rsid w:val="00FF6D41"/>
    <w:rsid w:val="00FF6DD3"/>
    <w:rsid w:val="00FF6EE0"/>
    <w:rsid w:val="00FF7141"/>
    <w:rsid w:val="00FF735B"/>
    <w:rsid w:val="00FF7B99"/>
    <w:rsid w:val="00FF7F74"/>
    <w:rsid w:val="09105D45"/>
    <w:rsid w:val="417423EE"/>
    <w:rsid w:val="41E02277"/>
    <w:rsid w:val="4F801FAE"/>
    <w:rsid w:val="52FF453A"/>
    <w:rsid w:val="5DF7028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28E9C"/>
  <w15:chartTrackingRefBased/>
  <w15:docId w15:val="{3DA7C7D0-ADDA-467E-A2CC-C5B446BF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B69"/>
    <w:rPr>
      <w:rFonts w:ascii="Basic Sans Light" w:hAnsi="Basic Sans Light"/>
      <w:sz w:val="24"/>
    </w:rPr>
  </w:style>
  <w:style w:type="paragraph" w:styleId="Heading1">
    <w:name w:val="heading 1"/>
    <w:basedOn w:val="Normal"/>
    <w:next w:val="Normal"/>
    <w:link w:val="Heading1Char"/>
    <w:uiPriority w:val="9"/>
    <w:qFormat/>
    <w:rsid w:val="00277F2C"/>
    <w:pPr>
      <w:keepNext/>
      <w:keepLines/>
      <w:numPr>
        <w:numId w:val="7"/>
      </w:numPr>
      <w:spacing w:before="360" w:after="80"/>
      <w:outlineLvl w:val="0"/>
    </w:pPr>
    <w:rPr>
      <w:rFonts w:ascii="Basic Sans" w:eastAsiaTheme="majorEastAsia" w:hAnsi="Basic Sans"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1C83"/>
    <w:pPr>
      <w:keepNext/>
      <w:keepLines/>
      <w:numPr>
        <w:ilvl w:val="1"/>
        <w:numId w:val="7"/>
      </w:numPr>
      <w:spacing w:before="240" w:after="80"/>
      <w:ind w:left="1134" w:hanging="1134"/>
      <w:outlineLvl w:val="1"/>
    </w:pPr>
    <w:rPr>
      <w:rFonts w:ascii="Basic Sans" w:eastAsiaTheme="majorEastAsia" w:hAnsi="Basic Sans" w:cstheme="majorBidi"/>
      <w:color w:val="0F4761" w:themeColor="accent1" w:themeShade="BF"/>
      <w:sz w:val="32"/>
      <w:szCs w:val="32"/>
    </w:rPr>
  </w:style>
  <w:style w:type="paragraph" w:styleId="Heading3">
    <w:name w:val="heading 3"/>
    <w:basedOn w:val="Heading2"/>
    <w:next w:val="Normal"/>
    <w:link w:val="Heading3Char"/>
    <w:uiPriority w:val="9"/>
    <w:unhideWhenUsed/>
    <w:qFormat/>
    <w:rsid w:val="002C27AE"/>
    <w:pPr>
      <w:numPr>
        <w:ilvl w:val="2"/>
      </w:numPr>
      <w:spacing w:before="160"/>
      <w:ind w:hanging="1003"/>
      <w:outlineLvl w:val="2"/>
    </w:pPr>
    <w:rPr>
      <w:sz w:val="28"/>
      <w:szCs w:val="28"/>
      <w:lang w:eastAsia="en-NZ"/>
    </w:rPr>
  </w:style>
  <w:style w:type="paragraph" w:styleId="Heading4">
    <w:name w:val="heading 4"/>
    <w:basedOn w:val="Normal"/>
    <w:next w:val="Normal"/>
    <w:link w:val="Heading4Char"/>
    <w:uiPriority w:val="9"/>
    <w:unhideWhenUsed/>
    <w:qFormat/>
    <w:rsid w:val="00D8796F"/>
    <w:pPr>
      <w:keepNext/>
      <w:keepLines/>
      <w:numPr>
        <w:ilvl w:val="3"/>
        <w:numId w:val="7"/>
      </w:numPr>
      <w:spacing w:before="80" w:after="40"/>
      <w:ind w:left="1134" w:hanging="1134"/>
      <w:outlineLvl w:val="3"/>
    </w:pPr>
    <w:rPr>
      <w:rFonts w:ascii="Basic Sans" w:eastAsiaTheme="majorEastAsia" w:hAnsi="Basic Sans" w:cstheme="majorBidi"/>
      <w:i/>
      <w:iCs/>
      <w:color w:val="0F4761" w:themeColor="accent1" w:themeShade="BF"/>
    </w:rPr>
  </w:style>
  <w:style w:type="paragraph" w:styleId="Heading5">
    <w:name w:val="heading 5"/>
    <w:basedOn w:val="Normal"/>
    <w:next w:val="Normal"/>
    <w:link w:val="Heading5Char"/>
    <w:uiPriority w:val="9"/>
    <w:semiHidden/>
    <w:unhideWhenUsed/>
    <w:qFormat/>
    <w:rsid w:val="00EC5ED7"/>
    <w:pPr>
      <w:keepNext/>
      <w:keepLines/>
      <w:numPr>
        <w:ilvl w:val="4"/>
        <w:numId w:val="7"/>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ED7"/>
    <w:pPr>
      <w:keepNext/>
      <w:keepLines/>
      <w:numPr>
        <w:ilvl w:val="5"/>
        <w:numId w:val="7"/>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ED7"/>
    <w:pPr>
      <w:keepNext/>
      <w:keepLines/>
      <w:numPr>
        <w:ilvl w:val="6"/>
        <w:numId w:val="7"/>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ED7"/>
    <w:pPr>
      <w:keepNext/>
      <w:keepLines/>
      <w:numPr>
        <w:ilvl w:val="7"/>
        <w:numId w:val="7"/>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ED7"/>
    <w:pPr>
      <w:keepNext/>
      <w:keepLines/>
      <w:numPr>
        <w:ilvl w:val="8"/>
        <w:numId w:val="7"/>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F2C"/>
    <w:rPr>
      <w:rFonts w:ascii="Basic Sans" w:eastAsiaTheme="majorEastAsia" w:hAnsi="Basic Sans" w:cstheme="majorBidi"/>
      <w:color w:val="0F4761" w:themeColor="accent1" w:themeShade="BF"/>
      <w:sz w:val="40"/>
      <w:szCs w:val="40"/>
    </w:rPr>
  </w:style>
  <w:style w:type="character" w:customStyle="1" w:styleId="Heading2Char">
    <w:name w:val="Heading 2 Char"/>
    <w:basedOn w:val="DefaultParagraphFont"/>
    <w:link w:val="Heading2"/>
    <w:uiPriority w:val="9"/>
    <w:rsid w:val="00E81C83"/>
    <w:rPr>
      <w:rFonts w:ascii="Basic Sans" w:eastAsiaTheme="majorEastAsia" w:hAnsi="Basic Sans" w:cstheme="majorBidi"/>
      <w:color w:val="0F4761" w:themeColor="accent1" w:themeShade="BF"/>
      <w:sz w:val="32"/>
      <w:szCs w:val="32"/>
    </w:rPr>
  </w:style>
  <w:style w:type="character" w:customStyle="1" w:styleId="Heading3Char">
    <w:name w:val="Heading 3 Char"/>
    <w:basedOn w:val="DefaultParagraphFont"/>
    <w:link w:val="Heading3"/>
    <w:uiPriority w:val="9"/>
    <w:rsid w:val="002C27AE"/>
    <w:rPr>
      <w:rFonts w:ascii="Basic Sans" w:eastAsiaTheme="majorEastAsia" w:hAnsi="Basic Sans" w:cstheme="majorBidi"/>
      <w:color w:val="0F4761" w:themeColor="accent1" w:themeShade="BF"/>
      <w:sz w:val="28"/>
      <w:szCs w:val="28"/>
      <w:lang w:eastAsia="en-NZ"/>
    </w:rPr>
  </w:style>
  <w:style w:type="character" w:customStyle="1" w:styleId="Heading4Char">
    <w:name w:val="Heading 4 Char"/>
    <w:basedOn w:val="DefaultParagraphFont"/>
    <w:link w:val="Heading4"/>
    <w:uiPriority w:val="9"/>
    <w:rsid w:val="00D8796F"/>
    <w:rPr>
      <w:rFonts w:ascii="Basic Sans" w:eastAsiaTheme="majorEastAsia" w:hAnsi="Basic Sans" w:cstheme="majorBidi"/>
      <w:i/>
      <w:iCs/>
      <w:color w:val="0F4761" w:themeColor="accent1" w:themeShade="BF"/>
      <w:sz w:val="24"/>
    </w:rPr>
  </w:style>
  <w:style w:type="character" w:customStyle="1" w:styleId="Heading5Char">
    <w:name w:val="Heading 5 Char"/>
    <w:basedOn w:val="DefaultParagraphFont"/>
    <w:link w:val="Heading5"/>
    <w:uiPriority w:val="9"/>
    <w:semiHidden/>
    <w:rsid w:val="00EC5ED7"/>
    <w:rPr>
      <w:rFonts w:ascii="Basic Sans Light" w:eastAsiaTheme="majorEastAsia" w:hAnsi="Basic Sans Light" w:cstheme="majorBidi"/>
      <w:color w:val="0F4761" w:themeColor="accent1" w:themeShade="BF"/>
    </w:rPr>
  </w:style>
  <w:style w:type="character" w:customStyle="1" w:styleId="Heading6Char">
    <w:name w:val="Heading 6 Char"/>
    <w:basedOn w:val="DefaultParagraphFont"/>
    <w:link w:val="Heading6"/>
    <w:uiPriority w:val="9"/>
    <w:semiHidden/>
    <w:rsid w:val="00EC5ED7"/>
    <w:rPr>
      <w:rFonts w:ascii="Basic Sans Light" w:eastAsiaTheme="majorEastAsia" w:hAnsi="Basic Sans Light" w:cstheme="majorBidi"/>
      <w:i/>
      <w:iCs/>
      <w:color w:val="595959" w:themeColor="text1" w:themeTint="A6"/>
    </w:rPr>
  </w:style>
  <w:style w:type="character" w:customStyle="1" w:styleId="Heading7Char">
    <w:name w:val="Heading 7 Char"/>
    <w:basedOn w:val="DefaultParagraphFont"/>
    <w:link w:val="Heading7"/>
    <w:uiPriority w:val="9"/>
    <w:semiHidden/>
    <w:rsid w:val="00EC5ED7"/>
    <w:rPr>
      <w:rFonts w:ascii="Basic Sans Light" w:eastAsiaTheme="majorEastAsia" w:hAnsi="Basic Sans Light" w:cstheme="majorBidi"/>
      <w:color w:val="595959" w:themeColor="text1" w:themeTint="A6"/>
    </w:rPr>
  </w:style>
  <w:style w:type="character" w:customStyle="1" w:styleId="Heading8Char">
    <w:name w:val="Heading 8 Char"/>
    <w:basedOn w:val="DefaultParagraphFont"/>
    <w:link w:val="Heading8"/>
    <w:uiPriority w:val="9"/>
    <w:semiHidden/>
    <w:rsid w:val="00EC5ED7"/>
    <w:rPr>
      <w:rFonts w:ascii="Basic Sans Light" w:eastAsiaTheme="majorEastAsia" w:hAnsi="Basic Sans Light" w:cstheme="majorBidi"/>
      <w:i/>
      <w:iCs/>
      <w:color w:val="272727" w:themeColor="text1" w:themeTint="D8"/>
    </w:rPr>
  </w:style>
  <w:style w:type="character" w:customStyle="1" w:styleId="Heading9Char">
    <w:name w:val="Heading 9 Char"/>
    <w:basedOn w:val="DefaultParagraphFont"/>
    <w:link w:val="Heading9"/>
    <w:uiPriority w:val="9"/>
    <w:semiHidden/>
    <w:rsid w:val="00EC5ED7"/>
    <w:rPr>
      <w:rFonts w:ascii="Basic Sans Light" w:eastAsiaTheme="majorEastAsia" w:hAnsi="Basic Sans Light" w:cstheme="majorBidi"/>
      <w:color w:val="272727" w:themeColor="text1" w:themeTint="D8"/>
    </w:rPr>
  </w:style>
  <w:style w:type="paragraph" w:styleId="Title">
    <w:name w:val="Title"/>
    <w:basedOn w:val="Normal"/>
    <w:next w:val="Normal"/>
    <w:link w:val="TitleChar"/>
    <w:uiPriority w:val="10"/>
    <w:qFormat/>
    <w:rsid w:val="00EC5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ED7"/>
    <w:pPr>
      <w:spacing w:before="160"/>
      <w:jc w:val="center"/>
    </w:pPr>
    <w:rPr>
      <w:i/>
      <w:iCs/>
      <w:color w:val="404040" w:themeColor="text1" w:themeTint="BF"/>
    </w:rPr>
  </w:style>
  <w:style w:type="character" w:customStyle="1" w:styleId="QuoteChar">
    <w:name w:val="Quote Char"/>
    <w:basedOn w:val="DefaultParagraphFont"/>
    <w:link w:val="Quote"/>
    <w:uiPriority w:val="29"/>
    <w:rsid w:val="00EC5ED7"/>
    <w:rPr>
      <w:i/>
      <w:iCs/>
      <w:color w:val="404040" w:themeColor="text1" w:themeTint="BF"/>
    </w:rPr>
  </w:style>
  <w:style w:type="paragraph" w:styleId="ListParagraph">
    <w:name w:val="List Paragraph"/>
    <w:basedOn w:val="Normal"/>
    <w:link w:val="ListParagraphChar"/>
    <w:uiPriority w:val="34"/>
    <w:qFormat/>
    <w:rsid w:val="00EC5ED7"/>
    <w:pPr>
      <w:ind w:left="720"/>
      <w:contextualSpacing/>
    </w:pPr>
  </w:style>
  <w:style w:type="character" w:styleId="IntenseEmphasis">
    <w:name w:val="Intense Emphasis"/>
    <w:basedOn w:val="DefaultParagraphFont"/>
    <w:uiPriority w:val="21"/>
    <w:qFormat/>
    <w:rsid w:val="00EC5ED7"/>
    <w:rPr>
      <w:i/>
      <w:iCs/>
      <w:color w:val="0F4761" w:themeColor="accent1" w:themeShade="BF"/>
    </w:rPr>
  </w:style>
  <w:style w:type="paragraph" w:styleId="IntenseQuote">
    <w:name w:val="Intense Quote"/>
    <w:basedOn w:val="Normal"/>
    <w:next w:val="Normal"/>
    <w:link w:val="IntenseQuoteChar"/>
    <w:uiPriority w:val="30"/>
    <w:qFormat/>
    <w:rsid w:val="00EC5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ED7"/>
    <w:rPr>
      <w:i/>
      <w:iCs/>
      <w:color w:val="0F4761" w:themeColor="accent1" w:themeShade="BF"/>
    </w:rPr>
  </w:style>
  <w:style w:type="character" w:styleId="IntenseReference">
    <w:name w:val="Intense Reference"/>
    <w:basedOn w:val="DefaultParagraphFont"/>
    <w:uiPriority w:val="32"/>
    <w:qFormat/>
    <w:rsid w:val="00EC5ED7"/>
    <w:rPr>
      <w:b/>
      <w:bCs/>
      <w:smallCaps/>
      <w:color w:val="0F4761" w:themeColor="accent1" w:themeShade="BF"/>
      <w:spacing w:val="5"/>
    </w:rPr>
  </w:style>
  <w:style w:type="table" w:styleId="TableGridLight">
    <w:name w:val="Grid Table Light"/>
    <w:basedOn w:val="TableNormal"/>
    <w:uiPriority w:val="40"/>
    <w:rsid w:val="00EC5E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EC5ED7"/>
    <w:rPr>
      <w:color w:val="467886" w:themeColor="hyperlink"/>
      <w:u w:val="single"/>
    </w:rPr>
  </w:style>
  <w:style w:type="character" w:styleId="UnresolvedMention">
    <w:name w:val="Unresolved Mention"/>
    <w:basedOn w:val="DefaultParagraphFont"/>
    <w:uiPriority w:val="99"/>
    <w:semiHidden/>
    <w:unhideWhenUsed/>
    <w:rsid w:val="00EC5ED7"/>
    <w:rPr>
      <w:color w:val="605E5C"/>
      <w:shd w:val="clear" w:color="auto" w:fill="E1DFDD"/>
    </w:rPr>
  </w:style>
  <w:style w:type="paragraph" w:styleId="Header">
    <w:name w:val="header"/>
    <w:basedOn w:val="Normal"/>
    <w:link w:val="HeaderChar"/>
    <w:uiPriority w:val="99"/>
    <w:unhideWhenUsed/>
    <w:rsid w:val="00B53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C93"/>
    <w:rPr>
      <w:rFonts w:ascii="Calibri" w:hAnsi="Calibri"/>
    </w:rPr>
  </w:style>
  <w:style w:type="paragraph" w:styleId="Footer">
    <w:name w:val="footer"/>
    <w:basedOn w:val="Normal"/>
    <w:link w:val="FooterChar"/>
    <w:uiPriority w:val="99"/>
    <w:unhideWhenUsed/>
    <w:rsid w:val="00B53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C93"/>
    <w:rPr>
      <w:rFonts w:ascii="Calibri" w:hAnsi="Calibri"/>
    </w:rPr>
  </w:style>
  <w:style w:type="paragraph" w:styleId="Caption">
    <w:name w:val="caption"/>
    <w:basedOn w:val="Normal"/>
    <w:next w:val="Normal"/>
    <w:uiPriority w:val="35"/>
    <w:unhideWhenUsed/>
    <w:qFormat/>
    <w:rsid w:val="00BC028E"/>
    <w:pPr>
      <w:keepNext/>
      <w:spacing w:before="200" w:after="40" w:line="240" w:lineRule="auto"/>
    </w:pPr>
    <w:rPr>
      <w:i/>
      <w:iCs/>
      <w:color w:val="0E2841" w:themeColor="text2"/>
      <w:szCs w:val="18"/>
    </w:rPr>
  </w:style>
  <w:style w:type="character" w:styleId="FollowedHyperlink">
    <w:name w:val="FollowedHyperlink"/>
    <w:basedOn w:val="DefaultParagraphFont"/>
    <w:uiPriority w:val="99"/>
    <w:semiHidden/>
    <w:unhideWhenUsed/>
    <w:rsid w:val="007C4B11"/>
    <w:rPr>
      <w:color w:val="96607D" w:themeColor="followedHyperlink"/>
      <w:u w:val="single"/>
    </w:rPr>
  </w:style>
  <w:style w:type="paragraph" w:styleId="FootnoteText">
    <w:name w:val="footnote text"/>
    <w:basedOn w:val="Normal"/>
    <w:link w:val="FootnoteTextChar"/>
    <w:uiPriority w:val="99"/>
    <w:unhideWhenUsed/>
    <w:rsid w:val="005D2E4B"/>
    <w:pPr>
      <w:spacing w:after="0" w:line="240" w:lineRule="auto"/>
    </w:pPr>
    <w:rPr>
      <w:sz w:val="20"/>
      <w:szCs w:val="18"/>
    </w:rPr>
  </w:style>
  <w:style w:type="character" w:customStyle="1" w:styleId="FootnoteTextChar">
    <w:name w:val="Footnote Text Char"/>
    <w:basedOn w:val="DefaultParagraphFont"/>
    <w:link w:val="FootnoteText"/>
    <w:uiPriority w:val="99"/>
    <w:rsid w:val="005D2E4B"/>
    <w:rPr>
      <w:rFonts w:ascii="Basic Sans Light" w:hAnsi="Basic Sans Light"/>
      <w:sz w:val="20"/>
      <w:szCs w:val="18"/>
    </w:rPr>
  </w:style>
  <w:style w:type="character" w:styleId="FootnoteReference">
    <w:name w:val="footnote reference"/>
    <w:basedOn w:val="DefaultParagraphFont"/>
    <w:uiPriority w:val="99"/>
    <w:semiHidden/>
    <w:unhideWhenUsed/>
    <w:rsid w:val="00AC223F"/>
    <w:rPr>
      <w:vertAlign w:val="superscript"/>
    </w:rPr>
  </w:style>
  <w:style w:type="table" w:styleId="PlainTable2">
    <w:name w:val="Plain Table 2"/>
    <w:basedOn w:val="TableNormal"/>
    <w:uiPriority w:val="42"/>
    <w:rsid w:val="00FE34E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DA7D37"/>
    <w:pPr>
      <w:spacing w:before="20" w:after="20" w:line="240" w:lineRule="auto"/>
    </w:pPr>
    <w:rPr>
      <w:rFonts w:eastAsia="Times New Roman" w:cs="Calibri"/>
      <w:color w:val="000000"/>
      <w:kern w:val="0"/>
      <w:sz w:val="20"/>
      <w:lang w:eastAsia="en-NZ"/>
      <w14:ligatures w14:val="none"/>
    </w:rPr>
  </w:style>
  <w:style w:type="character" w:customStyle="1" w:styleId="TabletextChar">
    <w:name w:val="Table text Char"/>
    <w:basedOn w:val="DefaultParagraphFont"/>
    <w:link w:val="Tabletext"/>
    <w:rsid w:val="00DA7D37"/>
    <w:rPr>
      <w:rFonts w:ascii="Basic Sans Light" w:eastAsia="Times New Roman" w:hAnsi="Basic Sans Light" w:cs="Calibri"/>
      <w:color w:val="000000"/>
      <w:kern w:val="0"/>
      <w:sz w:val="20"/>
      <w:lang w:eastAsia="en-NZ"/>
      <w14:ligatures w14:val="none"/>
    </w:rPr>
  </w:style>
  <w:style w:type="table" w:styleId="TableGrid">
    <w:name w:val="Table Grid"/>
    <w:basedOn w:val="TableNormal"/>
    <w:uiPriority w:val="39"/>
    <w:rsid w:val="00BE3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E37F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note">
    <w:name w:val="Table note"/>
    <w:basedOn w:val="Normal"/>
    <w:link w:val="TablenoteChar"/>
    <w:qFormat/>
    <w:rsid w:val="005D2E4B"/>
    <w:rPr>
      <w:iCs/>
      <w:sz w:val="20"/>
      <w:szCs w:val="20"/>
    </w:rPr>
  </w:style>
  <w:style w:type="character" w:customStyle="1" w:styleId="TablenoteChar">
    <w:name w:val="Table note Char"/>
    <w:basedOn w:val="DefaultParagraphFont"/>
    <w:link w:val="Tablenote"/>
    <w:rsid w:val="005D2E4B"/>
    <w:rPr>
      <w:rFonts w:ascii="Basic Sans Light" w:hAnsi="Basic Sans Light"/>
      <w:iCs/>
      <w:sz w:val="20"/>
      <w:szCs w:val="20"/>
    </w:rPr>
  </w:style>
  <w:style w:type="paragraph" w:customStyle="1" w:styleId="H1exTOC">
    <w:name w:val="H1 ex TOC"/>
    <w:basedOn w:val="Heading1"/>
    <w:link w:val="H1exTOCChar"/>
    <w:qFormat/>
    <w:rsid w:val="003F50BB"/>
    <w:pPr>
      <w:numPr>
        <w:numId w:val="0"/>
      </w:numPr>
    </w:pPr>
  </w:style>
  <w:style w:type="character" w:customStyle="1" w:styleId="H1exTOCChar">
    <w:name w:val="H1 ex TOC Char"/>
    <w:basedOn w:val="Heading1Char"/>
    <w:link w:val="H1exTOC"/>
    <w:rsid w:val="003F50BB"/>
    <w:rPr>
      <w:rFonts w:ascii="Basic Sans" w:eastAsiaTheme="majorEastAsia" w:hAnsi="Basic Sans" w:cstheme="majorBidi"/>
      <w:color w:val="0F4761" w:themeColor="accent1" w:themeShade="BF"/>
      <w:sz w:val="40"/>
      <w:szCs w:val="40"/>
    </w:rPr>
  </w:style>
  <w:style w:type="paragraph" w:styleId="TOC1">
    <w:name w:val="toc 1"/>
    <w:basedOn w:val="Normal"/>
    <w:next w:val="Normal"/>
    <w:autoRedefine/>
    <w:uiPriority w:val="39"/>
    <w:unhideWhenUsed/>
    <w:rsid w:val="00EC3950"/>
    <w:pPr>
      <w:tabs>
        <w:tab w:val="left" w:pos="426"/>
        <w:tab w:val="right" w:leader="dot" w:pos="9016"/>
      </w:tabs>
      <w:spacing w:after="100"/>
    </w:pPr>
    <w:rPr>
      <w:noProof/>
    </w:rPr>
  </w:style>
  <w:style w:type="paragraph" w:styleId="TOC2">
    <w:name w:val="toc 2"/>
    <w:basedOn w:val="Normal"/>
    <w:next w:val="Normal"/>
    <w:autoRedefine/>
    <w:uiPriority w:val="39"/>
    <w:unhideWhenUsed/>
    <w:rsid w:val="00AA60D6"/>
    <w:pPr>
      <w:tabs>
        <w:tab w:val="left" w:pos="720"/>
        <w:tab w:val="right" w:leader="dot" w:pos="9016"/>
      </w:tabs>
      <w:spacing w:after="100"/>
      <w:ind w:left="220"/>
    </w:pPr>
  </w:style>
  <w:style w:type="character" w:styleId="CommentReference">
    <w:name w:val="annotation reference"/>
    <w:basedOn w:val="DefaultParagraphFont"/>
    <w:uiPriority w:val="99"/>
    <w:semiHidden/>
    <w:unhideWhenUsed/>
    <w:rsid w:val="00516DFB"/>
    <w:rPr>
      <w:sz w:val="16"/>
      <w:szCs w:val="16"/>
    </w:rPr>
  </w:style>
  <w:style w:type="paragraph" w:styleId="CommentText">
    <w:name w:val="annotation text"/>
    <w:basedOn w:val="Normal"/>
    <w:link w:val="CommentTextChar"/>
    <w:uiPriority w:val="99"/>
    <w:unhideWhenUsed/>
    <w:rsid w:val="00516DFB"/>
    <w:pPr>
      <w:spacing w:line="240" w:lineRule="auto"/>
    </w:pPr>
    <w:rPr>
      <w:sz w:val="20"/>
      <w:szCs w:val="20"/>
    </w:rPr>
  </w:style>
  <w:style w:type="character" w:customStyle="1" w:styleId="CommentTextChar">
    <w:name w:val="Comment Text Char"/>
    <w:basedOn w:val="DefaultParagraphFont"/>
    <w:link w:val="CommentText"/>
    <w:uiPriority w:val="99"/>
    <w:rsid w:val="00516DFB"/>
    <w:rPr>
      <w:rFonts w:ascii="Basic Sans Light" w:hAnsi="Basic Sans Light"/>
      <w:sz w:val="20"/>
      <w:szCs w:val="20"/>
    </w:rPr>
  </w:style>
  <w:style w:type="paragraph" w:styleId="CommentSubject">
    <w:name w:val="annotation subject"/>
    <w:basedOn w:val="CommentText"/>
    <w:next w:val="CommentText"/>
    <w:link w:val="CommentSubjectChar"/>
    <w:uiPriority w:val="99"/>
    <w:semiHidden/>
    <w:unhideWhenUsed/>
    <w:rsid w:val="00516DFB"/>
    <w:rPr>
      <w:b/>
      <w:bCs/>
    </w:rPr>
  </w:style>
  <w:style w:type="character" w:customStyle="1" w:styleId="CommentSubjectChar">
    <w:name w:val="Comment Subject Char"/>
    <w:basedOn w:val="CommentTextChar"/>
    <w:link w:val="CommentSubject"/>
    <w:uiPriority w:val="99"/>
    <w:semiHidden/>
    <w:rsid w:val="00516DFB"/>
    <w:rPr>
      <w:rFonts w:ascii="Basic Sans Light" w:hAnsi="Basic Sans Light"/>
      <w:b/>
      <w:bCs/>
      <w:sz w:val="20"/>
      <w:szCs w:val="20"/>
    </w:rPr>
  </w:style>
  <w:style w:type="paragraph" w:styleId="TOC3">
    <w:name w:val="toc 3"/>
    <w:basedOn w:val="Normal"/>
    <w:next w:val="Normal"/>
    <w:autoRedefine/>
    <w:uiPriority w:val="39"/>
    <w:unhideWhenUsed/>
    <w:rsid w:val="00F8441E"/>
    <w:pPr>
      <w:spacing w:after="100"/>
      <w:ind w:left="440"/>
    </w:pPr>
  </w:style>
  <w:style w:type="paragraph" w:customStyle="1" w:styleId="Bullet">
    <w:name w:val="Bullet"/>
    <w:basedOn w:val="ListParagraph"/>
    <w:link w:val="BulletChar"/>
    <w:qFormat/>
    <w:rsid w:val="005D2E4B"/>
    <w:pPr>
      <w:numPr>
        <w:numId w:val="22"/>
      </w:numPr>
    </w:pPr>
  </w:style>
  <w:style w:type="character" w:customStyle="1" w:styleId="ListParagraphChar">
    <w:name w:val="List Paragraph Char"/>
    <w:basedOn w:val="DefaultParagraphFont"/>
    <w:link w:val="ListParagraph"/>
    <w:uiPriority w:val="34"/>
    <w:rsid w:val="00A57A47"/>
    <w:rPr>
      <w:rFonts w:ascii="Basic Sans Light" w:hAnsi="Basic Sans Light"/>
      <w:sz w:val="24"/>
    </w:rPr>
  </w:style>
  <w:style w:type="character" w:customStyle="1" w:styleId="BulletChar">
    <w:name w:val="Bullet Char"/>
    <w:basedOn w:val="ListParagraphChar"/>
    <w:link w:val="Bullet"/>
    <w:rsid w:val="005D2E4B"/>
    <w:rPr>
      <w:rFonts w:ascii="Basic Sans Light" w:hAnsi="Basic Sans Light"/>
      <w:sz w:val="24"/>
    </w:rPr>
  </w:style>
  <w:style w:type="paragraph" w:customStyle="1" w:styleId="EndNoteBibliography">
    <w:name w:val="EndNote Bibliography"/>
    <w:basedOn w:val="Normal"/>
    <w:link w:val="EndNoteBibliographyChar"/>
    <w:rsid w:val="00BD0E36"/>
    <w:pPr>
      <w:spacing w:after="0" w:line="240" w:lineRule="auto"/>
      <w:ind w:firstLine="720"/>
    </w:pPr>
    <w:rPr>
      <w:rFonts w:ascii="Aptos" w:hAnsi="Aptos" w:cs="Times New Roman"/>
      <w:noProof/>
      <w:kern w:val="0"/>
      <w:sz w:val="22"/>
      <w:lang w:val="en-US"/>
      <w14:ligatures w14:val="none"/>
    </w:rPr>
  </w:style>
  <w:style w:type="character" w:customStyle="1" w:styleId="EndNoteBibliographyChar">
    <w:name w:val="EndNote Bibliography Char"/>
    <w:basedOn w:val="DefaultParagraphFont"/>
    <w:link w:val="EndNoteBibliography"/>
    <w:rsid w:val="00BD0E36"/>
    <w:rPr>
      <w:rFonts w:ascii="Aptos" w:hAnsi="Aptos" w:cs="Times New Roman"/>
      <w:noProof/>
      <w:kern w:val="0"/>
      <w:lang w:val="en-US"/>
      <w14:ligatures w14:val="none"/>
    </w:rPr>
  </w:style>
  <w:style w:type="paragraph" w:styleId="Revision">
    <w:name w:val="Revision"/>
    <w:hidden/>
    <w:uiPriority w:val="99"/>
    <w:semiHidden/>
    <w:rsid w:val="008B3746"/>
    <w:pPr>
      <w:spacing w:after="0" w:line="240" w:lineRule="auto"/>
    </w:pPr>
    <w:rPr>
      <w:rFonts w:ascii="Basic Sans Light" w:hAnsi="Basic Sans Light"/>
      <w:sz w:val="24"/>
    </w:rPr>
  </w:style>
  <w:style w:type="character" w:customStyle="1" w:styleId="apple-converted-space">
    <w:name w:val="apple-converted-space"/>
    <w:basedOn w:val="DefaultParagraphFont"/>
    <w:rsid w:val="00DE3CBB"/>
  </w:style>
  <w:style w:type="paragraph" w:customStyle="1" w:styleId="H1nonumber">
    <w:name w:val="H1 no number"/>
    <w:basedOn w:val="H1exTOC"/>
    <w:link w:val="H1nonumberChar"/>
    <w:qFormat/>
    <w:rsid w:val="0030039F"/>
  </w:style>
  <w:style w:type="character" w:customStyle="1" w:styleId="H1nonumberChar">
    <w:name w:val="H1 no number Char"/>
    <w:basedOn w:val="H1exTOCChar"/>
    <w:link w:val="H1nonumber"/>
    <w:rsid w:val="0030039F"/>
    <w:rPr>
      <w:rFonts w:ascii="Basic Sans" w:eastAsiaTheme="majorEastAsia" w:hAnsi="Basic Sans" w:cstheme="majorBidi"/>
      <w:color w:val="0F4761" w:themeColor="accent1" w:themeShade="BF"/>
      <w:sz w:val="40"/>
      <w:szCs w:val="40"/>
    </w:rPr>
  </w:style>
  <w:style w:type="paragraph" w:customStyle="1" w:styleId="Numberedparagraphs">
    <w:name w:val="Numbered paragraphs"/>
    <w:basedOn w:val="ListParagraph"/>
    <w:link w:val="NumberedparagraphsChar"/>
    <w:qFormat/>
    <w:rsid w:val="001D0AB2"/>
    <w:pPr>
      <w:spacing w:line="276" w:lineRule="auto"/>
      <w:ind w:left="360" w:hanging="360"/>
      <w:contextualSpacing w:val="0"/>
    </w:pPr>
    <w:rPr>
      <w:rFonts w:ascii="Arial" w:hAnsi="Arial"/>
      <w:kern w:val="0"/>
      <w14:ligatures w14:val="none"/>
    </w:rPr>
  </w:style>
  <w:style w:type="character" w:customStyle="1" w:styleId="NumberedparagraphsChar">
    <w:name w:val="Numbered paragraphs Char"/>
    <w:basedOn w:val="DefaultParagraphFont"/>
    <w:link w:val="Numberedparagraphs"/>
    <w:rsid w:val="001D0AB2"/>
    <w:rPr>
      <w:rFonts w:ascii="Arial" w:hAnsi="Arial"/>
      <w:kern w:val="0"/>
      <w:sz w:val="24"/>
      <w14:ligatures w14:val="none"/>
    </w:rPr>
  </w:style>
  <w:style w:type="character" w:styleId="Mention">
    <w:name w:val="Mention"/>
    <w:basedOn w:val="DefaultParagraphFont"/>
    <w:uiPriority w:val="99"/>
    <w:unhideWhenUsed/>
    <w:rsid w:val="00440D3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8565">
      <w:bodyDiv w:val="1"/>
      <w:marLeft w:val="0"/>
      <w:marRight w:val="0"/>
      <w:marTop w:val="0"/>
      <w:marBottom w:val="0"/>
      <w:divBdr>
        <w:top w:val="none" w:sz="0" w:space="0" w:color="auto"/>
        <w:left w:val="none" w:sz="0" w:space="0" w:color="auto"/>
        <w:bottom w:val="none" w:sz="0" w:space="0" w:color="auto"/>
        <w:right w:val="none" w:sz="0" w:space="0" w:color="auto"/>
      </w:divBdr>
    </w:div>
    <w:div w:id="168101656">
      <w:bodyDiv w:val="1"/>
      <w:marLeft w:val="0"/>
      <w:marRight w:val="0"/>
      <w:marTop w:val="0"/>
      <w:marBottom w:val="0"/>
      <w:divBdr>
        <w:top w:val="none" w:sz="0" w:space="0" w:color="auto"/>
        <w:left w:val="none" w:sz="0" w:space="0" w:color="auto"/>
        <w:bottom w:val="none" w:sz="0" w:space="0" w:color="auto"/>
        <w:right w:val="none" w:sz="0" w:space="0" w:color="auto"/>
      </w:divBdr>
    </w:div>
    <w:div w:id="207497482">
      <w:bodyDiv w:val="1"/>
      <w:marLeft w:val="0"/>
      <w:marRight w:val="0"/>
      <w:marTop w:val="0"/>
      <w:marBottom w:val="0"/>
      <w:divBdr>
        <w:top w:val="none" w:sz="0" w:space="0" w:color="auto"/>
        <w:left w:val="none" w:sz="0" w:space="0" w:color="auto"/>
        <w:bottom w:val="none" w:sz="0" w:space="0" w:color="auto"/>
        <w:right w:val="none" w:sz="0" w:space="0" w:color="auto"/>
      </w:divBdr>
      <w:divsChild>
        <w:div w:id="1731806141">
          <w:marLeft w:val="0"/>
          <w:marRight w:val="0"/>
          <w:marTop w:val="0"/>
          <w:marBottom w:val="0"/>
          <w:divBdr>
            <w:top w:val="none" w:sz="0" w:space="0" w:color="auto"/>
            <w:left w:val="none" w:sz="0" w:space="0" w:color="auto"/>
            <w:bottom w:val="none" w:sz="0" w:space="0" w:color="auto"/>
            <w:right w:val="none" w:sz="0" w:space="0" w:color="auto"/>
          </w:divBdr>
        </w:div>
      </w:divsChild>
    </w:div>
    <w:div w:id="252782801">
      <w:bodyDiv w:val="1"/>
      <w:marLeft w:val="0"/>
      <w:marRight w:val="0"/>
      <w:marTop w:val="0"/>
      <w:marBottom w:val="0"/>
      <w:divBdr>
        <w:top w:val="none" w:sz="0" w:space="0" w:color="auto"/>
        <w:left w:val="none" w:sz="0" w:space="0" w:color="auto"/>
        <w:bottom w:val="none" w:sz="0" w:space="0" w:color="auto"/>
        <w:right w:val="none" w:sz="0" w:space="0" w:color="auto"/>
      </w:divBdr>
    </w:div>
    <w:div w:id="266928374">
      <w:bodyDiv w:val="1"/>
      <w:marLeft w:val="0"/>
      <w:marRight w:val="0"/>
      <w:marTop w:val="0"/>
      <w:marBottom w:val="0"/>
      <w:divBdr>
        <w:top w:val="none" w:sz="0" w:space="0" w:color="auto"/>
        <w:left w:val="none" w:sz="0" w:space="0" w:color="auto"/>
        <w:bottom w:val="none" w:sz="0" w:space="0" w:color="auto"/>
        <w:right w:val="none" w:sz="0" w:space="0" w:color="auto"/>
      </w:divBdr>
      <w:divsChild>
        <w:div w:id="8457491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230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393447">
      <w:bodyDiv w:val="1"/>
      <w:marLeft w:val="0"/>
      <w:marRight w:val="0"/>
      <w:marTop w:val="0"/>
      <w:marBottom w:val="0"/>
      <w:divBdr>
        <w:top w:val="none" w:sz="0" w:space="0" w:color="auto"/>
        <w:left w:val="none" w:sz="0" w:space="0" w:color="auto"/>
        <w:bottom w:val="none" w:sz="0" w:space="0" w:color="auto"/>
        <w:right w:val="none" w:sz="0" w:space="0" w:color="auto"/>
      </w:divBdr>
      <w:divsChild>
        <w:div w:id="2059621772">
          <w:marLeft w:val="0"/>
          <w:marRight w:val="0"/>
          <w:marTop w:val="0"/>
          <w:marBottom w:val="0"/>
          <w:divBdr>
            <w:top w:val="none" w:sz="0" w:space="0" w:color="auto"/>
            <w:left w:val="none" w:sz="0" w:space="0" w:color="auto"/>
            <w:bottom w:val="none" w:sz="0" w:space="0" w:color="auto"/>
            <w:right w:val="none" w:sz="0" w:space="0" w:color="auto"/>
          </w:divBdr>
        </w:div>
      </w:divsChild>
    </w:div>
    <w:div w:id="360251576">
      <w:bodyDiv w:val="1"/>
      <w:marLeft w:val="0"/>
      <w:marRight w:val="0"/>
      <w:marTop w:val="0"/>
      <w:marBottom w:val="0"/>
      <w:divBdr>
        <w:top w:val="none" w:sz="0" w:space="0" w:color="auto"/>
        <w:left w:val="none" w:sz="0" w:space="0" w:color="auto"/>
        <w:bottom w:val="none" w:sz="0" w:space="0" w:color="auto"/>
        <w:right w:val="none" w:sz="0" w:space="0" w:color="auto"/>
      </w:divBdr>
    </w:div>
    <w:div w:id="362753300">
      <w:bodyDiv w:val="1"/>
      <w:marLeft w:val="0"/>
      <w:marRight w:val="0"/>
      <w:marTop w:val="0"/>
      <w:marBottom w:val="0"/>
      <w:divBdr>
        <w:top w:val="none" w:sz="0" w:space="0" w:color="auto"/>
        <w:left w:val="none" w:sz="0" w:space="0" w:color="auto"/>
        <w:bottom w:val="none" w:sz="0" w:space="0" w:color="auto"/>
        <w:right w:val="none" w:sz="0" w:space="0" w:color="auto"/>
      </w:divBdr>
      <w:divsChild>
        <w:div w:id="133958661">
          <w:marLeft w:val="0"/>
          <w:marRight w:val="0"/>
          <w:marTop w:val="0"/>
          <w:marBottom w:val="0"/>
          <w:divBdr>
            <w:top w:val="none" w:sz="0" w:space="0" w:color="auto"/>
            <w:left w:val="none" w:sz="0" w:space="0" w:color="auto"/>
            <w:bottom w:val="none" w:sz="0" w:space="0" w:color="auto"/>
            <w:right w:val="none" w:sz="0" w:space="0" w:color="auto"/>
          </w:divBdr>
        </w:div>
      </w:divsChild>
    </w:div>
    <w:div w:id="423579306">
      <w:bodyDiv w:val="1"/>
      <w:marLeft w:val="0"/>
      <w:marRight w:val="0"/>
      <w:marTop w:val="0"/>
      <w:marBottom w:val="0"/>
      <w:divBdr>
        <w:top w:val="none" w:sz="0" w:space="0" w:color="auto"/>
        <w:left w:val="none" w:sz="0" w:space="0" w:color="auto"/>
        <w:bottom w:val="none" w:sz="0" w:space="0" w:color="auto"/>
        <w:right w:val="none" w:sz="0" w:space="0" w:color="auto"/>
      </w:divBdr>
    </w:div>
    <w:div w:id="426390767">
      <w:bodyDiv w:val="1"/>
      <w:marLeft w:val="0"/>
      <w:marRight w:val="0"/>
      <w:marTop w:val="0"/>
      <w:marBottom w:val="0"/>
      <w:divBdr>
        <w:top w:val="none" w:sz="0" w:space="0" w:color="auto"/>
        <w:left w:val="none" w:sz="0" w:space="0" w:color="auto"/>
        <w:bottom w:val="none" w:sz="0" w:space="0" w:color="auto"/>
        <w:right w:val="none" w:sz="0" w:space="0" w:color="auto"/>
      </w:divBdr>
    </w:div>
    <w:div w:id="500702131">
      <w:bodyDiv w:val="1"/>
      <w:marLeft w:val="0"/>
      <w:marRight w:val="0"/>
      <w:marTop w:val="0"/>
      <w:marBottom w:val="0"/>
      <w:divBdr>
        <w:top w:val="none" w:sz="0" w:space="0" w:color="auto"/>
        <w:left w:val="none" w:sz="0" w:space="0" w:color="auto"/>
        <w:bottom w:val="none" w:sz="0" w:space="0" w:color="auto"/>
        <w:right w:val="none" w:sz="0" w:space="0" w:color="auto"/>
      </w:divBdr>
    </w:div>
    <w:div w:id="579600465">
      <w:bodyDiv w:val="1"/>
      <w:marLeft w:val="0"/>
      <w:marRight w:val="0"/>
      <w:marTop w:val="0"/>
      <w:marBottom w:val="0"/>
      <w:divBdr>
        <w:top w:val="none" w:sz="0" w:space="0" w:color="auto"/>
        <w:left w:val="none" w:sz="0" w:space="0" w:color="auto"/>
        <w:bottom w:val="none" w:sz="0" w:space="0" w:color="auto"/>
        <w:right w:val="none" w:sz="0" w:space="0" w:color="auto"/>
      </w:divBdr>
    </w:div>
    <w:div w:id="652179957">
      <w:bodyDiv w:val="1"/>
      <w:marLeft w:val="0"/>
      <w:marRight w:val="0"/>
      <w:marTop w:val="0"/>
      <w:marBottom w:val="0"/>
      <w:divBdr>
        <w:top w:val="none" w:sz="0" w:space="0" w:color="auto"/>
        <w:left w:val="none" w:sz="0" w:space="0" w:color="auto"/>
        <w:bottom w:val="none" w:sz="0" w:space="0" w:color="auto"/>
        <w:right w:val="none" w:sz="0" w:space="0" w:color="auto"/>
      </w:divBdr>
    </w:div>
    <w:div w:id="678430630">
      <w:bodyDiv w:val="1"/>
      <w:marLeft w:val="0"/>
      <w:marRight w:val="0"/>
      <w:marTop w:val="0"/>
      <w:marBottom w:val="0"/>
      <w:divBdr>
        <w:top w:val="none" w:sz="0" w:space="0" w:color="auto"/>
        <w:left w:val="none" w:sz="0" w:space="0" w:color="auto"/>
        <w:bottom w:val="none" w:sz="0" w:space="0" w:color="auto"/>
        <w:right w:val="none" w:sz="0" w:space="0" w:color="auto"/>
      </w:divBdr>
    </w:div>
    <w:div w:id="793056982">
      <w:bodyDiv w:val="1"/>
      <w:marLeft w:val="0"/>
      <w:marRight w:val="0"/>
      <w:marTop w:val="0"/>
      <w:marBottom w:val="0"/>
      <w:divBdr>
        <w:top w:val="none" w:sz="0" w:space="0" w:color="auto"/>
        <w:left w:val="none" w:sz="0" w:space="0" w:color="auto"/>
        <w:bottom w:val="none" w:sz="0" w:space="0" w:color="auto"/>
        <w:right w:val="none" w:sz="0" w:space="0" w:color="auto"/>
      </w:divBdr>
    </w:div>
    <w:div w:id="821121011">
      <w:bodyDiv w:val="1"/>
      <w:marLeft w:val="0"/>
      <w:marRight w:val="0"/>
      <w:marTop w:val="0"/>
      <w:marBottom w:val="0"/>
      <w:divBdr>
        <w:top w:val="none" w:sz="0" w:space="0" w:color="auto"/>
        <w:left w:val="none" w:sz="0" w:space="0" w:color="auto"/>
        <w:bottom w:val="none" w:sz="0" w:space="0" w:color="auto"/>
        <w:right w:val="none" w:sz="0" w:space="0" w:color="auto"/>
      </w:divBdr>
      <w:divsChild>
        <w:div w:id="397437060">
          <w:blockQuote w:val="1"/>
          <w:marLeft w:val="720"/>
          <w:marRight w:val="720"/>
          <w:marTop w:val="100"/>
          <w:marBottom w:val="100"/>
          <w:divBdr>
            <w:top w:val="none" w:sz="0" w:space="0" w:color="auto"/>
            <w:left w:val="none" w:sz="0" w:space="0" w:color="auto"/>
            <w:bottom w:val="none" w:sz="0" w:space="0" w:color="auto"/>
            <w:right w:val="none" w:sz="0" w:space="0" w:color="auto"/>
          </w:divBdr>
        </w:div>
        <w:div w:id="746728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2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959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204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2547317">
      <w:bodyDiv w:val="1"/>
      <w:marLeft w:val="0"/>
      <w:marRight w:val="0"/>
      <w:marTop w:val="0"/>
      <w:marBottom w:val="0"/>
      <w:divBdr>
        <w:top w:val="none" w:sz="0" w:space="0" w:color="auto"/>
        <w:left w:val="none" w:sz="0" w:space="0" w:color="auto"/>
        <w:bottom w:val="none" w:sz="0" w:space="0" w:color="auto"/>
        <w:right w:val="none" w:sz="0" w:space="0" w:color="auto"/>
      </w:divBdr>
    </w:div>
    <w:div w:id="842938676">
      <w:bodyDiv w:val="1"/>
      <w:marLeft w:val="0"/>
      <w:marRight w:val="0"/>
      <w:marTop w:val="0"/>
      <w:marBottom w:val="0"/>
      <w:divBdr>
        <w:top w:val="none" w:sz="0" w:space="0" w:color="auto"/>
        <w:left w:val="none" w:sz="0" w:space="0" w:color="auto"/>
        <w:bottom w:val="none" w:sz="0" w:space="0" w:color="auto"/>
        <w:right w:val="none" w:sz="0" w:space="0" w:color="auto"/>
      </w:divBdr>
    </w:div>
    <w:div w:id="902450713">
      <w:bodyDiv w:val="1"/>
      <w:marLeft w:val="0"/>
      <w:marRight w:val="0"/>
      <w:marTop w:val="0"/>
      <w:marBottom w:val="0"/>
      <w:divBdr>
        <w:top w:val="none" w:sz="0" w:space="0" w:color="auto"/>
        <w:left w:val="none" w:sz="0" w:space="0" w:color="auto"/>
        <w:bottom w:val="none" w:sz="0" w:space="0" w:color="auto"/>
        <w:right w:val="none" w:sz="0" w:space="0" w:color="auto"/>
      </w:divBdr>
    </w:div>
    <w:div w:id="944727564">
      <w:bodyDiv w:val="1"/>
      <w:marLeft w:val="0"/>
      <w:marRight w:val="0"/>
      <w:marTop w:val="0"/>
      <w:marBottom w:val="0"/>
      <w:divBdr>
        <w:top w:val="none" w:sz="0" w:space="0" w:color="auto"/>
        <w:left w:val="none" w:sz="0" w:space="0" w:color="auto"/>
        <w:bottom w:val="none" w:sz="0" w:space="0" w:color="auto"/>
        <w:right w:val="none" w:sz="0" w:space="0" w:color="auto"/>
      </w:divBdr>
      <w:divsChild>
        <w:div w:id="977224533">
          <w:marLeft w:val="0"/>
          <w:marRight w:val="0"/>
          <w:marTop w:val="0"/>
          <w:marBottom w:val="0"/>
          <w:divBdr>
            <w:top w:val="none" w:sz="0" w:space="0" w:color="auto"/>
            <w:left w:val="none" w:sz="0" w:space="0" w:color="auto"/>
            <w:bottom w:val="none" w:sz="0" w:space="0" w:color="auto"/>
            <w:right w:val="none" w:sz="0" w:space="0" w:color="auto"/>
          </w:divBdr>
        </w:div>
      </w:divsChild>
    </w:div>
    <w:div w:id="976647729">
      <w:bodyDiv w:val="1"/>
      <w:marLeft w:val="0"/>
      <w:marRight w:val="0"/>
      <w:marTop w:val="0"/>
      <w:marBottom w:val="0"/>
      <w:divBdr>
        <w:top w:val="none" w:sz="0" w:space="0" w:color="auto"/>
        <w:left w:val="none" w:sz="0" w:space="0" w:color="auto"/>
        <w:bottom w:val="none" w:sz="0" w:space="0" w:color="auto"/>
        <w:right w:val="none" w:sz="0" w:space="0" w:color="auto"/>
      </w:divBdr>
    </w:div>
    <w:div w:id="1045834617">
      <w:bodyDiv w:val="1"/>
      <w:marLeft w:val="0"/>
      <w:marRight w:val="0"/>
      <w:marTop w:val="0"/>
      <w:marBottom w:val="0"/>
      <w:divBdr>
        <w:top w:val="none" w:sz="0" w:space="0" w:color="auto"/>
        <w:left w:val="none" w:sz="0" w:space="0" w:color="auto"/>
        <w:bottom w:val="none" w:sz="0" w:space="0" w:color="auto"/>
        <w:right w:val="none" w:sz="0" w:space="0" w:color="auto"/>
      </w:divBdr>
      <w:divsChild>
        <w:div w:id="459417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116471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372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853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899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915573">
      <w:bodyDiv w:val="1"/>
      <w:marLeft w:val="0"/>
      <w:marRight w:val="0"/>
      <w:marTop w:val="0"/>
      <w:marBottom w:val="0"/>
      <w:divBdr>
        <w:top w:val="none" w:sz="0" w:space="0" w:color="auto"/>
        <w:left w:val="none" w:sz="0" w:space="0" w:color="auto"/>
        <w:bottom w:val="none" w:sz="0" w:space="0" w:color="auto"/>
        <w:right w:val="none" w:sz="0" w:space="0" w:color="auto"/>
      </w:divBdr>
    </w:div>
    <w:div w:id="1205871715">
      <w:bodyDiv w:val="1"/>
      <w:marLeft w:val="0"/>
      <w:marRight w:val="0"/>
      <w:marTop w:val="0"/>
      <w:marBottom w:val="0"/>
      <w:divBdr>
        <w:top w:val="none" w:sz="0" w:space="0" w:color="auto"/>
        <w:left w:val="none" w:sz="0" w:space="0" w:color="auto"/>
        <w:bottom w:val="none" w:sz="0" w:space="0" w:color="auto"/>
        <w:right w:val="none" w:sz="0" w:space="0" w:color="auto"/>
      </w:divBdr>
    </w:div>
    <w:div w:id="1252423630">
      <w:bodyDiv w:val="1"/>
      <w:marLeft w:val="0"/>
      <w:marRight w:val="0"/>
      <w:marTop w:val="0"/>
      <w:marBottom w:val="0"/>
      <w:divBdr>
        <w:top w:val="none" w:sz="0" w:space="0" w:color="auto"/>
        <w:left w:val="none" w:sz="0" w:space="0" w:color="auto"/>
        <w:bottom w:val="none" w:sz="0" w:space="0" w:color="auto"/>
        <w:right w:val="none" w:sz="0" w:space="0" w:color="auto"/>
      </w:divBdr>
    </w:div>
    <w:div w:id="1252861244">
      <w:bodyDiv w:val="1"/>
      <w:marLeft w:val="0"/>
      <w:marRight w:val="0"/>
      <w:marTop w:val="0"/>
      <w:marBottom w:val="0"/>
      <w:divBdr>
        <w:top w:val="none" w:sz="0" w:space="0" w:color="auto"/>
        <w:left w:val="none" w:sz="0" w:space="0" w:color="auto"/>
        <w:bottom w:val="none" w:sz="0" w:space="0" w:color="auto"/>
        <w:right w:val="none" w:sz="0" w:space="0" w:color="auto"/>
      </w:divBdr>
    </w:div>
    <w:div w:id="1392002002">
      <w:bodyDiv w:val="1"/>
      <w:marLeft w:val="0"/>
      <w:marRight w:val="0"/>
      <w:marTop w:val="0"/>
      <w:marBottom w:val="0"/>
      <w:divBdr>
        <w:top w:val="none" w:sz="0" w:space="0" w:color="auto"/>
        <w:left w:val="none" w:sz="0" w:space="0" w:color="auto"/>
        <w:bottom w:val="none" w:sz="0" w:space="0" w:color="auto"/>
        <w:right w:val="none" w:sz="0" w:space="0" w:color="auto"/>
      </w:divBdr>
    </w:div>
    <w:div w:id="1406686685">
      <w:bodyDiv w:val="1"/>
      <w:marLeft w:val="0"/>
      <w:marRight w:val="0"/>
      <w:marTop w:val="0"/>
      <w:marBottom w:val="0"/>
      <w:divBdr>
        <w:top w:val="none" w:sz="0" w:space="0" w:color="auto"/>
        <w:left w:val="none" w:sz="0" w:space="0" w:color="auto"/>
        <w:bottom w:val="none" w:sz="0" w:space="0" w:color="auto"/>
        <w:right w:val="none" w:sz="0" w:space="0" w:color="auto"/>
      </w:divBdr>
    </w:div>
    <w:div w:id="1427576880">
      <w:bodyDiv w:val="1"/>
      <w:marLeft w:val="0"/>
      <w:marRight w:val="0"/>
      <w:marTop w:val="0"/>
      <w:marBottom w:val="0"/>
      <w:divBdr>
        <w:top w:val="none" w:sz="0" w:space="0" w:color="auto"/>
        <w:left w:val="none" w:sz="0" w:space="0" w:color="auto"/>
        <w:bottom w:val="none" w:sz="0" w:space="0" w:color="auto"/>
        <w:right w:val="none" w:sz="0" w:space="0" w:color="auto"/>
      </w:divBdr>
      <w:divsChild>
        <w:div w:id="2032994665">
          <w:marLeft w:val="0"/>
          <w:marRight w:val="0"/>
          <w:marTop w:val="0"/>
          <w:marBottom w:val="0"/>
          <w:divBdr>
            <w:top w:val="none" w:sz="0" w:space="0" w:color="auto"/>
            <w:left w:val="none" w:sz="0" w:space="0" w:color="auto"/>
            <w:bottom w:val="none" w:sz="0" w:space="0" w:color="auto"/>
            <w:right w:val="none" w:sz="0" w:space="0" w:color="auto"/>
          </w:divBdr>
        </w:div>
      </w:divsChild>
    </w:div>
    <w:div w:id="1449352536">
      <w:bodyDiv w:val="1"/>
      <w:marLeft w:val="0"/>
      <w:marRight w:val="0"/>
      <w:marTop w:val="0"/>
      <w:marBottom w:val="0"/>
      <w:divBdr>
        <w:top w:val="none" w:sz="0" w:space="0" w:color="auto"/>
        <w:left w:val="none" w:sz="0" w:space="0" w:color="auto"/>
        <w:bottom w:val="none" w:sz="0" w:space="0" w:color="auto"/>
        <w:right w:val="none" w:sz="0" w:space="0" w:color="auto"/>
      </w:divBdr>
    </w:div>
    <w:div w:id="1474104908">
      <w:bodyDiv w:val="1"/>
      <w:marLeft w:val="0"/>
      <w:marRight w:val="0"/>
      <w:marTop w:val="0"/>
      <w:marBottom w:val="0"/>
      <w:divBdr>
        <w:top w:val="none" w:sz="0" w:space="0" w:color="auto"/>
        <w:left w:val="none" w:sz="0" w:space="0" w:color="auto"/>
        <w:bottom w:val="none" w:sz="0" w:space="0" w:color="auto"/>
        <w:right w:val="none" w:sz="0" w:space="0" w:color="auto"/>
      </w:divBdr>
    </w:div>
    <w:div w:id="1503886070">
      <w:bodyDiv w:val="1"/>
      <w:marLeft w:val="0"/>
      <w:marRight w:val="0"/>
      <w:marTop w:val="0"/>
      <w:marBottom w:val="0"/>
      <w:divBdr>
        <w:top w:val="none" w:sz="0" w:space="0" w:color="auto"/>
        <w:left w:val="none" w:sz="0" w:space="0" w:color="auto"/>
        <w:bottom w:val="none" w:sz="0" w:space="0" w:color="auto"/>
        <w:right w:val="none" w:sz="0" w:space="0" w:color="auto"/>
      </w:divBdr>
    </w:div>
    <w:div w:id="1520312328">
      <w:bodyDiv w:val="1"/>
      <w:marLeft w:val="0"/>
      <w:marRight w:val="0"/>
      <w:marTop w:val="0"/>
      <w:marBottom w:val="0"/>
      <w:divBdr>
        <w:top w:val="none" w:sz="0" w:space="0" w:color="auto"/>
        <w:left w:val="none" w:sz="0" w:space="0" w:color="auto"/>
        <w:bottom w:val="none" w:sz="0" w:space="0" w:color="auto"/>
        <w:right w:val="none" w:sz="0" w:space="0" w:color="auto"/>
      </w:divBdr>
    </w:div>
    <w:div w:id="1528059698">
      <w:bodyDiv w:val="1"/>
      <w:marLeft w:val="0"/>
      <w:marRight w:val="0"/>
      <w:marTop w:val="0"/>
      <w:marBottom w:val="0"/>
      <w:divBdr>
        <w:top w:val="none" w:sz="0" w:space="0" w:color="auto"/>
        <w:left w:val="none" w:sz="0" w:space="0" w:color="auto"/>
        <w:bottom w:val="none" w:sz="0" w:space="0" w:color="auto"/>
        <w:right w:val="none" w:sz="0" w:space="0" w:color="auto"/>
      </w:divBdr>
    </w:div>
    <w:div w:id="1532112035">
      <w:bodyDiv w:val="1"/>
      <w:marLeft w:val="0"/>
      <w:marRight w:val="0"/>
      <w:marTop w:val="0"/>
      <w:marBottom w:val="0"/>
      <w:divBdr>
        <w:top w:val="none" w:sz="0" w:space="0" w:color="auto"/>
        <w:left w:val="none" w:sz="0" w:space="0" w:color="auto"/>
        <w:bottom w:val="none" w:sz="0" w:space="0" w:color="auto"/>
        <w:right w:val="none" w:sz="0" w:space="0" w:color="auto"/>
      </w:divBdr>
    </w:div>
    <w:div w:id="1550189179">
      <w:bodyDiv w:val="1"/>
      <w:marLeft w:val="0"/>
      <w:marRight w:val="0"/>
      <w:marTop w:val="0"/>
      <w:marBottom w:val="0"/>
      <w:divBdr>
        <w:top w:val="none" w:sz="0" w:space="0" w:color="auto"/>
        <w:left w:val="none" w:sz="0" w:space="0" w:color="auto"/>
        <w:bottom w:val="none" w:sz="0" w:space="0" w:color="auto"/>
        <w:right w:val="none" w:sz="0" w:space="0" w:color="auto"/>
      </w:divBdr>
    </w:div>
    <w:div w:id="1572538909">
      <w:bodyDiv w:val="1"/>
      <w:marLeft w:val="0"/>
      <w:marRight w:val="0"/>
      <w:marTop w:val="0"/>
      <w:marBottom w:val="0"/>
      <w:divBdr>
        <w:top w:val="none" w:sz="0" w:space="0" w:color="auto"/>
        <w:left w:val="none" w:sz="0" w:space="0" w:color="auto"/>
        <w:bottom w:val="none" w:sz="0" w:space="0" w:color="auto"/>
        <w:right w:val="none" w:sz="0" w:space="0" w:color="auto"/>
      </w:divBdr>
    </w:div>
    <w:div w:id="1587954899">
      <w:bodyDiv w:val="1"/>
      <w:marLeft w:val="0"/>
      <w:marRight w:val="0"/>
      <w:marTop w:val="0"/>
      <w:marBottom w:val="0"/>
      <w:divBdr>
        <w:top w:val="none" w:sz="0" w:space="0" w:color="auto"/>
        <w:left w:val="none" w:sz="0" w:space="0" w:color="auto"/>
        <w:bottom w:val="none" w:sz="0" w:space="0" w:color="auto"/>
        <w:right w:val="none" w:sz="0" w:space="0" w:color="auto"/>
      </w:divBdr>
    </w:div>
    <w:div w:id="1590313804">
      <w:bodyDiv w:val="1"/>
      <w:marLeft w:val="0"/>
      <w:marRight w:val="0"/>
      <w:marTop w:val="0"/>
      <w:marBottom w:val="0"/>
      <w:divBdr>
        <w:top w:val="none" w:sz="0" w:space="0" w:color="auto"/>
        <w:left w:val="none" w:sz="0" w:space="0" w:color="auto"/>
        <w:bottom w:val="none" w:sz="0" w:space="0" w:color="auto"/>
        <w:right w:val="none" w:sz="0" w:space="0" w:color="auto"/>
      </w:divBdr>
    </w:div>
    <w:div w:id="1596790813">
      <w:bodyDiv w:val="1"/>
      <w:marLeft w:val="0"/>
      <w:marRight w:val="0"/>
      <w:marTop w:val="0"/>
      <w:marBottom w:val="0"/>
      <w:divBdr>
        <w:top w:val="none" w:sz="0" w:space="0" w:color="auto"/>
        <w:left w:val="none" w:sz="0" w:space="0" w:color="auto"/>
        <w:bottom w:val="none" w:sz="0" w:space="0" w:color="auto"/>
        <w:right w:val="none" w:sz="0" w:space="0" w:color="auto"/>
      </w:divBdr>
    </w:div>
    <w:div w:id="1640836598">
      <w:bodyDiv w:val="1"/>
      <w:marLeft w:val="0"/>
      <w:marRight w:val="0"/>
      <w:marTop w:val="0"/>
      <w:marBottom w:val="0"/>
      <w:divBdr>
        <w:top w:val="none" w:sz="0" w:space="0" w:color="auto"/>
        <w:left w:val="none" w:sz="0" w:space="0" w:color="auto"/>
        <w:bottom w:val="none" w:sz="0" w:space="0" w:color="auto"/>
        <w:right w:val="none" w:sz="0" w:space="0" w:color="auto"/>
      </w:divBdr>
    </w:div>
    <w:div w:id="1650017021">
      <w:bodyDiv w:val="1"/>
      <w:marLeft w:val="0"/>
      <w:marRight w:val="0"/>
      <w:marTop w:val="0"/>
      <w:marBottom w:val="0"/>
      <w:divBdr>
        <w:top w:val="none" w:sz="0" w:space="0" w:color="auto"/>
        <w:left w:val="none" w:sz="0" w:space="0" w:color="auto"/>
        <w:bottom w:val="none" w:sz="0" w:space="0" w:color="auto"/>
        <w:right w:val="none" w:sz="0" w:space="0" w:color="auto"/>
      </w:divBdr>
    </w:div>
    <w:div w:id="1674607109">
      <w:bodyDiv w:val="1"/>
      <w:marLeft w:val="0"/>
      <w:marRight w:val="0"/>
      <w:marTop w:val="0"/>
      <w:marBottom w:val="0"/>
      <w:divBdr>
        <w:top w:val="none" w:sz="0" w:space="0" w:color="auto"/>
        <w:left w:val="none" w:sz="0" w:space="0" w:color="auto"/>
        <w:bottom w:val="none" w:sz="0" w:space="0" w:color="auto"/>
        <w:right w:val="none" w:sz="0" w:space="0" w:color="auto"/>
      </w:divBdr>
    </w:div>
    <w:div w:id="1677151692">
      <w:bodyDiv w:val="1"/>
      <w:marLeft w:val="0"/>
      <w:marRight w:val="0"/>
      <w:marTop w:val="0"/>
      <w:marBottom w:val="0"/>
      <w:divBdr>
        <w:top w:val="none" w:sz="0" w:space="0" w:color="auto"/>
        <w:left w:val="none" w:sz="0" w:space="0" w:color="auto"/>
        <w:bottom w:val="none" w:sz="0" w:space="0" w:color="auto"/>
        <w:right w:val="none" w:sz="0" w:space="0" w:color="auto"/>
      </w:divBdr>
    </w:div>
    <w:div w:id="1799571983">
      <w:bodyDiv w:val="1"/>
      <w:marLeft w:val="0"/>
      <w:marRight w:val="0"/>
      <w:marTop w:val="0"/>
      <w:marBottom w:val="0"/>
      <w:divBdr>
        <w:top w:val="none" w:sz="0" w:space="0" w:color="auto"/>
        <w:left w:val="none" w:sz="0" w:space="0" w:color="auto"/>
        <w:bottom w:val="none" w:sz="0" w:space="0" w:color="auto"/>
        <w:right w:val="none" w:sz="0" w:space="0" w:color="auto"/>
      </w:divBdr>
      <w:divsChild>
        <w:div w:id="872225968">
          <w:marLeft w:val="0"/>
          <w:marRight w:val="0"/>
          <w:marTop w:val="0"/>
          <w:marBottom w:val="0"/>
          <w:divBdr>
            <w:top w:val="none" w:sz="0" w:space="0" w:color="auto"/>
            <w:left w:val="none" w:sz="0" w:space="0" w:color="auto"/>
            <w:bottom w:val="none" w:sz="0" w:space="0" w:color="auto"/>
            <w:right w:val="none" w:sz="0" w:space="0" w:color="auto"/>
          </w:divBdr>
        </w:div>
      </w:divsChild>
    </w:div>
    <w:div w:id="1814059332">
      <w:bodyDiv w:val="1"/>
      <w:marLeft w:val="0"/>
      <w:marRight w:val="0"/>
      <w:marTop w:val="0"/>
      <w:marBottom w:val="0"/>
      <w:divBdr>
        <w:top w:val="none" w:sz="0" w:space="0" w:color="auto"/>
        <w:left w:val="none" w:sz="0" w:space="0" w:color="auto"/>
        <w:bottom w:val="none" w:sz="0" w:space="0" w:color="auto"/>
        <w:right w:val="none" w:sz="0" w:space="0" w:color="auto"/>
      </w:divBdr>
    </w:div>
    <w:div w:id="1818111883">
      <w:bodyDiv w:val="1"/>
      <w:marLeft w:val="0"/>
      <w:marRight w:val="0"/>
      <w:marTop w:val="0"/>
      <w:marBottom w:val="0"/>
      <w:divBdr>
        <w:top w:val="none" w:sz="0" w:space="0" w:color="auto"/>
        <w:left w:val="none" w:sz="0" w:space="0" w:color="auto"/>
        <w:bottom w:val="none" w:sz="0" w:space="0" w:color="auto"/>
        <w:right w:val="none" w:sz="0" w:space="0" w:color="auto"/>
      </w:divBdr>
    </w:div>
    <w:div w:id="1838955374">
      <w:bodyDiv w:val="1"/>
      <w:marLeft w:val="0"/>
      <w:marRight w:val="0"/>
      <w:marTop w:val="0"/>
      <w:marBottom w:val="0"/>
      <w:divBdr>
        <w:top w:val="none" w:sz="0" w:space="0" w:color="auto"/>
        <w:left w:val="none" w:sz="0" w:space="0" w:color="auto"/>
        <w:bottom w:val="none" w:sz="0" w:space="0" w:color="auto"/>
        <w:right w:val="none" w:sz="0" w:space="0" w:color="auto"/>
      </w:divBdr>
    </w:div>
    <w:div w:id="1856962828">
      <w:bodyDiv w:val="1"/>
      <w:marLeft w:val="0"/>
      <w:marRight w:val="0"/>
      <w:marTop w:val="0"/>
      <w:marBottom w:val="0"/>
      <w:divBdr>
        <w:top w:val="none" w:sz="0" w:space="0" w:color="auto"/>
        <w:left w:val="none" w:sz="0" w:space="0" w:color="auto"/>
        <w:bottom w:val="none" w:sz="0" w:space="0" w:color="auto"/>
        <w:right w:val="none" w:sz="0" w:space="0" w:color="auto"/>
      </w:divBdr>
      <w:divsChild>
        <w:div w:id="557712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934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850840">
      <w:bodyDiv w:val="1"/>
      <w:marLeft w:val="0"/>
      <w:marRight w:val="0"/>
      <w:marTop w:val="0"/>
      <w:marBottom w:val="0"/>
      <w:divBdr>
        <w:top w:val="none" w:sz="0" w:space="0" w:color="auto"/>
        <w:left w:val="none" w:sz="0" w:space="0" w:color="auto"/>
        <w:bottom w:val="none" w:sz="0" w:space="0" w:color="auto"/>
        <w:right w:val="none" w:sz="0" w:space="0" w:color="auto"/>
      </w:divBdr>
    </w:div>
    <w:div w:id="1870407554">
      <w:bodyDiv w:val="1"/>
      <w:marLeft w:val="0"/>
      <w:marRight w:val="0"/>
      <w:marTop w:val="0"/>
      <w:marBottom w:val="0"/>
      <w:divBdr>
        <w:top w:val="none" w:sz="0" w:space="0" w:color="auto"/>
        <w:left w:val="none" w:sz="0" w:space="0" w:color="auto"/>
        <w:bottom w:val="none" w:sz="0" w:space="0" w:color="auto"/>
        <w:right w:val="none" w:sz="0" w:space="0" w:color="auto"/>
      </w:divBdr>
    </w:div>
    <w:div w:id="1876385988">
      <w:bodyDiv w:val="1"/>
      <w:marLeft w:val="0"/>
      <w:marRight w:val="0"/>
      <w:marTop w:val="0"/>
      <w:marBottom w:val="0"/>
      <w:divBdr>
        <w:top w:val="none" w:sz="0" w:space="0" w:color="auto"/>
        <w:left w:val="none" w:sz="0" w:space="0" w:color="auto"/>
        <w:bottom w:val="none" w:sz="0" w:space="0" w:color="auto"/>
        <w:right w:val="none" w:sz="0" w:space="0" w:color="auto"/>
      </w:divBdr>
    </w:div>
    <w:div w:id="1877616727">
      <w:bodyDiv w:val="1"/>
      <w:marLeft w:val="0"/>
      <w:marRight w:val="0"/>
      <w:marTop w:val="0"/>
      <w:marBottom w:val="0"/>
      <w:divBdr>
        <w:top w:val="none" w:sz="0" w:space="0" w:color="auto"/>
        <w:left w:val="none" w:sz="0" w:space="0" w:color="auto"/>
        <w:bottom w:val="none" w:sz="0" w:space="0" w:color="auto"/>
        <w:right w:val="none" w:sz="0" w:space="0" w:color="auto"/>
      </w:divBdr>
    </w:div>
    <w:div w:id="1897888439">
      <w:bodyDiv w:val="1"/>
      <w:marLeft w:val="0"/>
      <w:marRight w:val="0"/>
      <w:marTop w:val="0"/>
      <w:marBottom w:val="0"/>
      <w:divBdr>
        <w:top w:val="none" w:sz="0" w:space="0" w:color="auto"/>
        <w:left w:val="none" w:sz="0" w:space="0" w:color="auto"/>
        <w:bottom w:val="none" w:sz="0" w:space="0" w:color="auto"/>
        <w:right w:val="none" w:sz="0" w:space="0" w:color="auto"/>
      </w:divBdr>
      <w:divsChild>
        <w:div w:id="780489930">
          <w:marLeft w:val="0"/>
          <w:marRight w:val="0"/>
          <w:marTop w:val="0"/>
          <w:marBottom w:val="0"/>
          <w:divBdr>
            <w:top w:val="none" w:sz="0" w:space="0" w:color="auto"/>
            <w:left w:val="none" w:sz="0" w:space="0" w:color="auto"/>
            <w:bottom w:val="none" w:sz="0" w:space="0" w:color="auto"/>
            <w:right w:val="none" w:sz="0" w:space="0" w:color="auto"/>
          </w:divBdr>
        </w:div>
      </w:divsChild>
    </w:div>
    <w:div w:id="1907061478">
      <w:bodyDiv w:val="1"/>
      <w:marLeft w:val="0"/>
      <w:marRight w:val="0"/>
      <w:marTop w:val="0"/>
      <w:marBottom w:val="0"/>
      <w:divBdr>
        <w:top w:val="none" w:sz="0" w:space="0" w:color="auto"/>
        <w:left w:val="none" w:sz="0" w:space="0" w:color="auto"/>
        <w:bottom w:val="none" w:sz="0" w:space="0" w:color="auto"/>
        <w:right w:val="none" w:sz="0" w:space="0" w:color="auto"/>
      </w:divBdr>
    </w:div>
    <w:div w:id="1917588148">
      <w:bodyDiv w:val="1"/>
      <w:marLeft w:val="0"/>
      <w:marRight w:val="0"/>
      <w:marTop w:val="0"/>
      <w:marBottom w:val="0"/>
      <w:divBdr>
        <w:top w:val="none" w:sz="0" w:space="0" w:color="auto"/>
        <w:left w:val="none" w:sz="0" w:space="0" w:color="auto"/>
        <w:bottom w:val="none" w:sz="0" w:space="0" w:color="auto"/>
        <w:right w:val="none" w:sz="0" w:space="0" w:color="auto"/>
      </w:divBdr>
    </w:div>
    <w:div w:id="2000621362">
      <w:bodyDiv w:val="1"/>
      <w:marLeft w:val="0"/>
      <w:marRight w:val="0"/>
      <w:marTop w:val="0"/>
      <w:marBottom w:val="0"/>
      <w:divBdr>
        <w:top w:val="none" w:sz="0" w:space="0" w:color="auto"/>
        <w:left w:val="none" w:sz="0" w:space="0" w:color="auto"/>
        <w:bottom w:val="none" w:sz="0" w:space="0" w:color="auto"/>
        <w:right w:val="none" w:sz="0" w:space="0" w:color="auto"/>
      </w:divBdr>
    </w:div>
    <w:div w:id="2073650215">
      <w:bodyDiv w:val="1"/>
      <w:marLeft w:val="0"/>
      <w:marRight w:val="0"/>
      <w:marTop w:val="0"/>
      <w:marBottom w:val="0"/>
      <w:divBdr>
        <w:top w:val="none" w:sz="0" w:space="0" w:color="auto"/>
        <w:left w:val="none" w:sz="0" w:space="0" w:color="auto"/>
        <w:bottom w:val="none" w:sz="0" w:space="0" w:color="auto"/>
        <w:right w:val="none" w:sz="0" w:space="0" w:color="auto"/>
      </w:divBdr>
    </w:div>
    <w:div w:id="2088767933">
      <w:bodyDiv w:val="1"/>
      <w:marLeft w:val="0"/>
      <w:marRight w:val="0"/>
      <w:marTop w:val="0"/>
      <w:marBottom w:val="0"/>
      <w:divBdr>
        <w:top w:val="none" w:sz="0" w:space="0" w:color="auto"/>
        <w:left w:val="none" w:sz="0" w:space="0" w:color="auto"/>
        <w:bottom w:val="none" w:sz="0" w:space="0" w:color="auto"/>
        <w:right w:val="none" w:sz="0" w:space="0" w:color="auto"/>
      </w:divBdr>
    </w:div>
    <w:div w:id="2117871690">
      <w:bodyDiv w:val="1"/>
      <w:marLeft w:val="0"/>
      <w:marRight w:val="0"/>
      <w:marTop w:val="0"/>
      <w:marBottom w:val="0"/>
      <w:divBdr>
        <w:top w:val="none" w:sz="0" w:space="0" w:color="auto"/>
        <w:left w:val="none" w:sz="0" w:space="0" w:color="auto"/>
        <w:bottom w:val="none" w:sz="0" w:space="0" w:color="auto"/>
        <w:right w:val="none" w:sz="0" w:space="0" w:color="auto"/>
      </w:divBdr>
    </w:div>
    <w:div w:id="212954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hwc.govt.nz" TargetMode="External"/><Relationship Id="rId18" Type="http://schemas.openxmlformats.org/officeDocument/2006/relationships/header" Target="header1.xml"/><Relationship Id="rId26" Type="http://schemas.openxmlformats.org/officeDocument/2006/relationships/header" Target="header6.xml"/><Relationship Id="rId39" Type="http://schemas.openxmlformats.org/officeDocument/2006/relationships/hyperlink" Target="https://www.suicidepreventionaust.org/wp-content/uploads/2021/01/AHURI-Professional-Services-The-role-of-housing-insecurity-and-homelessness-in-suicidal-behaviour-FINAL-2.pdf" TargetMode="External"/><Relationship Id="rId21" Type="http://schemas.openxmlformats.org/officeDocument/2006/relationships/footer" Target="footer2.xml"/><Relationship Id="rId34" Type="http://schemas.openxmlformats.org/officeDocument/2006/relationships/footer" Target="footer10.xml"/><Relationship Id="rId42" Type="http://schemas.openxmlformats.org/officeDocument/2006/relationships/hyperlink" Target="https://researchcommons.waikato.ac.nz/server/api/core/bitstreams/3442198f-cb4c-45df-8f87-aab3cb977590/content" TargetMode="External"/><Relationship Id="rId47" Type="http://schemas.openxmlformats.org/officeDocument/2006/relationships/hyperlink" Target="https://www.educationcounts.govt.nz/__data/assets/pdf_file/0014/250205/Term-1-2025-Attendance-report.pdf" TargetMode="External"/><Relationship Id="rId50" Type="http://schemas.openxmlformats.org/officeDocument/2006/relationships/hyperlink" Target="https://www.hud.govt.nz/assets/Uploads/Documents/Proactive-Releases/April-2025/HUD2025-006285-Response_Redacted.pdf" TargetMode="External"/><Relationship Id="rId55" Type="http://schemas.openxmlformats.org/officeDocument/2006/relationships/hyperlink" Target="https://nzmj.org.nz/media/pages/journal/vol-133-no-1521/racism-and-health-in-aotearoa-new-zealand-a-systematic-review-of-quantitative-studies/0e3298cdc9-1696476099/racism-and-health-in-aotearoa-new-zealand-a-systematic-review-of-quantitative-studies-open-access.pdf"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ihw.gov.au/suicide-self-harm-monitoring" TargetMode="External"/><Relationship Id="rId29" Type="http://schemas.openxmlformats.org/officeDocument/2006/relationships/footer" Target="footer6.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footer" Target="footer8.xml"/><Relationship Id="rId37" Type="http://schemas.openxmlformats.org/officeDocument/2006/relationships/hyperlink" Target="https://repec.canterbury.ac.nz/cbt/econwp/2403.pdf" TargetMode="External"/><Relationship Id="rId40" Type="http://schemas.openxmlformats.org/officeDocument/2006/relationships/hyperlink" Target="https://static1.squarespace.com/static/5bdbb75ccef37259122e59aa/t/630eb5967f83d0708679ae8d/1661908382899/YNEET_update_2508.pdf" TargetMode="External"/><Relationship Id="rId45" Type="http://schemas.openxmlformats.org/officeDocument/2006/relationships/hyperlink" Target="https://www.mhwc.govt.nz/assets/He-Ara-Oranga-Framework/2022/HAO-Summary-English_FINAL.pdf" TargetMode="External"/><Relationship Id="rId53" Type="http://schemas.openxmlformats.org/officeDocument/2006/relationships/hyperlink" Target="https://www.stats.govt.nz/information-releases/2023-census-severe-housing-deprivation-homelessness-estimates/" TargetMode="External"/><Relationship Id="rId58" Type="http://schemas.openxmlformats.org/officeDocument/2006/relationships/hyperlink" Target="http://apps.who.int/iris/bitstream/10665/131056/1/9789241564779_eng.pdf?ua=1" TargetMode="External"/><Relationship Id="rId5" Type="http://schemas.openxmlformats.org/officeDocument/2006/relationships/numbering" Target="numbering.xml"/><Relationship Id="rId61" Type="http://schemas.openxmlformats.org/officeDocument/2006/relationships/footer" Target="footer11.xml"/><Relationship Id="rId19" Type="http://schemas.openxmlformats.org/officeDocument/2006/relationships/header" Target="header2.xml"/><Relationship Id="rId14" Type="http://schemas.openxmlformats.org/officeDocument/2006/relationships/hyperlink" Target="https://health-infobase.canada.ca/ssif/" TargetMode="Externa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7.xml"/><Relationship Id="rId35" Type="http://schemas.openxmlformats.org/officeDocument/2006/relationships/hyperlink" Target="https://www.acc.co.nz/assets/oia-responses/Data-and-details-for-self-harm-claims-oia-response-gov-030452.pdf" TargetMode="External"/><Relationship Id="rId43" Type="http://schemas.openxmlformats.org/officeDocument/2006/relationships/hyperlink" Target="https://cdc.gov/nchs/data/nhsr/nhsr108.pdf" TargetMode="External"/><Relationship Id="rId48" Type="http://schemas.openxmlformats.org/officeDocument/2006/relationships/hyperlink" Target="https://minhealthnz.shinyapps.io/nz-health-survey-2023-24-annual-data-explorer/_w_5490d5df1204452b870d245a926d3b9e/" TargetMode="External"/><Relationship Id="rId56" Type="http://schemas.openxmlformats.org/officeDocument/2006/relationships/hyperlink" Target="https://journal.nzma.org.nz/"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nice.org.uk/guidance/ng225/resources/selfharm-assessment-management-and-preventing-recurrence-pdf-66143837346757" TargetMode="External"/><Relationship Id="rId3" Type="http://schemas.openxmlformats.org/officeDocument/2006/relationships/customXml" Target="../customXml/item3.xml"/><Relationship Id="rId12" Type="http://schemas.openxmlformats.org/officeDocument/2006/relationships/hyperlink" Target="https://creativecommons.org/licenses/by/4.0/legalcode" TargetMode="External"/><Relationship Id="rId17" Type="http://schemas.openxmlformats.org/officeDocument/2006/relationships/hyperlink" Target="https://fingertips.phe.org.uk/profile-group/mental-health/profile/suicide" TargetMode="External"/><Relationship Id="rId25" Type="http://schemas.openxmlformats.org/officeDocument/2006/relationships/header" Target="header5.xml"/><Relationship Id="rId33" Type="http://schemas.openxmlformats.org/officeDocument/2006/relationships/footer" Target="footer9.xml"/><Relationship Id="rId38" Type="http://schemas.openxmlformats.org/officeDocument/2006/relationships/hyperlink" Target="https://www.astho.org/490078/globalassets/pdf/spacecat-suicide-indicator-explorer-guide.pdf" TargetMode="External"/><Relationship Id="rId46" Type="http://schemas.openxmlformats.org/officeDocument/2006/relationships/hyperlink" Target="https://www.educationcounts.govt.nz/__data/assets/pdf_file/0006/208419/Indicator-Report-Early-Leaving-Exemptions-2023.pdf" TargetMode="External"/><Relationship Id="rId59" Type="http://schemas.openxmlformats.org/officeDocument/2006/relationships/hyperlink" Target="https://icd.who.int/browse10/2016/en" TargetMode="External"/><Relationship Id="rId20" Type="http://schemas.openxmlformats.org/officeDocument/2006/relationships/footer" Target="footer1.xml"/><Relationship Id="rId41" Type="http://schemas.openxmlformats.org/officeDocument/2006/relationships/hyperlink" Target="https://www.health.govt.nz/system/files/2024-07/report-evidence-synthesis-10jul24.pdf" TargetMode="External"/><Relationship Id="rId54" Type="http://schemas.openxmlformats.org/officeDocument/2006/relationships/hyperlink" Target="https://www.hqsc.govt.nz/assets/Our-work/Mortality-review-committee/SuMRC/Publications-resources/Understanding-deaths-by-suicide-Asian-population.pdf" TargetMode="External"/><Relationship Id="rId62"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astho.org/topic/population-health-prevention/social-behavioral-health/injury-suicide-violence-prevention/suicide-indicator-tool"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hyperlink" Target="https://www.acc.co.nz/assets/corporate-documents/Access-reporting/ACC-Scheme-Access-Report-Year-1.pdf" TargetMode="External"/><Relationship Id="rId49" Type="http://schemas.openxmlformats.org/officeDocument/2006/relationships/hyperlink" Target="https://www.health.govt.nz/system/files/2025-09/suicide-prevention-action-plan-2025-2029-v2.pdf" TargetMode="External"/><Relationship Id="rId57" Type="http://schemas.openxmlformats.org/officeDocument/2006/relationships/hyperlink" Target="https://gambleaware.org/media/hyvlra41/report-1-problem-gambling-and-suicidal-thoughts-suicide-attempts-and-non-suicidal-self-harm-in-england.pdf" TargetMode="External"/><Relationship Id="rId10" Type="http://schemas.openxmlformats.org/officeDocument/2006/relationships/endnotes" Target="endnotes.xml"/><Relationship Id="rId31" Type="http://schemas.openxmlformats.org/officeDocument/2006/relationships/header" Target="header7.xml"/><Relationship Id="rId44" Type="http://schemas.openxmlformats.org/officeDocument/2006/relationships/hyperlink" Target="https://aroturuki.govt.nz/assets/Reports/outcomes/Outcomes-for-Maori-23-24-WEB.pdf" TargetMode="External"/><Relationship Id="rId52" Type="http://schemas.openxmlformats.org/officeDocument/2006/relationships/hyperlink" Target="https://www.hqsc.govt.nz/assets/Our-work/Mortality-review-committee/SuMRC/Publications-resources/TeMauriTheLifeForce_final.pdf" TargetMode="External"/><Relationship Id="rId60" Type="http://schemas.openxmlformats.org/officeDocument/2006/relationships/hyperlink" Target="https://www.who.int/teams/social-determinants-of-health/equity-and-health/world-report-on-social-determinants-of-health-equity"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tewhatuora.govt.nz/for-health-professionals/data-and-statistics/primary-care/primary-health-organisation-performance" TargetMode="External"/><Relationship Id="rId1" Type="http://schemas.openxmlformats.org/officeDocument/2006/relationships/hyperlink" Target="https://tewhatuora.shinyapps.io/suicide-web-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1526DB9AF60C4383F308E95020E0C8" ma:contentTypeVersion="16" ma:contentTypeDescription="Create a new document." ma:contentTypeScope="" ma:versionID="067dd8ee89508b1be048b2b91d2379f7">
  <xsd:schema xmlns:xsd="http://www.w3.org/2001/XMLSchema" xmlns:xs="http://www.w3.org/2001/XMLSchema" xmlns:p="http://schemas.microsoft.com/office/2006/metadata/properties" xmlns:ns2="41332b1b-253f-4cd9-9fdf-d5b224c83223" xmlns:ns3="baa83322-3b50-4ba5-b98a-568ea6bbb603" targetNamespace="http://schemas.microsoft.com/office/2006/metadata/properties" ma:root="true" ma:fieldsID="b643e992dae0d024c874d799cefa049e" ns2:_="" ns3:_="">
    <xsd:import namespace="41332b1b-253f-4cd9-9fdf-d5b224c83223"/>
    <xsd:import namespace="baa83322-3b50-4ba5-b98a-568ea6bbb603"/>
    <xsd:element name="properties">
      <xsd:complexType>
        <xsd:sequence>
          <xsd:element name="documentManagement">
            <xsd:complexType>
              <xsd:all>
                <xsd:element ref="ns2:bbea3714d4834df6b09484fe318290c1" minOccurs="0"/>
                <xsd:element ref="ns2:TaxCatchAll" minOccurs="0"/>
                <xsd:element ref="ns2:h3f2fd830a10422c837a36d1395865f4" minOccurs="0"/>
                <xsd:element ref="ns2:g42d0c6708a34fe8a4a3363a2017255b" minOccurs="0"/>
                <xsd:element ref="ns2:o00b4c462aae4559a7f9a8253a7aa820" minOccurs="0"/>
                <xsd:element ref="ns2:j8ab8d2583f14f56b49030154de9087f" minOccurs="0"/>
                <xsd:element ref="ns2:jb32fbefe54a4cca82776ccadc99c271"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32b1b-253f-4cd9-9fdf-d5b224c83223" elementFormDefault="qualified">
    <xsd:import namespace="http://schemas.microsoft.com/office/2006/documentManagement/types"/>
    <xsd:import namespace="http://schemas.microsoft.com/office/infopath/2007/PartnerControls"/>
    <xsd:element name="bbea3714d4834df6b09484fe318290c1" ma:index="9" nillable="true" ma:taxonomy="true" ma:internalName="bbea3714d4834df6b09484fe318290c1" ma:taxonomyFieldName="Site_Tag" ma:displayName="Site_Tag" ma:default="" ma:fieldId="{bbea3714-d483-4df6-b094-84fe318290c1}" ma:sspId="e2423f7d-70e1-4bc9-b0ec-1093942dc6c6" ma:termSetId="f8c57079-07f3-4cb6-aff3-edd02a7e038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0cb587c-2ebf-40f9-88e2-7a85f226e428}" ma:internalName="TaxCatchAll" ma:showField="CatchAllData" ma:web="41332b1b-253f-4cd9-9fdf-d5b224c83223">
      <xsd:complexType>
        <xsd:complexContent>
          <xsd:extension base="dms:MultiChoiceLookup">
            <xsd:sequence>
              <xsd:element name="Value" type="dms:Lookup" maxOccurs="unbounded" minOccurs="0" nillable="true"/>
            </xsd:sequence>
          </xsd:extension>
        </xsd:complexContent>
      </xsd:complexType>
    </xsd:element>
    <xsd:element name="h3f2fd830a10422c837a36d1395865f4" ma:index="12" nillable="true" ma:taxonomy="true" ma:internalName="h3f2fd830a10422c837a36d1395865f4" ma:taxonomyFieldName="Team_Tag" ma:displayName="Team_Tag" ma:default="" ma:fieldId="{13f2fd83-0a10-422c-837a-36d1395865f4}" ma:sspId="e2423f7d-70e1-4bc9-b0ec-1093942dc6c6" ma:termSetId="1fc1512b-c3e7-4d0e-a084-9f93e8dac37c" ma:anchorId="00000000-0000-0000-0000-000000000000" ma:open="false" ma:isKeyword="false">
      <xsd:complexType>
        <xsd:sequence>
          <xsd:element ref="pc:Terms" minOccurs="0" maxOccurs="1"/>
        </xsd:sequence>
      </xsd:complexType>
    </xsd:element>
    <xsd:element name="g42d0c6708a34fe8a4a3363a2017255b" ma:index="14" nillable="true" ma:taxonomy="true" ma:internalName="g42d0c6708a34fe8a4a3363a2017255b" ma:taxonomyFieldName="Year_Tag" ma:displayName="Year_Tag" ma:default="" ma:fieldId="{042d0c67-08a3-4fe8-a4a3-363a2017255b}" ma:sspId="e2423f7d-70e1-4bc9-b0ec-1093942dc6c6" ma:termSetId="7a2c6c82-7673-4d81-9b0a-4b2d484068ea" ma:anchorId="00000000-0000-0000-0000-000000000000" ma:open="false" ma:isKeyword="false">
      <xsd:complexType>
        <xsd:sequence>
          <xsd:element ref="pc:Terms" minOccurs="0" maxOccurs="1"/>
        </xsd:sequence>
      </xsd:complexType>
    </xsd:element>
    <xsd:element name="o00b4c462aae4559a7f9a8253a7aa820" ma:index="16" nillable="true" ma:taxonomy="true" ma:internalName="o00b4c462aae4559a7f9a8253a7aa820" ma:taxonomyFieldName="Category_Tag" ma:displayName="Category_Tag" ma:default="" ma:fieldId="{800b4c46-2aae-4559-a7f9-a8253a7aa820}" ma:sspId="e2423f7d-70e1-4bc9-b0ec-1093942dc6c6" ma:termSetId="3168d103-b135-4077-bd9b-0ca5a3208a4b" ma:anchorId="00000000-0000-0000-0000-000000000000" ma:open="false" ma:isKeyword="false">
      <xsd:complexType>
        <xsd:sequence>
          <xsd:element ref="pc:Terms" minOccurs="0" maxOccurs="1"/>
        </xsd:sequence>
      </xsd:complexType>
    </xsd:element>
    <xsd:element name="j8ab8d2583f14f56b49030154de9087f" ma:index="18" nillable="true" ma:taxonomy="true" ma:internalName="j8ab8d2583f14f56b49030154de9087f" ma:taxonomyFieldName="Sub_Category_Tag" ma:displayName="Sub_Category_Tag" ma:default="" ma:fieldId="{38ab8d25-83f1-4f56-b490-30154de9087f}" ma:sspId="e2423f7d-70e1-4bc9-b0ec-1093942dc6c6" ma:termSetId="3168d103-b135-4077-bd9b-0ca5a3208a4b" ma:anchorId="00000000-0000-0000-0000-000000000000" ma:open="false" ma:isKeyword="false">
      <xsd:complexType>
        <xsd:sequence>
          <xsd:element ref="pc:Terms" minOccurs="0" maxOccurs="1"/>
        </xsd:sequence>
      </xsd:complexType>
    </xsd:element>
    <xsd:element name="jb32fbefe54a4cca82776ccadc99c271" ma:index="20" nillable="true" ma:taxonomy="true" ma:internalName="jb32fbefe54a4cca82776ccadc99c271" ma:taxonomyFieldName="Item_Tag" ma:displayName="Item_Tag" ma:default="" ma:fieldId="{3b32fbef-e54a-4cca-8277-6ccadc99c271}" ma:sspId="e2423f7d-70e1-4bc9-b0ec-1093942dc6c6" ma:termSetId="3168d103-b135-4077-bd9b-0ca5a3208a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a83322-3b50-4ba5-b98a-568ea6bbb603"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bea3714d4834df6b09484fe318290c1 xmlns="41332b1b-253f-4cd9-9fdf-d5b224c83223">
      <Terms xmlns="http://schemas.microsoft.com/office/infopath/2007/PartnerControls">
        <TermInfo xmlns="http://schemas.microsoft.com/office/infopath/2007/PartnerControls">
          <TermName xmlns="http://schemas.microsoft.com/office/infopath/2007/PartnerControls">OurWork</TermName>
          <TermId xmlns="http://schemas.microsoft.com/office/infopath/2007/PartnerControls">d3b47126-6fe7-4aeb-a593-c597478f4d0f</TermId>
        </TermInfo>
      </Terms>
    </bbea3714d4834df6b09484fe318290c1>
    <jb32fbefe54a4cca82776ccadc99c271 xmlns="41332b1b-253f-4cd9-9fdf-d5b224c83223">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6b692e83-6fb2-4a0a-9f1c-d933e7b41cf6</TermId>
        </TermInfo>
      </Terms>
    </jb32fbefe54a4cca82776ccadc99c271>
    <j8ab8d2583f14f56b49030154de9087f xmlns="41332b1b-253f-4cd9-9fdf-d5b224c83223">
      <Terms xmlns="http://schemas.microsoft.com/office/infopath/2007/PartnerControls">
        <TermInfo xmlns="http://schemas.microsoft.com/office/infopath/2007/PartnerControls">
          <TermName xmlns="http://schemas.microsoft.com/office/infopath/2007/PartnerControls">Deliverables</TermName>
          <TermId xmlns="http://schemas.microsoft.com/office/infopath/2007/PartnerControls">12024133-8a2d-4e48-8947-ee79638fb2bb</TermId>
        </TermInfo>
      </Terms>
    </j8ab8d2583f14f56b49030154de9087f>
    <TaxCatchAll xmlns="41332b1b-253f-4cd9-9fdf-d5b224c83223">
      <Value>84</Value>
      <Value>5</Value>
      <Value>468</Value>
      <Value>466</Value>
      <Value>464</Value>
      <Value>463</Value>
    </TaxCatchAll>
    <h3f2fd830a10422c837a36d1395865f4 xmlns="41332b1b-253f-4cd9-9fdf-d5b224c83223">
      <Terms xmlns="http://schemas.microsoft.com/office/infopath/2007/PartnerControls">
        <TermInfo xmlns="http://schemas.microsoft.com/office/infopath/2007/PartnerControls">
          <TermName xmlns="http://schemas.microsoft.com/office/infopath/2007/PartnerControls">Wellbeing</TermName>
          <TermId xmlns="http://schemas.microsoft.com/office/infopath/2007/PartnerControls">4521ee3e-f8e3-4950-952e-53083ca02330</TermId>
        </TermInfo>
      </Terms>
    </h3f2fd830a10422c837a36d1395865f4>
    <o00b4c462aae4559a7f9a8253a7aa820 xmlns="41332b1b-253f-4cd9-9fdf-d5b224c83223">
      <Terms xmlns="http://schemas.microsoft.com/office/infopath/2007/PartnerControls">
        <TermInfo xmlns="http://schemas.microsoft.com/office/infopath/2007/PartnerControls">
          <TermName xmlns="http://schemas.microsoft.com/office/infopath/2007/PartnerControls">Suicide Prevention</TermName>
          <TermId xmlns="http://schemas.microsoft.com/office/infopath/2007/PartnerControls">8c43df98-b9a1-4ff8-9024-4bc288344daa</TermId>
        </TermInfo>
      </Terms>
    </o00b4c462aae4559a7f9a8253a7aa820>
    <g42d0c6708a34fe8a4a3363a2017255b xmlns="41332b1b-253f-4cd9-9fdf-d5b224c83223">
      <Terms xmlns="http://schemas.microsoft.com/office/infopath/2007/PartnerControls">
        <TermInfo xmlns="http://schemas.microsoft.com/office/infopath/2007/PartnerControls">
          <TermName xmlns="http://schemas.microsoft.com/office/infopath/2007/PartnerControls">FY 2025-26</TermName>
          <TermId xmlns="http://schemas.microsoft.com/office/infopath/2007/PartnerControls">99415f82-ae80-4744-a0f1-4759891fbaef</TermId>
        </TermInfo>
      </Terms>
    </g42d0c6708a34fe8a4a3363a2017255b>
  </documentManagement>
</p:properties>
</file>

<file path=customXml/itemProps1.xml><?xml version="1.0" encoding="utf-8"?>
<ds:datastoreItem xmlns:ds="http://schemas.openxmlformats.org/officeDocument/2006/customXml" ds:itemID="{2E3B7CF4-3652-4557-B28F-64CACD5E00E2}">
  <ds:schemaRefs>
    <ds:schemaRef ds:uri="http://schemas.openxmlformats.org/officeDocument/2006/bibliography"/>
  </ds:schemaRefs>
</ds:datastoreItem>
</file>

<file path=customXml/itemProps2.xml><?xml version="1.0" encoding="utf-8"?>
<ds:datastoreItem xmlns:ds="http://schemas.openxmlformats.org/officeDocument/2006/customXml" ds:itemID="{E6A40669-38D4-4300-968B-4959319B2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32b1b-253f-4cd9-9fdf-d5b224c83223"/>
    <ds:schemaRef ds:uri="baa83322-3b50-4ba5-b98a-568ea6bbb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23BD15-94D7-453F-B16B-B8D648BA09E0}">
  <ds:schemaRefs>
    <ds:schemaRef ds:uri="http://schemas.microsoft.com/sharepoint/v3/contenttype/forms"/>
  </ds:schemaRefs>
</ds:datastoreItem>
</file>

<file path=customXml/itemProps4.xml><?xml version="1.0" encoding="utf-8"?>
<ds:datastoreItem xmlns:ds="http://schemas.openxmlformats.org/officeDocument/2006/customXml" ds:itemID="{7E73CAFF-1046-4CA7-9C43-3811C0B333BE}">
  <ds:schemaRefs>
    <ds:schemaRef ds:uri="http://schemas.microsoft.com/office/2006/metadata/properties"/>
    <ds:schemaRef ds:uri="http://schemas.microsoft.com/office/infopath/2007/PartnerControls"/>
    <ds:schemaRef ds:uri="41332b1b-253f-4cd9-9fdf-d5b224c83223"/>
  </ds:schemaRefs>
</ds:datastoreItem>
</file>

<file path=docProps/app.xml><?xml version="1.0" encoding="utf-8"?>
<Properties xmlns="http://schemas.openxmlformats.org/officeDocument/2006/extended-properties" xmlns:vt="http://schemas.openxmlformats.org/officeDocument/2006/docPropsVTypes">
  <Template>normal.dotm</Template>
  <TotalTime>8887</TotalTime>
  <Pages>43</Pages>
  <Words>12569</Words>
  <Characters>71648</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84049</CharactersWithSpaces>
  <SharedDoc>false</SharedDoc>
  <HLinks>
    <vt:vector size="288" baseType="variant">
      <vt:variant>
        <vt:i4>3080318</vt:i4>
      </vt:variant>
      <vt:variant>
        <vt:i4>210</vt:i4>
      </vt:variant>
      <vt:variant>
        <vt:i4>0</vt:i4>
      </vt:variant>
      <vt:variant>
        <vt:i4>5</vt:i4>
      </vt:variant>
      <vt:variant>
        <vt:lpwstr>https://www.who.int/teams/social-determinants-of-health/equity-and-health/world-report-on-social-determinants-of-health-equity</vt:lpwstr>
      </vt:variant>
      <vt:variant>
        <vt:lpwstr/>
      </vt:variant>
      <vt:variant>
        <vt:i4>4784203</vt:i4>
      </vt:variant>
      <vt:variant>
        <vt:i4>207</vt:i4>
      </vt:variant>
      <vt:variant>
        <vt:i4>0</vt:i4>
      </vt:variant>
      <vt:variant>
        <vt:i4>5</vt:i4>
      </vt:variant>
      <vt:variant>
        <vt:lpwstr>https://icd.who.int/browse10/2016/en</vt:lpwstr>
      </vt:variant>
      <vt:variant>
        <vt:lpwstr/>
      </vt:variant>
      <vt:variant>
        <vt:i4>6750285</vt:i4>
      </vt:variant>
      <vt:variant>
        <vt:i4>204</vt:i4>
      </vt:variant>
      <vt:variant>
        <vt:i4>0</vt:i4>
      </vt:variant>
      <vt:variant>
        <vt:i4>5</vt:i4>
      </vt:variant>
      <vt:variant>
        <vt:lpwstr>http://apps.who.int/iris/bitstream/10665/131056/1/9789241564779_eng.pdf?ua=1</vt:lpwstr>
      </vt:variant>
      <vt:variant>
        <vt:lpwstr/>
      </vt:variant>
      <vt:variant>
        <vt:i4>655362</vt:i4>
      </vt:variant>
      <vt:variant>
        <vt:i4>201</vt:i4>
      </vt:variant>
      <vt:variant>
        <vt:i4>0</vt:i4>
      </vt:variant>
      <vt:variant>
        <vt:i4>5</vt:i4>
      </vt:variant>
      <vt:variant>
        <vt:lpwstr>https://gambleaware.org/media/hyvlra41/report-1-problem-gambling-and-suicidal-thoughts-suicide-attempts-and-non-suicidal-self-harm-in-england.pdf</vt:lpwstr>
      </vt:variant>
      <vt:variant>
        <vt:lpwstr/>
      </vt:variant>
      <vt:variant>
        <vt:i4>1114198</vt:i4>
      </vt:variant>
      <vt:variant>
        <vt:i4>198</vt:i4>
      </vt:variant>
      <vt:variant>
        <vt:i4>0</vt:i4>
      </vt:variant>
      <vt:variant>
        <vt:i4>5</vt:i4>
      </vt:variant>
      <vt:variant>
        <vt:lpwstr>https://journal.nzma.org.nz/</vt:lpwstr>
      </vt:variant>
      <vt:variant>
        <vt:lpwstr/>
      </vt:variant>
      <vt:variant>
        <vt:i4>4063270</vt:i4>
      </vt:variant>
      <vt:variant>
        <vt:i4>195</vt:i4>
      </vt:variant>
      <vt:variant>
        <vt:i4>0</vt:i4>
      </vt:variant>
      <vt:variant>
        <vt:i4>5</vt:i4>
      </vt:variant>
      <vt:variant>
        <vt:lpwstr>https://nzmj.org.nz/media/pages/journal/vol-133-no-1521/racism-and-health-in-aotearoa-new-zealand-a-systematic-review-of-quantitative-studies/0e3298cdc9-1696476099/racism-and-health-in-aotearoa-new-zealand-a-systematic-review-of-quantitative-studies-open-access.pdf</vt:lpwstr>
      </vt:variant>
      <vt:variant>
        <vt:lpwstr/>
      </vt:variant>
      <vt:variant>
        <vt:i4>4784222</vt:i4>
      </vt:variant>
      <vt:variant>
        <vt:i4>192</vt:i4>
      </vt:variant>
      <vt:variant>
        <vt:i4>0</vt:i4>
      </vt:variant>
      <vt:variant>
        <vt:i4>5</vt:i4>
      </vt:variant>
      <vt:variant>
        <vt:lpwstr>https://www.hqsc.govt.nz/assets/Our-work/Mortality-review-committee/SuMRC/Publications-resources/Understanding-deaths-by-suicide-Asian-population.pdf</vt:lpwstr>
      </vt:variant>
      <vt:variant>
        <vt:lpwstr/>
      </vt:variant>
      <vt:variant>
        <vt:i4>4456448</vt:i4>
      </vt:variant>
      <vt:variant>
        <vt:i4>189</vt:i4>
      </vt:variant>
      <vt:variant>
        <vt:i4>0</vt:i4>
      </vt:variant>
      <vt:variant>
        <vt:i4>5</vt:i4>
      </vt:variant>
      <vt:variant>
        <vt:lpwstr>https://www.stats.govt.nz/information-releases/2023-census-severe-housing-deprivation-homelessness-estimates/</vt:lpwstr>
      </vt:variant>
      <vt:variant>
        <vt:lpwstr>:~:text=At%20the%20time%20of%20the,severely%20housing%20deprived%20in%202018</vt:lpwstr>
      </vt:variant>
      <vt:variant>
        <vt:i4>3014747</vt:i4>
      </vt:variant>
      <vt:variant>
        <vt:i4>186</vt:i4>
      </vt:variant>
      <vt:variant>
        <vt:i4>0</vt:i4>
      </vt:variant>
      <vt:variant>
        <vt:i4>5</vt:i4>
      </vt:variant>
      <vt:variant>
        <vt:lpwstr>https://www.hqsc.govt.nz/assets/Our-work/Mortality-review-committee/SuMRC/Publications-resources/TeMauriTheLifeForce_final.pdf</vt:lpwstr>
      </vt:variant>
      <vt:variant>
        <vt:lpwstr/>
      </vt:variant>
      <vt:variant>
        <vt:i4>524289</vt:i4>
      </vt:variant>
      <vt:variant>
        <vt:i4>183</vt:i4>
      </vt:variant>
      <vt:variant>
        <vt:i4>0</vt:i4>
      </vt:variant>
      <vt:variant>
        <vt:i4>5</vt:i4>
      </vt:variant>
      <vt:variant>
        <vt:lpwstr>https://www.nice.org.uk/guidance/ng225/resources/selfharm-assessment-management-and-preventing-recurrence-pdf-66143837346757</vt:lpwstr>
      </vt:variant>
      <vt:variant>
        <vt:lpwstr/>
      </vt:variant>
      <vt:variant>
        <vt:i4>7995413</vt:i4>
      </vt:variant>
      <vt:variant>
        <vt:i4>180</vt:i4>
      </vt:variant>
      <vt:variant>
        <vt:i4>0</vt:i4>
      </vt:variant>
      <vt:variant>
        <vt:i4>5</vt:i4>
      </vt:variant>
      <vt:variant>
        <vt:lpwstr>https://www.hud.govt.nz/assets/Uploads/Documents/Proactive-Releases/April-2025/HUD2025-006285-Response_Redacted.pdf</vt:lpwstr>
      </vt:variant>
      <vt:variant>
        <vt:lpwstr/>
      </vt:variant>
      <vt:variant>
        <vt:i4>6291494</vt:i4>
      </vt:variant>
      <vt:variant>
        <vt:i4>177</vt:i4>
      </vt:variant>
      <vt:variant>
        <vt:i4>0</vt:i4>
      </vt:variant>
      <vt:variant>
        <vt:i4>5</vt:i4>
      </vt:variant>
      <vt:variant>
        <vt:lpwstr>https://www.health.govt.nz/system/files/2025-09/suicide-prevention-action-plan-2025-2029-v2.pdf</vt:lpwstr>
      </vt:variant>
      <vt:variant>
        <vt:lpwstr/>
      </vt:variant>
      <vt:variant>
        <vt:i4>5111830</vt:i4>
      </vt:variant>
      <vt:variant>
        <vt:i4>174</vt:i4>
      </vt:variant>
      <vt:variant>
        <vt:i4>0</vt:i4>
      </vt:variant>
      <vt:variant>
        <vt:i4>5</vt:i4>
      </vt:variant>
      <vt:variant>
        <vt:lpwstr>https://minhealthnz.shinyapps.io/nz-health-survey-2023-24-annual-data-explorer/_w_5490d5df1204452b870d245a926d3b9e/</vt:lpwstr>
      </vt:variant>
      <vt:variant>
        <vt:lpwstr>!/home</vt:lpwstr>
      </vt:variant>
      <vt:variant>
        <vt:i4>4194430</vt:i4>
      </vt:variant>
      <vt:variant>
        <vt:i4>171</vt:i4>
      </vt:variant>
      <vt:variant>
        <vt:i4>0</vt:i4>
      </vt:variant>
      <vt:variant>
        <vt:i4>5</vt:i4>
      </vt:variant>
      <vt:variant>
        <vt:lpwstr>https://www.educationcounts.govt.nz/__data/assets/pdf_file/0014/250205/Term-1-2025-Attendance-report.pdf</vt:lpwstr>
      </vt:variant>
      <vt:variant>
        <vt:lpwstr/>
      </vt:variant>
      <vt:variant>
        <vt:i4>196667</vt:i4>
      </vt:variant>
      <vt:variant>
        <vt:i4>168</vt:i4>
      </vt:variant>
      <vt:variant>
        <vt:i4>0</vt:i4>
      </vt:variant>
      <vt:variant>
        <vt:i4>5</vt:i4>
      </vt:variant>
      <vt:variant>
        <vt:lpwstr>https://www.educationcounts.govt.nz/__data/assets/pdf_file/0006/208419/Indicator-Report-Early-Leaving-Exemptions-2023.pdf</vt:lpwstr>
      </vt:variant>
      <vt:variant>
        <vt:lpwstr/>
      </vt:variant>
      <vt:variant>
        <vt:i4>2686978</vt:i4>
      </vt:variant>
      <vt:variant>
        <vt:i4>165</vt:i4>
      </vt:variant>
      <vt:variant>
        <vt:i4>0</vt:i4>
      </vt:variant>
      <vt:variant>
        <vt:i4>5</vt:i4>
      </vt:variant>
      <vt:variant>
        <vt:lpwstr>https://www.mhwc.govt.nz/assets/He-Ara-Oranga-Framework/2022/HAO-Summary-English_FINAL.pdf</vt:lpwstr>
      </vt:variant>
      <vt:variant>
        <vt:lpwstr/>
      </vt:variant>
      <vt:variant>
        <vt:i4>8192049</vt:i4>
      </vt:variant>
      <vt:variant>
        <vt:i4>162</vt:i4>
      </vt:variant>
      <vt:variant>
        <vt:i4>0</vt:i4>
      </vt:variant>
      <vt:variant>
        <vt:i4>5</vt:i4>
      </vt:variant>
      <vt:variant>
        <vt:lpwstr>https://aroturuki.govt.nz/assets/Reports/outcomes/Outcomes-for-Maori-23-24-WEB.pdf</vt:lpwstr>
      </vt:variant>
      <vt:variant>
        <vt:lpwstr/>
      </vt:variant>
      <vt:variant>
        <vt:i4>2883626</vt:i4>
      </vt:variant>
      <vt:variant>
        <vt:i4>159</vt:i4>
      </vt:variant>
      <vt:variant>
        <vt:i4>0</vt:i4>
      </vt:variant>
      <vt:variant>
        <vt:i4>5</vt:i4>
      </vt:variant>
      <vt:variant>
        <vt:lpwstr>https://cdc.gov/nchs/data/nhsr/nhsr108.pdf</vt:lpwstr>
      </vt:variant>
      <vt:variant>
        <vt:lpwstr/>
      </vt:variant>
      <vt:variant>
        <vt:i4>1376280</vt:i4>
      </vt:variant>
      <vt:variant>
        <vt:i4>156</vt:i4>
      </vt:variant>
      <vt:variant>
        <vt:i4>0</vt:i4>
      </vt:variant>
      <vt:variant>
        <vt:i4>5</vt:i4>
      </vt:variant>
      <vt:variant>
        <vt:lpwstr>https://researchcommons.waikato.ac.nz/server/api/core/bitstreams/3442198f-cb4c-45df-8f87-aab3cb977590/content</vt:lpwstr>
      </vt:variant>
      <vt:variant>
        <vt:lpwstr/>
      </vt:variant>
      <vt:variant>
        <vt:i4>5636104</vt:i4>
      </vt:variant>
      <vt:variant>
        <vt:i4>153</vt:i4>
      </vt:variant>
      <vt:variant>
        <vt:i4>0</vt:i4>
      </vt:variant>
      <vt:variant>
        <vt:i4>5</vt:i4>
      </vt:variant>
      <vt:variant>
        <vt:lpwstr>https://www.health.govt.nz/system/files/2024-07/report-evidence-synthesis-10jul24.pdf</vt:lpwstr>
      </vt:variant>
      <vt:variant>
        <vt:lpwstr/>
      </vt:variant>
      <vt:variant>
        <vt:i4>1638417</vt:i4>
      </vt:variant>
      <vt:variant>
        <vt:i4>150</vt:i4>
      </vt:variant>
      <vt:variant>
        <vt:i4>0</vt:i4>
      </vt:variant>
      <vt:variant>
        <vt:i4>5</vt:i4>
      </vt:variant>
      <vt:variant>
        <vt:lpwstr>https://static1.squarespace.com/static/5bdbb75ccef37259122e59aa/t/630eb5967f83d0708679ae8d/1661908382899/YNEET_update_2508.pdf</vt:lpwstr>
      </vt:variant>
      <vt:variant>
        <vt:lpwstr/>
      </vt:variant>
      <vt:variant>
        <vt:i4>2752635</vt:i4>
      </vt:variant>
      <vt:variant>
        <vt:i4>147</vt:i4>
      </vt:variant>
      <vt:variant>
        <vt:i4>0</vt:i4>
      </vt:variant>
      <vt:variant>
        <vt:i4>5</vt:i4>
      </vt:variant>
      <vt:variant>
        <vt:lpwstr>https://www.suicidepreventionaust.org/wp-content/uploads/2021/01/AHURI-Professional-Services-The-role-of-housing-insecurity-and-homelessness-in-suicidal-behaviour-FINAL-2.pdf</vt:lpwstr>
      </vt:variant>
      <vt:variant>
        <vt:lpwstr/>
      </vt:variant>
      <vt:variant>
        <vt:i4>6881392</vt:i4>
      </vt:variant>
      <vt:variant>
        <vt:i4>144</vt:i4>
      </vt:variant>
      <vt:variant>
        <vt:i4>0</vt:i4>
      </vt:variant>
      <vt:variant>
        <vt:i4>5</vt:i4>
      </vt:variant>
      <vt:variant>
        <vt:lpwstr>https://www.astho.org/490078/globalassets/pdf/spacecat-suicide-indicator-explorer-guide.pdf</vt:lpwstr>
      </vt:variant>
      <vt:variant>
        <vt:lpwstr/>
      </vt:variant>
      <vt:variant>
        <vt:i4>3473453</vt:i4>
      </vt:variant>
      <vt:variant>
        <vt:i4>141</vt:i4>
      </vt:variant>
      <vt:variant>
        <vt:i4>0</vt:i4>
      </vt:variant>
      <vt:variant>
        <vt:i4>5</vt:i4>
      </vt:variant>
      <vt:variant>
        <vt:lpwstr>https://repec.canterbury.ac.nz/cbt/econwp/2403.pdf</vt:lpwstr>
      </vt:variant>
      <vt:variant>
        <vt:lpwstr/>
      </vt:variant>
      <vt:variant>
        <vt:i4>5242880</vt:i4>
      </vt:variant>
      <vt:variant>
        <vt:i4>138</vt:i4>
      </vt:variant>
      <vt:variant>
        <vt:i4>0</vt:i4>
      </vt:variant>
      <vt:variant>
        <vt:i4>5</vt:i4>
      </vt:variant>
      <vt:variant>
        <vt:lpwstr>https://www.acc.co.nz/assets/corporate-documents/Access-reporting/ACC-Scheme-Access-Report-Year-1.pdf</vt:lpwstr>
      </vt:variant>
      <vt:variant>
        <vt:lpwstr/>
      </vt:variant>
      <vt:variant>
        <vt:i4>4849690</vt:i4>
      </vt:variant>
      <vt:variant>
        <vt:i4>135</vt:i4>
      </vt:variant>
      <vt:variant>
        <vt:i4>0</vt:i4>
      </vt:variant>
      <vt:variant>
        <vt:i4>5</vt:i4>
      </vt:variant>
      <vt:variant>
        <vt:lpwstr>https://www.acc.co.nz/assets/oia-responses/Data-and-details-for-self-harm-claims-oia-response-gov-030452.pdf</vt:lpwstr>
      </vt:variant>
      <vt:variant>
        <vt:lpwstr/>
      </vt:variant>
      <vt:variant>
        <vt:i4>4653139</vt:i4>
      </vt:variant>
      <vt:variant>
        <vt:i4>96</vt:i4>
      </vt:variant>
      <vt:variant>
        <vt:i4>0</vt:i4>
      </vt:variant>
      <vt:variant>
        <vt:i4>5</vt:i4>
      </vt:variant>
      <vt:variant>
        <vt:lpwstr>https://fingertips.phe.org.uk/profile-group/mental-health/profile/suicide</vt:lpwstr>
      </vt:variant>
      <vt:variant>
        <vt:lpwstr/>
      </vt:variant>
      <vt:variant>
        <vt:i4>6029328</vt:i4>
      </vt:variant>
      <vt:variant>
        <vt:i4>93</vt:i4>
      </vt:variant>
      <vt:variant>
        <vt:i4>0</vt:i4>
      </vt:variant>
      <vt:variant>
        <vt:i4>5</vt:i4>
      </vt:variant>
      <vt:variant>
        <vt:lpwstr>https://aihw.gov.au/suicide-self-harm-monitoring</vt:lpwstr>
      </vt:variant>
      <vt:variant>
        <vt:lpwstr/>
      </vt:variant>
      <vt:variant>
        <vt:i4>1835023</vt:i4>
      </vt:variant>
      <vt:variant>
        <vt:i4>90</vt:i4>
      </vt:variant>
      <vt:variant>
        <vt:i4>0</vt:i4>
      </vt:variant>
      <vt:variant>
        <vt:i4>5</vt:i4>
      </vt:variant>
      <vt:variant>
        <vt:lpwstr>astho.org/topic/population-health-prevention/social-behavioral-health/injury-suicide-violence-prevention/suicide-indicator-tool/</vt:lpwstr>
      </vt:variant>
      <vt:variant>
        <vt:lpwstr/>
      </vt:variant>
      <vt:variant>
        <vt:i4>7864361</vt:i4>
      </vt:variant>
      <vt:variant>
        <vt:i4>87</vt:i4>
      </vt:variant>
      <vt:variant>
        <vt:i4>0</vt:i4>
      </vt:variant>
      <vt:variant>
        <vt:i4>5</vt:i4>
      </vt:variant>
      <vt:variant>
        <vt:lpwstr>https://health-infobase.canada.ca/ssif/</vt:lpwstr>
      </vt:variant>
      <vt:variant>
        <vt:lpwstr/>
      </vt:variant>
      <vt:variant>
        <vt:i4>2031675</vt:i4>
      </vt:variant>
      <vt:variant>
        <vt:i4>80</vt:i4>
      </vt:variant>
      <vt:variant>
        <vt:i4>0</vt:i4>
      </vt:variant>
      <vt:variant>
        <vt:i4>5</vt:i4>
      </vt:variant>
      <vt:variant>
        <vt:lpwstr/>
      </vt:variant>
      <vt:variant>
        <vt:lpwstr>_Toc208223390</vt:lpwstr>
      </vt:variant>
      <vt:variant>
        <vt:i4>1966139</vt:i4>
      </vt:variant>
      <vt:variant>
        <vt:i4>74</vt:i4>
      </vt:variant>
      <vt:variant>
        <vt:i4>0</vt:i4>
      </vt:variant>
      <vt:variant>
        <vt:i4>5</vt:i4>
      </vt:variant>
      <vt:variant>
        <vt:lpwstr/>
      </vt:variant>
      <vt:variant>
        <vt:lpwstr>_Toc208223389</vt:lpwstr>
      </vt:variant>
      <vt:variant>
        <vt:i4>1966139</vt:i4>
      </vt:variant>
      <vt:variant>
        <vt:i4>68</vt:i4>
      </vt:variant>
      <vt:variant>
        <vt:i4>0</vt:i4>
      </vt:variant>
      <vt:variant>
        <vt:i4>5</vt:i4>
      </vt:variant>
      <vt:variant>
        <vt:lpwstr/>
      </vt:variant>
      <vt:variant>
        <vt:lpwstr>_Toc208223388</vt:lpwstr>
      </vt:variant>
      <vt:variant>
        <vt:i4>1966139</vt:i4>
      </vt:variant>
      <vt:variant>
        <vt:i4>62</vt:i4>
      </vt:variant>
      <vt:variant>
        <vt:i4>0</vt:i4>
      </vt:variant>
      <vt:variant>
        <vt:i4>5</vt:i4>
      </vt:variant>
      <vt:variant>
        <vt:lpwstr/>
      </vt:variant>
      <vt:variant>
        <vt:lpwstr>_Toc208223387</vt:lpwstr>
      </vt:variant>
      <vt:variant>
        <vt:i4>1966139</vt:i4>
      </vt:variant>
      <vt:variant>
        <vt:i4>56</vt:i4>
      </vt:variant>
      <vt:variant>
        <vt:i4>0</vt:i4>
      </vt:variant>
      <vt:variant>
        <vt:i4>5</vt:i4>
      </vt:variant>
      <vt:variant>
        <vt:lpwstr/>
      </vt:variant>
      <vt:variant>
        <vt:lpwstr>_Toc208223386</vt:lpwstr>
      </vt:variant>
      <vt:variant>
        <vt:i4>1966139</vt:i4>
      </vt:variant>
      <vt:variant>
        <vt:i4>50</vt:i4>
      </vt:variant>
      <vt:variant>
        <vt:i4>0</vt:i4>
      </vt:variant>
      <vt:variant>
        <vt:i4>5</vt:i4>
      </vt:variant>
      <vt:variant>
        <vt:lpwstr/>
      </vt:variant>
      <vt:variant>
        <vt:lpwstr>_Toc208223385</vt:lpwstr>
      </vt:variant>
      <vt:variant>
        <vt:i4>1966139</vt:i4>
      </vt:variant>
      <vt:variant>
        <vt:i4>44</vt:i4>
      </vt:variant>
      <vt:variant>
        <vt:i4>0</vt:i4>
      </vt:variant>
      <vt:variant>
        <vt:i4>5</vt:i4>
      </vt:variant>
      <vt:variant>
        <vt:lpwstr/>
      </vt:variant>
      <vt:variant>
        <vt:lpwstr>_Toc208223384</vt:lpwstr>
      </vt:variant>
      <vt:variant>
        <vt:i4>1966139</vt:i4>
      </vt:variant>
      <vt:variant>
        <vt:i4>38</vt:i4>
      </vt:variant>
      <vt:variant>
        <vt:i4>0</vt:i4>
      </vt:variant>
      <vt:variant>
        <vt:i4>5</vt:i4>
      </vt:variant>
      <vt:variant>
        <vt:lpwstr/>
      </vt:variant>
      <vt:variant>
        <vt:lpwstr>_Toc208223383</vt:lpwstr>
      </vt:variant>
      <vt:variant>
        <vt:i4>1966139</vt:i4>
      </vt:variant>
      <vt:variant>
        <vt:i4>32</vt:i4>
      </vt:variant>
      <vt:variant>
        <vt:i4>0</vt:i4>
      </vt:variant>
      <vt:variant>
        <vt:i4>5</vt:i4>
      </vt:variant>
      <vt:variant>
        <vt:lpwstr/>
      </vt:variant>
      <vt:variant>
        <vt:lpwstr>_Toc208223382</vt:lpwstr>
      </vt:variant>
      <vt:variant>
        <vt:i4>1966139</vt:i4>
      </vt:variant>
      <vt:variant>
        <vt:i4>26</vt:i4>
      </vt:variant>
      <vt:variant>
        <vt:i4>0</vt:i4>
      </vt:variant>
      <vt:variant>
        <vt:i4>5</vt:i4>
      </vt:variant>
      <vt:variant>
        <vt:lpwstr/>
      </vt:variant>
      <vt:variant>
        <vt:lpwstr>_Toc208223381</vt:lpwstr>
      </vt:variant>
      <vt:variant>
        <vt:i4>1966139</vt:i4>
      </vt:variant>
      <vt:variant>
        <vt:i4>20</vt:i4>
      </vt:variant>
      <vt:variant>
        <vt:i4>0</vt:i4>
      </vt:variant>
      <vt:variant>
        <vt:i4>5</vt:i4>
      </vt:variant>
      <vt:variant>
        <vt:lpwstr/>
      </vt:variant>
      <vt:variant>
        <vt:lpwstr>_Toc208223380</vt:lpwstr>
      </vt:variant>
      <vt:variant>
        <vt:i4>1114171</vt:i4>
      </vt:variant>
      <vt:variant>
        <vt:i4>14</vt:i4>
      </vt:variant>
      <vt:variant>
        <vt:i4>0</vt:i4>
      </vt:variant>
      <vt:variant>
        <vt:i4>5</vt:i4>
      </vt:variant>
      <vt:variant>
        <vt:lpwstr/>
      </vt:variant>
      <vt:variant>
        <vt:lpwstr>_Toc208223379</vt:lpwstr>
      </vt:variant>
      <vt:variant>
        <vt:i4>1114171</vt:i4>
      </vt:variant>
      <vt:variant>
        <vt:i4>8</vt:i4>
      </vt:variant>
      <vt:variant>
        <vt:i4>0</vt:i4>
      </vt:variant>
      <vt:variant>
        <vt:i4>5</vt:i4>
      </vt:variant>
      <vt:variant>
        <vt:lpwstr/>
      </vt:variant>
      <vt:variant>
        <vt:lpwstr>_Toc208223378</vt:lpwstr>
      </vt:variant>
      <vt:variant>
        <vt:i4>4522014</vt:i4>
      </vt:variant>
      <vt:variant>
        <vt:i4>3</vt:i4>
      </vt:variant>
      <vt:variant>
        <vt:i4>0</vt:i4>
      </vt:variant>
      <vt:variant>
        <vt:i4>5</vt:i4>
      </vt:variant>
      <vt:variant>
        <vt:lpwstr>http://www.mhwc.govt.nz/</vt:lpwstr>
      </vt:variant>
      <vt:variant>
        <vt:lpwstr/>
      </vt:variant>
      <vt:variant>
        <vt:i4>5373952</vt:i4>
      </vt:variant>
      <vt:variant>
        <vt:i4>0</vt:i4>
      </vt:variant>
      <vt:variant>
        <vt:i4>0</vt:i4>
      </vt:variant>
      <vt:variant>
        <vt:i4>5</vt:i4>
      </vt:variant>
      <vt:variant>
        <vt:lpwstr>https://creativecommons.org/licenses/by/4.0/legalcode</vt:lpwstr>
      </vt:variant>
      <vt:variant>
        <vt:lpwstr/>
      </vt:variant>
      <vt:variant>
        <vt:i4>5832799</vt:i4>
      </vt:variant>
      <vt:variant>
        <vt:i4>3</vt:i4>
      </vt:variant>
      <vt:variant>
        <vt:i4>0</vt:i4>
      </vt:variant>
      <vt:variant>
        <vt:i4>5</vt:i4>
      </vt:variant>
      <vt:variant>
        <vt:lpwstr>https://www.tewhatuora.govt.nz/for-health-professionals/data-and-statistics/primary-care/primary-health-organisation-performance</vt:lpwstr>
      </vt:variant>
      <vt:variant>
        <vt:lpwstr/>
      </vt:variant>
      <vt:variant>
        <vt:i4>5505093</vt:i4>
      </vt:variant>
      <vt:variant>
        <vt:i4>0</vt:i4>
      </vt:variant>
      <vt:variant>
        <vt:i4>0</vt:i4>
      </vt:variant>
      <vt:variant>
        <vt:i4>5</vt:i4>
      </vt:variant>
      <vt:variant>
        <vt:lpwstr>https://tewhatuora.shinyapps.io/suicide-web-tool/</vt:lpwstr>
      </vt:variant>
      <vt:variant>
        <vt:lpwstr/>
      </vt:variant>
      <vt:variant>
        <vt:i4>4194409</vt:i4>
      </vt:variant>
      <vt:variant>
        <vt:i4>0</vt:i4>
      </vt:variant>
      <vt:variant>
        <vt:i4>0</vt:i4>
      </vt:variant>
      <vt:variant>
        <vt:i4>5</vt:i4>
      </vt:variant>
      <vt:variant>
        <vt:lpwstr>mailto:Stephen.Blyth@mhwc.govt.nz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Fawthorpe</dc:creator>
  <cp:keywords/>
  <dc:description/>
  <cp:lastModifiedBy>Stephen Blyth</cp:lastModifiedBy>
  <cp:revision>3992</cp:revision>
  <cp:lastPrinted>2025-08-11T16:04:00Z</cp:lastPrinted>
  <dcterms:created xsi:type="dcterms:W3CDTF">2025-06-04T13:09:00Z</dcterms:created>
  <dcterms:modified xsi:type="dcterms:W3CDTF">2025-09-24T00:51:00Z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0x010100461526DB9AF60C4383F308E95020E0C8</vt:lpwstr>
  </property>
  <property fmtid="{D5CDD505-2E9C-101B-9397-08002B2CF9AE}" pid="3" name="_dlc_DocIdItemGuid">
    <vt:lpwstr>212e5741-57fa-4a6f-8c52-637c432a0189</vt:lpwstr>
  </property>
  <property fmtid="{D5CDD505-2E9C-101B-9397-08002B2CF9AE}" pid="4" name="MediaServiceImageTags">
    <vt:lpwstr/>
  </property>
  <property fmtid="{D5CDD505-2E9C-101B-9397-08002B2CF9AE}" pid="5" name="Team_Tag">
    <vt:lpwstr>84;#Wellbeing|4521ee3e-f8e3-4950-952e-53083ca02330</vt:lpwstr>
  </property>
  <property fmtid="{D5CDD505-2E9C-101B-9397-08002B2CF9AE}" pid="6" name="Year_Tag">
    <vt:lpwstr>463;#FY 2025-26|99415f82-ae80-4744-a0f1-4759891fbaef</vt:lpwstr>
  </property>
  <property fmtid="{D5CDD505-2E9C-101B-9397-08002B2CF9AE}" pid="7" name="Category_Tag">
    <vt:lpwstr>464;#Suicide Prevention|8c43df98-b9a1-4ff8-9024-4bc288344daa</vt:lpwstr>
  </property>
  <property fmtid="{D5CDD505-2E9C-101B-9397-08002B2CF9AE}" pid="8" name="Sub_Category_Tag">
    <vt:lpwstr>466;#Deliverables|12024133-8a2d-4e48-8947-ee79638fb2bb</vt:lpwstr>
  </property>
  <property fmtid="{D5CDD505-2E9C-101B-9397-08002B2CF9AE}" pid="9" name="Item_Tag">
    <vt:lpwstr>468;#Draft|6b692e83-6fb2-4a0a-9f1c-d933e7b41cf6</vt:lpwstr>
  </property>
  <property fmtid="{D5CDD505-2E9C-101B-9397-08002B2CF9AE}" pid="10" name="Site_Tag">
    <vt:lpwstr>5;#OurWork|d3b47126-6fe7-4aeb-a593-c597478f4d0f</vt:lpwstr>
  </property>
  <property fmtid="{D5CDD505-2E9C-101B-9397-08002B2CF9AE}" pid="11" name="docLang">
    <vt:lpwstr>en</vt:lpwstr>
  </property>
</Properties>
</file>